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38B" w:rsidRPr="002A5B26" w:rsidRDefault="00FA1BAC" w:rsidP="00FA1BAC">
      <w:pPr>
        <w:jc w:val="center"/>
        <w:rPr>
          <w:rFonts w:eastAsia="黑体"/>
          <w:sz w:val="28"/>
        </w:rPr>
      </w:pPr>
      <w:r w:rsidRPr="002A5B26">
        <w:rPr>
          <w:rFonts w:eastAsia="黑体"/>
          <w:sz w:val="28"/>
        </w:rPr>
        <w:t>融资</w:t>
      </w:r>
      <w:r w:rsidR="00D54232" w:rsidRPr="002A5B26">
        <w:rPr>
          <w:rFonts w:eastAsia="黑体" w:hint="eastAsia"/>
          <w:sz w:val="28"/>
        </w:rPr>
        <w:t>租赁有限公司</w:t>
      </w:r>
    </w:p>
    <w:p w:rsidR="008D238B" w:rsidRPr="0020665C" w:rsidRDefault="00D54232" w:rsidP="0020665C">
      <w:pPr>
        <w:jc w:val="center"/>
        <w:rPr>
          <w:rFonts w:ascii="方正粗宋简体" w:eastAsia="方正粗宋简体"/>
          <w:sz w:val="36"/>
        </w:rPr>
      </w:pPr>
      <w:r w:rsidRPr="00FF4152">
        <w:rPr>
          <w:rFonts w:ascii="方正粗宋简体" w:eastAsia="方正粗宋简体" w:hint="eastAsia"/>
          <w:sz w:val="36"/>
        </w:rPr>
        <w:t>管理层绩效考核办法建议</w:t>
      </w:r>
    </w:p>
    <w:p w:rsidR="008D238B" w:rsidRPr="005C0536" w:rsidRDefault="00D54232" w:rsidP="0020665C">
      <w:pPr>
        <w:pStyle w:val="a5"/>
        <w:jc w:val="center"/>
        <w:rPr>
          <w:rFonts w:eastAsia="黑体"/>
        </w:rPr>
      </w:pPr>
      <w:r w:rsidRPr="005C0536">
        <w:rPr>
          <w:rFonts w:eastAsia="黑体" w:hint="eastAsia"/>
        </w:rPr>
        <w:t>裘企阳</w:t>
      </w:r>
    </w:p>
    <w:p w:rsidR="008D238B" w:rsidRDefault="00D54232" w:rsidP="00452120">
      <w:pPr>
        <w:pStyle w:val="a5"/>
      </w:pPr>
      <w:r>
        <w:rPr>
          <w:rFonts w:hint="eastAsia"/>
        </w:rPr>
        <w:t>这里所说的</w:t>
      </w:r>
      <w:r w:rsidRPr="00C92A6E">
        <w:rPr>
          <w:rFonts w:hint="eastAsia"/>
          <w:highlight w:val="yellow"/>
        </w:rPr>
        <w:t>“管理层”，是指总经理、副总经理和总经理助理。</w:t>
      </w:r>
      <w:r>
        <w:rPr>
          <w:rFonts w:hint="eastAsia"/>
        </w:rPr>
        <w:t>在考核时，无论本人是否是董事会成员，也无论本人是否兼任下面部门的职务，均以本公司管理层成员的身份，按本办法执行。</w:t>
      </w:r>
    </w:p>
    <w:p w:rsidR="008D238B" w:rsidRPr="007E28E0" w:rsidRDefault="00D54232" w:rsidP="00A2411C">
      <w:pPr>
        <w:pStyle w:val="2"/>
        <w:rPr>
          <w:sz w:val="24"/>
        </w:rPr>
      </w:pPr>
      <w:r w:rsidRPr="007E28E0">
        <w:rPr>
          <w:rFonts w:hint="eastAsia"/>
          <w:sz w:val="24"/>
        </w:rPr>
        <w:t>考核期间</w:t>
      </w:r>
    </w:p>
    <w:p w:rsidR="008D238B" w:rsidRDefault="00D54232" w:rsidP="00452120">
      <w:pPr>
        <w:ind w:left="900"/>
        <w:rPr>
          <w:rFonts w:eastAsia="楷体_GB2312"/>
          <w:sz w:val="24"/>
        </w:rPr>
      </w:pPr>
      <w:r>
        <w:rPr>
          <w:rFonts w:eastAsia="楷体_GB2312" w:hint="eastAsia"/>
          <w:sz w:val="24"/>
        </w:rPr>
        <w:t>本公司每一会计年度为一个考核期间。</w:t>
      </w:r>
    </w:p>
    <w:p w:rsidR="008D238B" w:rsidRPr="007E28E0" w:rsidRDefault="00D54232" w:rsidP="00766F86">
      <w:pPr>
        <w:pStyle w:val="2"/>
        <w:rPr>
          <w:sz w:val="24"/>
        </w:rPr>
      </w:pPr>
      <w:r w:rsidRPr="007E28E0">
        <w:rPr>
          <w:rFonts w:hint="eastAsia"/>
          <w:sz w:val="24"/>
        </w:rPr>
        <w:t>奖励基金的来源</w:t>
      </w:r>
    </w:p>
    <w:p w:rsidR="008D238B" w:rsidRPr="00452120" w:rsidRDefault="00D54232" w:rsidP="00452120">
      <w:pPr>
        <w:ind w:left="900"/>
        <w:rPr>
          <w:rFonts w:eastAsia="楷体_GB2312"/>
          <w:color w:val="000000"/>
          <w:sz w:val="24"/>
        </w:rPr>
      </w:pPr>
      <w:r w:rsidRPr="00F2224A">
        <w:rPr>
          <w:rFonts w:eastAsia="楷体_GB2312" w:hint="eastAsia"/>
          <w:sz w:val="24"/>
          <w:highlight w:val="yellow"/>
        </w:rPr>
        <w:t>奖励基金的来源是本公司本年度经审计的</w:t>
      </w:r>
      <w:r w:rsidR="00F2224A">
        <w:rPr>
          <w:rFonts w:eastAsia="楷体_GB2312" w:hint="eastAsia"/>
          <w:sz w:val="24"/>
          <w:highlight w:val="yellow"/>
        </w:rPr>
        <w:t>【</w:t>
      </w:r>
      <w:r w:rsidRPr="00F2224A">
        <w:rPr>
          <w:rFonts w:eastAsia="楷体_GB2312" w:hint="eastAsia"/>
          <w:sz w:val="24"/>
          <w:highlight w:val="yellow"/>
        </w:rPr>
        <w:t>税后净利润</w:t>
      </w:r>
      <w:r w:rsidR="00F2224A">
        <w:rPr>
          <w:rFonts w:eastAsia="楷体_GB2312" w:hint="eastAsia"/>
          <w:sz w:val="24"/>
          <w:highlight w:val="yellow"/>
        </w:rPr>
        <w:t>】</w:t>
      </w:r>
      <w:r w:rsidRPr="00F2224A">
        <w:rPr>
          <w:rFonts w:eastAsia="楷体_GB2312" w:hint="eastAsia"/>
          <w:color w:val="000000"/>
          <w:sz w:val="24"/>
          <w:highlight w:val="yellow"/>
        </w:rPr>
        <w:t>和公司管理层的</w:t>
      </w:r>
      <w:r w:rsidR="00F2224A">
        <w:rPr>
          <w:rFonts w:eastAsia="楷体_GB2312" w:hint="eastAsia"/>
          <w:color w:val="000000"/>
          <w:sz w:val="24"/>
          <w:highlight w:val="yellow"/>
        </w:rPr>
        <w:t>【</w:t>
      </w:r>
      <w:r w:rsidRPr="00F2224A">
        <w:rPr>
          <w:rFonts w:eastAsia="楷体_GB2312" w:hint="eastAsia"/>
          <w:color w:val="000000"/>
          <w:sz w:val="24"/>
          <w:highlight w:val="yellow"/>
        </w:rPr>
        <w:t>全年薪酬合计数的</w:t>
      </w:r>
      <w:r w:rsidRPr="00F2224A">
        <w:rPr>
          <w:rFonts w:eastAsia="楷体_GB2312" w:hint="eastAsia"/>
          <w:color w:val="000000"/>
          <w:sz w:val="24"/>
          <w:highlight w:val="yellow"/>
        </w:rPr>
        <w:t>20%</w:t>
      </w:r>
      <w:r w:rsidR="00F2224A">
        <w:rPr>
          <w:rFonts w:eastAsia="楷体_GB2312" w:hint="eastAsia"/>
          <w:color w:val="000000"/>
          <w:sz w:val="24"/>
          <w:highlight w:val="yellow"/>
        </w:rPr>
        <w:t>】</w:t>
      </w:r>
      <w:bookmarkStart w:id="0" w:name="_GoBack"/>
      <w:bookmarkEnd w:id="0"/>
      <w:r w:rsidRPr="00F2224A">
        <w:rPr>
          <w:rFonts w:eastAsia="楷体_GB2312" w:hint="eastAsia"/>
          <w:color w:val="000000"/>
          <w:sz w:val="24"/>
          <w:highlight w:val="yellow"/>
        </w:rPr>
        <w:t>这两者之和。</w:t>
      </w:r>
    </w:p>
    <w:p w:rsidR="008D238B" w:rsidRPr="007E28E0" w:rsidRDefault="00D54232" w:rsidP="00766F86">
      <w:pPr>
        <w:pStyle w:val="2"/>
        <w:rPr>
          <w:sz w:val="24"/>
        </w:rPr>
      </w:pPr>
      <w:r w:rsidRPr="007E28E0">
        <w:rPr>
          <w:rFonts w:hint="eastAsia"/>
          <w:sz w:val="24"/>
        </w:rPr>
        <w:t>奖励基金的定值</w:t>
      </w:r>
    </w:p>
    <w:p w:rsidR="008D238B" w:rsidRDefault="00D54232">
      <w:pPr>
        <w:ind w:left="420" w:firstLine="480"/>
        <w:rPr>
          <w:rFonts w:eastAsia="楷体_GB2312"/>
          <w:sz w:val="24"/>
        </w:rPr>
      </w:pPr>
      <w:r>
        <w:rPr>
          <w:rFonts w:eastAsia="楷体_GB2312" w:hint="eastAsia"/>
          <w:sz w:val="24"/>
        </w:rPr>
        <w:t>奖励基金的定值由董事会会议于各年年初以专门的决议形式确定并公布。定值标准</w:t>
      </w:r>
    </w:p>
    <w:p w:rsidR="008D238B" w:rsidRDefault="00D54232">
      <w:pPr>
        <w:ind w:left="420" w:firstLine="480"/>
        <w:rPr>
          <w:rFonts w:eastAsia="楷体_GB2312"/>
          <w:color w:val="000000"/>
          <w:sz w:val="24"/>
        </w:rPr>
      </w:pPr>
      <w:r>
        <w:rPr>
          <w:rFonts w:eastAsia="楷体_GB2312" w:hint="eastAsia"/>
          <w:sz w:val="24"/>
        </w:rPr>
        <w:t>以奖励基金占该年度经审计的税后净利润的百分数（例如，</w:t>
      </w:r>
      <w:r>
        <w:rPr>
          <w:rFonts w:eastAsia="楷体_GB2312" w:hint="eastAsia"/>
          <w:sz w:val="24"/>
        </w:rPr>
        <w:t>5%</w:t>
      </w:r>
      <w:r>
        <w:rPr>
          <w:rFonts w:eastAsia="楷体_GB2312" w:hint="eastAsia"/>
          <w:sz w:val="24"/>
        </w:rPr>
        <w:t>）</w:t>
      </w:r>
      <w:r>
        <w:rPr>
          <w:rFonts w:eastAsia="楷体_GB2312" w:hint="eastAsia"/>
          <w:color w:val="000000"/>
          <w:sz w:val="24"/>
        </w:rPr>
        <w:t>以及公司管理层的</w:t>
      </w:r>
    </w:p>
    <w:p w:rsidR="008D238B" w:rsidRDefault="00D54232" w:rsidP="00452120">
      <w:pPr>
        <w:ind w:left="420" w:firstLine="480"/>
        <w:rPr>
          <w:rFonts w:eastAsia="楷体_GB2312"/>
          <w:sz w:val="24"/>
        </w:rPr>
      </w:pPr>
      <w:r>
        <w:rPr>
          <w:rFonts w:eastAsia="楷体_GB2312" w:hint="eastAsia"/>
          <w:color w:val="000000"/>
          <w:sz w:val="24"/>
        </w:rPr>
        <w:t>全年薪酬合计数的</w:t>
      </w:r>
      <w:r>
        <w:rPr>
          <w:rFonts w:eastAsia="楷体_GB2312" w:hint="eastAsia"/>
          <w:color w:val="000000"/>
          <w:sz w:val="24"/>
        </w:rPr>
        <w:t>20%</w:t>
      </w:r>
      <w:r>
        <w:rPr>
          <w:rFonts w:eastAsia="楷体_GB2312" w:hint="eastAsia"/>
          <w:color w:val="000000"/>
          <w:sz w:val="24"/>
        </w:rPr>
        <w:t>这两者之和</w:t>
      </w:r>
      <w:r>
        <w:rPr>
          <w:rFonts w:eastAsia="楷体_GB2312" w:hint="eastAsia"/>
          <w:sz w:val="24"/>
        </w:rPr>
        <w:t>。</w:t>
      </w:r>
    </w:p>
    <w:p w:rsidR="008D238B" w:rsidRPr="007E28E0" w:rsidRDefault="00D54232" w:rsidP="00766F86">
      <w:pPr>
        <w:pStyle w:val="2"/>
        <w:rPr>
          <w:sz w:val="24"/>
        </w:rPr>
      </w:pPr>
      <w:r w:rsidRPr="007E28E0">
        <w:rPr>
          <w:rFonts w:hint="eastAsia"/>
          <w:sz w:val="24"/>
        </w:rPr>
        <w:t>薪酬权数</w:t>
      </w:r>
    </w:p>
    <w:p w:rsidR="008D238B" w:rsidRDefault="00D54232" w:rsidP="00452120">
      <w:pPr>
        <w:ind w:left="900"/>
        <w:rPr>
          <w:rFonts w:eastAsia="楷体_GB2312"/>
          <w:sz w:val="24"/>
        </w:rPr>
      </w:pPr>
      <w:r>
        <w:rPr>
          <w:rFonts w:eastAsia="楷体_GB2312" w:hint="eastAsia"/>
          <w:sz w:val="24"/>
        </w:rPr>
        <w:t>本办法所实施的奖惩，以管理层每个成员的薪酬权数为基础。即，在假设绩效完全相同的情况下，个人所得奖金的数额与其薪酬数额成正比。</w:t>
      </w:r>
    </w:p>
    <w:p w:rsidR="008D238B" w:rsidRPr="007E28E0" w:rsidRDefault="00D54232" w:rsidP="00766F86">
      <w:pPr>
        <w:pStyle w:val="2"/>
        <w:rPr>
          <w:sz w:val="24"/>
        </w:rPr>
      </w:pPr>
      <w:r w:rsidRPr="007E28E0">
        <w:rPr>
          <w:rFonts w:hint="eastAsia"/>
          <w:sz w:val="24"/>
        </w:rPr>
        <w:t>考核指标</w:t>
      </w:r>
    </w:p>
    <w:p w:rsidR="008D238B" w:rsidRDefault="00D54232">
      <w:pPr>
        <w:ind w:left="420" w:firstLine="480"/>
        <w:rPr>
          <w:rFonts w:eastAsia="楷体_GB2312"/>
          <w:sz w:val="24"/>
        </w:rPr>
      </w:pPr>
      <w:r>
        <w:rPr>
          <w:rFonts w:eastAsia="楷体_GB2312" w:hint="eastAsia"/>
          <w:sz w:val="24"/>
        </w:rPr>
        <w:t>考核指标有三个：（一）本年新项目实际投放额（以财务报表“银行存款”本年度新</w:t>
      </w:r>
    </w:p>
    <w:p w:rsidR="008D238B" w:rsidRDefault="00D54232" w:rsidP="00452120">
      <w:pPr>
        <w:ind w:left="420" w:firstLine="480"/>
        <w:rPr>
          <w:rFonts w:eastAsia="楷体_GB2312"/>
          <w:sz w:val="24"/>
        </w:rPr>
      </w:pPr>
      <w:r>
        <w:rPr>
          <w:rFonts w:eastAsia="楷体_GB2312" w:hint="eastAsia"/>
          <w:sz w:val="24"/>
        </w:rPr>
        <w:t>的租赁合同项下的贷计总额为依据）；（二）本年税后净利润（以经审计的财务报表数字为依据）；（三）本年坏账损失（以经审计的财务报表数字为依据）。</w:t>
      </w:r>
    </w:p>
    <w:p w:rsidR="008D238B" w:rsidRPr="007E28E0" w:rsidRDefault="00D54232" w:rsidP="00766F86">
      <w:pPr>
        <w:pStyle w:val="2"/>
        <w:rPr>
          <w:sz w:val="24"/>
        </w:rPr>
      </w:pPr>
      <w:r w:rsidRPr="007E28E0">
        <w:rPr>
          <w:rFonts w:hint="eastAsia"/>
          <w:sz w:val="24"/>
        </w:rPr>
        <w:t>具体办法</w:t>
      </w:r>
    </w:p>
    <w:p w:rsidR="008D238B" w:rsidRDefault="00D54232">
      <w:pPr>
        <w:numPr>
          <w:ilvl w:val="2"/>
          <w:numId w:val="3"/>
        </w:numPr>
        <w:rPr>
          <w:rFonts w:eastAsia="楷体_GB2312"/>
          <w:sz w:val="24"/>
        </w:rPr>
      </w:pPr>
      <w:r>
        <w:rPr>
          <w:rFonts w:eastAsia="楷体_GB2312" w:hint="eastAsia"/>
          <w:sz w:val="24"/>
        </w:rPr>
        <w:t>奖励基金的</w:t>
      </w:r>
      <w:r>
        <w:rPr>
          <w:rFonts w:eastAsia="楷体_GB2312" w:hint="eastAsia"/>
          <w:sz w:val="24"/>
        </w:rPr>
        <w:t>30%</w:t>
      </w:r>
      <w:r>
        <w:rPr>
          <w:rFonts w:eastAsia="楷体_GB2312" w:hint="eastAsia"/>
          <w:sz w:val="24"/>
        </w:rPr>
        <w:t>用于考核本年新项目实际投放额，奖励基金的</w:t>
      </w:r>
      <w:r>
        <w:rPr>
          <w:rFonts w:eastAsia="楷体_GB2312" w:hint="eastAsia"/>
          <w:sz w:val="24"/>
        </w:rPr>
        <w:t>70%</w:t>
      </w:r>
      <w:r>
        <w:rPr>
          <w:rFonts w:eastAsia="楷体_GB2312" w:hint="eastAsia"/>
          <w:sz w:val="24"/>
        </w:rPr>
        <w:t>用于考核本年税后净利润和本年坏账损失；</w:t>
      </w:r>
    </w:p>
    <w:p w:rsidR="008D238B" w:rsidRDefault="00D54232">
      <w:pPr>
        <w:numPr>
          <w:ilvl w:val="2"/>
          <w:numId w:val="3"/>
        </w:numPr>
        <w:rPr>
          <w:rFonts w:eastAsia="楷体_GB2312"/>
          <w:sz w:val="24"/>
        </w:rPr>
      </w:pPr>
      <w:r>
        <w:rPr>
          <w:rFonts w:eastAsia="楷体_GB2312" w:hint="eastAsia"/>
          <w:sz w:val="24"/>
        </w:rPr>
        <w:t>每年年初由董事会核定公司管理层所呈报的年度计划，其中的“本年新项目投放额”就是前一个考核指标。凡是本年新项目实际投放额大于或等于计划指标的，则上述奖励基金的</w:t>
      </w:r>
      <w:r>
        <w:rPr>
          <w:rFonts w:eastAsia="楷体_GB2312" w:hint="eastAsia"/>
          <w:sz w:val="24"/>
        </w:rPr>
        <w:t>30%</w:t>
      </w:r>
      <w:r>
        <w:rPr>
          <w:rFonts w:eastAsia="楷体_GB2312" w:hint="eastAsia"/>
          <w:sz w:val="24"/>
        </w:rPr>
        <w:t>全额分配；凡是本年新项目实际投放额小于计划指标的，则上述奖励基金的</w:t>
      </w:r>
      <w:r>
        <w:rPr>
          <w:rFonts w:eastAsia="楷体_GB2312" w:hint="eastAsia"/>
          <w:sz w:val="24"/>
        </w:rPr>
        <w:t>30%</w:t>
      </w:r>
      <w:r>
        <w:rPr>
          <w:rFonts w:eastAsia="楷体_GB2312" w:hint="eastAsia"/>
          <w:sz w:val="24"/>
        </w:rPr>
        <w:t>按本年新项目实际投放额占计划指标的百分数分配；</w:t>
      </w:r>
    </w:p>
    <w:p w:rsidR="00452120" w:rsidRDefault="00D54232" w:rsidP="00452120">
      <w:pPr>
        <w:numPr>
          <w:ilvl w:val="2"/>
          <w:numId w:val="3"/>
        </w:numPr>
        <w:rPr>
          <w:rFonts w:eastAsia="楷体_GB2312"/>
          <w:sz w:val="24"/>
        </w:rPr>
      </w:pPr>
      <w:r>
        <w:rPr>
          <w:rFonts w:eastAsia="楷体_GB2312" w:hint="eastAsia"/>
          <w:sz w:val="24"/>
        </w:rPr>
        <w:t>每年年初由董事会核定公司管理层所呈报的年度计划中，应该有“资本回报率”这一指标。资本回报率是税后净利润除所有者权益后的积数。例如，如果所有者权益是</w:t>
      </w:r>
      <w:r>
        <w:rPr>
          <w:rFonts w:eastAsia="楷体_GB2312" w:hint="eastAsia"/>
          <w:sz w:val="24"/>
        </w:rPr>
        <w:t>5</w:t>
      </w:r>
      <w:r>
        <w:rPr>
          <w:rFonts w:eastAsia="楷体_GB2312" w:hint="eastAsia"/>
          <w:sz w:val="24"/>
        </w:rPr>
        <w:t>亿元，税后净利润是</w:t>
      </w:r>
      <w:r>
        <w:rPr>
          <w:rFonts w:eastAsia="楷体_GB2312" w:hint="eastAsia"/>
          <w:sz w:val="24"/>
        </w:rPr>
        <w:t>500</w:t>
      </w:r>
      <w:r>
        <w:rPr>
          <w:rFonts w:eastAsia="楷体_GB2312" w:hint="eastAsia"/>
          <w:sz w:val="24"/>
        </w:rPr>
        <w:t>万元，资本回报率就是</w:t>
      </w:r>
      <w:r>
        <w:rPr>
          <w:rFonts w:eastAsia="楷体_GB2312" w:hint="eastAsia"/>
          <w:sz w:val="24"/>
        </w:rPr>
        <w:t>1%</w:t>
      </w:r>
      <w:r>
        <w:rPr>
          <w:rFonts w:eastAsia="楷体_GB2312" w:hint="eastAsia"/>
          <w:sz w:val="24"/>
        </w:rPr>
        <w:t>。</w:t>
      </w:r>
    </w:p>
    <w:p w:rsidR="008D238B" w:rsidRPr="00452120" w:rsidRDefault="00D54232" w:rsidP="00452120">
      <w:pPr>
        <w:ind w:left="1560"/>
        <w:rPr>
          <w:rFonts w:eastAsia="楷体_GB2312"/>
          <w:sz w:val="24"/>
        </w:rPr>
      </w:pPr>
      <w:r w:rsidRPr="00452120">
        <w:rPr>
          <w:rFonts w:eastAsia="楷体_GB2312" w:hint="eastAsia"/>
          <w:sz w:val="24"/>
        </w:rPr>
        <w:t>对后一个考核指标的执行办法是，用年初由董事会核定的公司本年度资本回报</w:t>
      </w:r>
    </w:p>
    <w:p w:rsidR="008D238B" w:rsidRDefault="00D54232">
      <w:pPr>
        <w:ind w:firstLineChars="600" w:firstLine="1440"/>
        <w:rPr>
          <w:rFonts w:eastAsia="楷体_GB2312"/>
          <w:sz w:val="24"/>
        </w:rPr>
      </w:pPr>
      <w:r>
        <w:rPr>
          <w:rFonts w:eastAsia="楷体_GB2312" w:hint="eastAsia"/>
          <w:sz w:val="24"/>
        </w:rPr>
        <w:t>率去乘本年的年初年末所有者权益平均值，得出的数字就是本年应有的税后净</w:t>
      </w:r>
    </w:p>
    <w:p w:rsidR="008D238B" w:rsidRDefault="00D54232">
      <w:pPr>
        <w:ind w:firstLineChars="600" w:firstLine="1440"/>
        <w:rPr>
          <w:rFonts w:eastAsia="楷体_GB2312"/>
          <w:sz w:val="24"/>
        </w:rPr>
      </w:pPr>
      <w:r>
        <w:rPr>
          <w:rFonts w:eastAsia="楷体_GB2312" w:hint="eastAsia"/>
          <w:sz w:val="24"/>
        </w:rPr>
        <w:t>利润。凡是本年经审计的税后净利润扣除本年坏账损失后的余额大于或等于本</w:t>
      </w:r>
    </w:p>
    <w:p w:rsidR="008D238B" w:rsidRDefault="00D54232">
      <w:pPr>
        <w:ind w:firstLineChars="600" w:firstLine="1440"/>
        <w:rPr>
          <w:rFonts w:eastAsia="楷体_GB2312"/>
          <w:sz w:val="24"/>
        </w:rPr>
      </w:pPr>
      <w:r>
        <w:rPr>
          <w:rFonts w:eastAsia="楷体_GB2312" w:hint="eastAsia"/>
          <w:sz w:val="24"/>
        </w:rPr>
        <w:t>年应有的税后净利润的，则上述奖励基金的</w:t>
      </w:r>
      <w:r>
        <w:rPr>
          <w:rFonts w:eastAsia="楷体_GB2312" w:hint="eastAsia"/>
          <w:sz w:val="24"/>
        </w:rPr>
        <w:t>70%</w:t>
      </w:r>
      <w:r>
        <w:rPr>
          <w:rFonts w:eastAsia="楷体_GB2312" w:hint="eastAsia"/>
          <w:sz w:val="24"/>
        </w:rPr>
        <w:t>全额分配；凡是本年经审计的</w:t>
      </w:r>
    </w:p>
    <w:p w:rsidR="008D238B" w:rsidRDefault="00D54232">
      <w:pPr>
        <w:ind w:firstLineChars="600" w:firstLine="1440"/>
        <w:rPr>
          <w:rFonts w:eastAsia="楷体_GB2312"/>
          <w:sz w:val="24"/>
        </w:rPr>
      </w:pPr>
      <w:r>
        <w:rPr>
          <w:rFonts w:eastAsia="楷体_GB2312" w:hint="eastAsia"/>
          <w:sz w:val="24"/>
        </w:rPr>
        <w:t>税后净利润扣除本年坏账损失后的余额小于本年应有的税后净利润的，则上述</w:t>
      </w:r>
    </w:p>
    <w:p w:rsidR="00452120" w:rsidRDefault="00D54232" w:rsidP="00452120">
      <w:pPr>
        <w:ind w:firstLineChars="600" w:firstLine="1440"/>
        <w:rPr>
          <w:rFonts w:eastAsia="楷体_GB2312"/>
          <w:sz w:val="24"/>
        </w:rPr>
      </w:pPr>
      <w:r>
        <w:rPr>
          <w:rFonts w:eastAsia="楷体_GB2312" w:hint="eastAsia"/>
          <w:sz w:val="24"/>
        </w:rPr>
        <w:t>奖励基金的</w:t>
      </w:r>
      <w:r>
        <w:rPr>
          <w:rFonts w:eastAsia="楷体_GB2312" w:hint="eastAsia"/>
          <w:sz w:val="24"/>
        </w:rPr>
        <w:t>70%</w:t>
      </w:r>
      <w:r>
        <w:rPr>
          <w:rFonts w:eastAsia="楷体_GB2312" w:hint="eastAsia"/>
          <w:sz w:val="24"/>
        </w:rPr>
        <w:t>，按该余额占本年应有的税后净利润的百分数分配。</w:t>
      </w:r>
    </w:p>
    <w:p w:rsidR="008D238B" w:rsidRDefault="00D54232" w:rsidP="00452120">
      <w:pPr>
        <w:ind w:firstLineChars="600" w:firstLine="1440"/>
        <w:rPr>
          <w:rFonts w:eastAsia="楷体_GB2312"/>
          <w:sz w:val="24"/>
        </w:rPr>
      </w:pPr>
      <w:r>
        <w:rPr>
          <w:rFonts w:eastAsia="楷体_GB2312" w:hint="eastAsia"/>
          <w:sz w:val="24"/>
        </w:rPr>
        <w:t>对管理层成员的扣减的极限是其全年奖金为零。</w:t>
      </w:r>
    </w:p>
    <w:p w:rsidR="00BF7951" w:rsidRPr="007E28E0" w:rsidRDefault="00D54232" w:rsidP="00766F86">
      <w:pPr>
        <w:pStyle w:val="2"/>
        <w:rPr>
          <w:sz w:val="24"/>
        </w:rPr>
      </w:pPr>
      <w:r w:rsidRPr="007E28E0">
        <w:rPr>
          <w:rFonts w:hint="eastAsia"/>
          <w:sz w:val="24"/>
        </w:rPr>
        <w:t>全部奖金基金中的未分配（剩余）的部分，纳入下一年度的奖励基金之中。</w:t>
      </w:r>
    </w:p>
    <w:p w:rsidR="008D238B" w:rsidRPr="007E28E0" w:rsidRDefault="00D54232" w:rsidP="00766F86">
      <w:pPr>
        <w:pStyle w:val="2"/>
        <w:rPr>
          <w:rFonts w:eastAsia="楷体_GB2312"/>
          <w:sz w:val="22"/>
        </w:rPr>
      </w:pPr>
      <w:r w:rsidRPr="007E28E0">
        <w:rPr>
          <w:rFonts w:hint="eastAsia"/>
          <w:sz w:val="24"/>
        </w:rPr>
        <w:t>在执行本考核办法的情况下，公司每月向管理层成员发放的薪酬是名义值的</w:t>
      </w:r>
      <w:r w:rsidRPr="007E28E0">
        <w:rPr>
          <w:rFonts w:hint="eastAsia"/>
          <w:sz w:val="24"/>
        </w:rPr>
        <w:t>80%</w:t>
      </w:r>
      <w:r w:rsidRPr="007E28E0">
        <w:rPr>
          <w:rFonts w:hint="eastAsia"/>
          <w:sz w:val="24"/>
        </w:rPr>
        <w:t>。</w:t>
      </w:r>
    </w:p>
    <w:sectPr w:rsidR="008D238B" w:rsidRPr="007E28E0">
      <w:footerReference w:type="even" r:id="rId7"/>
      <w:foot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C7C" w:rsidRDefault="00287C7C">
      <w:r>
        <w:separator/>
      </w:r>
    </w:p>
  </w:endnote>
  <w:endnote w:type="continuationSeparator" w:id="0">
    <w:p w:rsidR="00287C7C" w:rsidRDefault="00287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方正粗宋简体">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38B" w:rsidRDefault="00D542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D238B" w:rsidRDefault="008D238B">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38B" w:rsidRDefault="00D542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2224A">
      <w:rPr>
        <w:rStyle w:val="a4"/>
        <w:noProof/>
      </w:rPr>
      <w:t>1</w:t>
    </w:r>
    <w:r>
      <w:rPr>
        <w:rStyle w:val="a4"/>
      </w:rPr>
      <w:fldChar w:fldCharType="end"/>
    </w:r>
  </w:p>
  <w:p w:rsidR="008D238B" w:rsidRDefault="008D238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C7C" w:rsidRDefault="00287C7C">
      <w:r>
        <w:separator/>
      </w:r>
    </w:p>
  </w:footnote>
  <w:footnote w:type="continuationSeparator" w:id="0">
    <w:p w:rsidR="00287C7C" w:rsidRDefault="00287C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603C5F"/>
    <w:multiLevelType w:val="hybridMultilevel"/>
    <w:tmpl w:val="FA30D004"/>
    <w:lvl w:ilvl="0" w:tplc="C434AE14">
      <w:start w:val="1"/>
      <w:numFmt w:val="chineseCountingThousand"/>
      <w:pStyle w:val="2"/>
      <w:lvlText w:val="%1、"/>
      <w:lvlJc w:val="left"/>
      <w:pPr>
        <w:ind w:left="420" w:hanging="420"/>
      </w:pPr>
      <w:rPr>
        <w:rFonts w:ascii="楷体" w:eastAsia="楷体" w:hAnsi="楷体"/>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A197765"/>
    <w:multiLevelType w:val="hybridMultilevel"/>
    <w:tmpl w:val="FBCC63FE"/>
    <w:lvl w:ilvl="0" w:tplc="0702545E">
      <w:start w:val="1"/>
      <w:numFmt w:val="japaneseCounting"/>
      <w:lvlText w:val="%1、"/>
      <w:lvlJc w:val="left"/>
      <w:pPr>
        <w:tabs>
          <w:tab w:val="num" w:pos="720"/>
        </w:tabs>
        <w:ind w:left="720" w:hanging="720"/>
      </w:pPr>
      <w:rPr>
        <w:rFonts w:hint="eastAsia"/>
      </w:rPr>
    </w:lvl>
    <w:lvl w:ilvl="1" w:tplc="04090013">
      <w:start w:val="1"/>
      <w:numFmt w:val="chineseCountingThousand"/>
      <w:lvlText w:val="%2、"/>
      <w:lvlJc w:val="left"/>
      <w:pPr>
        <w:tabs>
          <w:tab w:val="num" w:pos="900"/>
        </w:tabs>
        <w:ind w:left="900" w:hanging="480"/>
      </w:pPr>
      <w:rPr>
        <w:rFonts w:hint="eastAsia"/>
      </w:rPr>
    </w:lvl>
    <w:lvl w:ilvl="2" w:tplc="186A0280">
      <w:start w:val="1"/>
      <w:numFmt w:val="japaneseCounting"/>
      <w:lvlText w:val="（%3）"/>
      <w:lvlJc w:val="left"/>
      <w:pPr>
        <w:tabs>
          <w:tab w:val="num" w:pos="1560"/>
        </w:tabs>
        <w:ind w:left="1560" w:hanging="720"/>
      </w:pPr>
      <w:rPr>
        <w:rFonts w:hint="eastAsia"/>
      </w:rPr>
    </w:lvl>
    <w:lvl w:ilvl="3" w:tplc="63807B98">
      <w:start w:val="1"/>
      <w:numFmt w:val="decimal"/>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A76646E"/>
    <w:multiLevelType w:val="hybridMultilevel"/>
    <w:tmpl w:val="4746B754"/>
    <w:lvl w:ilvl="0" w:tplc="8D1E52BE">
      <w:start w:val="9"/>
      <w:numFmt w:val="japaneseCounting"/>
      <w:lvlText w:val="%1）"/>
      <w:lvlJc w:val="left"/>
      <w:pPr>
        <w:tabs>
          <w:tab w:val="num" w:pos="900"/>
        </w:tabs>
        <w:ind w:left="900" w:hanging="480"/>
      </w:pPr>
      <w:rPr>
        <w:rFonts w:hint="eastAsia"/>
      </w:rPr>
    </w:lvl>
    <w:lvl w:ilvl="1" w:tplc="04090019">
      <w:start w:val="1"/>
      <w:numFmt w:val="lowerLetter"/>
      <w:lvlText w:val="%2)"/>
      <w:lvlJc w:val="left"/>
      <w:pPr>
        <w:tabs>
          <w:tab w:val="num" w:pos="1260"/>
        </w:tabs>
        <w:ind w:left="1260" w:hanging="420"/>
      </w:pPr>
    </w:lvl>
    <w:lvl w:ilvl="2" w:tplc="BE4CF62A">
      <w:start w:val="1"/>
      <w:numFmt w:val="decimal"/>
      <w:lvlText w:val="（%3）"/>
      <w:lvlJc w:val="left"/>
      <w:pPr>
        <w:tabs>
          <w:tab w:val="num" w:pos="1980"/>
        </w:tabs>
        <w:ind w:left="1980" w:hanging="720"/>
      </w:pPr>
      <w:rPr>
        <w:rFonts w:hint="eastAsia"/>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7D033CF3"/>
    <w:multiLevelType w:val="hybridMultilevel"/>
    <w:tmpl w:val="035C3F74"/>
    <w:lvl w:ilvl="0" w:tplc="9DCE56E6">
      <w:start w:val="1"/>
      <w:numFmt w:val="japaneseCounting"/>
      <w:lvlText w:val="%1、"/>
      <w:lvlJc w:val="left"/>
      <w:pPr>
        <w:tabs>
          <w:tab w:val="num" w:pos="480"/>
        </w:tabs>
        <w:ind w:left="480" w:hanging="480"/>
      </w:pPr>
      <w:rPr>
        <w:rFonts w:hint="eastAsia"/>
      </w:rPr>
    </w:lvl>
    <w:lvl w:ilvl="1" w:tplc="C8504F5C">
      <w:start w:val="1"/>
      <w:numFmt w:val="japaneseCounting"/>
      <w:lvlText w:val="%2、"/>
      <w:lvlJc w:val="left"/>
      <w:pPr>
        <w:tabs>
          <w:tab w:val="num" w:pos="1380"/>
        </w:tabs>
        <w:ind w:left="1380" w:hanging="9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4"/>
  <w:mirrorMargin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232"/>
    <w:rsid w:val="000A3230"/>
    <w:rsid w:val="000C71F7"/>
    <w:rsid w:val="00147643"/>
    <w:rsid w:val="0020665C"/>
    <w:rsid w:val="00287C7C"/>
    <w:rsid w:val="002A5B26"/>
    <w:rsid w:val="002F7175"/>
    <w:rsid w:val="003B30CB"/>
    <w:rsid w:val="004346F6"/>
    <w:rsid w:val="00452120"/>
    <w:rsid w:val="00486A24"/>
    <w:rsid w:val="005C0536"/>
    <w:rsid w:val="00766F86"/>
    <w:rsid w:val="007E28E0"/>
    <w:rsid w:val="008A4F83"/>
    <w:rsid w:val="008A6B94"/>
    <w:rsid w:val="008D238B"/>
    <w:rsid w:val="00961CB3"/>
    <w:rsid w:val="009B15B8"/>
    <w:rsid w:val="00A2411C"/>
    <w:rsid w:val="00BF7951"/>
    <w:rsid w:val="00C92A6E"/>
    <w:rsid w:val="00D54232"/>
    <w:rsid w:val="00F2224A"/>
    <w:rsid w:val="00FA1BAC"/>
    <w:rsid w:val="00FF4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2332E38-5AD9-45A0-AEA6-FA7255E4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Char"/>
    <w:uiPriority w:val="9"/>
    <w:unhideWhenUsed/>
    <w:qFormat/>
    <w:rsid w:val="007E28E0"/>
    <w:pPr>
      <w:keepNext/>
      <w:keepLines/>
      <w:numPr>
        <w:numId w:val="5"/>
      </w:numPr>
      <w:jc w:val="left"/>
      <w:outlineLvl w:val="1"/>
    </w:pPr>
    <w:rPr>
      <w:rFonts w:asciiTheme="majorHAnsi" w:eastAsia="楷体"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szCs w:val="18"/>
    </w:rPr>
  </w:style>
  <w:style w:type="character" w:styleId="a4">
    <w:name w:val="page number"/>
    <w:basedOn w:val="a0"/>
    <w:semiHidden/>
  </w:style>
  <w:style w:type="paragraph" w:styleId="a5">
    <w:name w:val="Body Text Indent"/>
    <w:basedOn w:val="a"/>
    <w:semiHidden/>
    <w:pPr>
      <w:ind w:firstLineChars="200" w:firstLine="480"/>
    </w:pPr>
    <w:rPr>
      <w:rFonts w:eastAsia="楷体_GB2312"/>
      <w:sz w:val="24"/>
    </w:rPr>
  </w:style>
  <w:style w:type="paragraph" w:styleId="20">
    <w:name w:val="Body Text Indent 2"/>
    <w:basedOn w:val="a"/>
    <w:semiHidden/>
    <w:pPr>
      <w:ind w:left="840"/>
    </w:pPr>
    <w:rPr>
      <w:rFonts w:eastAsia="楷体_GB2312"/>
      <w:sz w:val="24"/>
    </w:rPr>
  </w:style>
  <w:style w:type="paragraph" w:styleId="a6">
    <w:name w:val="List Paragraph"/>
    <w:basedOn w:val="a"/>
    <w:uiPriority w:val="34"/>
    <w:qFormat/>
    <w:rsid w:val="00BF7951"/>
    <w:pPr>
      <w:ind w:firstLineChars="200" w:firstLine="420"/>
    </w:pPr>
  </w:style>
  <w:style w:type="character" w:customStyle="1" w:styleId="2Char">
    <w:name w:val="标题 2 Char"/>
    <w:basedOn w:val="a0"/>
    <w:link w:val="2"/>
    <w:uiPriority w:val="9"/>
    <w:rsid w:val="007E28E0"/>
    <w:rPr>
      <w:rFonts w:asciiTheme="majorHAnsi" w:eastAsia="楷体" w:hAnsiTheme="majorHAnsi" w:cstheme="majorBidi"/>
      <w:b/>
      <w:bCs/>
      <w:kern w:val="2"/>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160</Words>
  <Characters>915</Characters>
  <Application>Microsoft Office Word</Application>
  <DocSecurity>0</DocSecurity>
  <Lines>7</Lines>
  <Paragraphs>2</Paragraphs>
  <ScaleCrop>false</ScaleCrop>
  <HeadingPairs>
    <vt:vector size="2" baseType="variant">
      <vt:variant>
        <vt:lpstr>题目</vt:lpstr>
      </vt:variant>
      <vt:variant>
        <vt:i4>1</vt:i4>
      </vt:variant>
    </vt:vector>
  </HeadingPairs>
  <TitlesOfParts>
    <vt:vector size="1" baseType="lpstr">
      <vt:lpstr>租赁公司人员绩效考核问题探讨</vt:lpstr>
    </vt:vector>
  </TitlesOfParts>
  <Company>qiuqiyang</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租赁公司人员绩效考核问题探讨</dc:title>
  <dc:subject/>
  <dc:creator>qiuqiyang</dc:creator>
  <cp:keywords/>
  <dc:description/>
  <cp:lastModifiedBy>Yankun Zhang</cp:lastModifiedBy>
  <cp:revision>24</cp:revision>
  <cp:lastPrinted>2003-07-21T02:27:00Z</cp:lastPrinted>
  <dcterms:created xsi:type="dcterms:W3CDTF">2014-07-04T08:53:00Z</dcterms:created>
  <dcterms:modified xsi:type="dcterms:W3CDTF">2014-07-05T06:42:00Z</dcterms:modified>
</cp:coreProperties>
</file>