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0353" w:rsidRDefault="001647FB" w:rsidP="00D067AC">
      <w:pPr>
        <w:jc w:val="center"/>
        <w:rPr>
          <w:rFonts w:eastAsia="黑体" w:hint="eastAsia"/>
          <w:sz w:val="32"/>
        </w:rPr>
      </w:pPr>
      <w:bookmarkStart w:id="0" w:name="_GoBack"/>
      <w:bookmarkEnd w:id="0"/>
      <w:r>
        <w:rPr>
          <w:rFonts w:eastAsia="黑体"/>
          <w:sz w:val="32"/>
        </w:rPr>
        <w:t>融资</w:t>
      </w:r>
      <w:r w:rsidR="009E0353">
        <w:rPr>
          <w:rFonts w:eastAsia="黑体" w:hint="eastAsia"/>
          <w:sz w:val="32"/>
        </w:rPr>
        <w:t>租赁有限公司</w:t>
      </w:r>
    </w:p>
    <w:p w:rsidR="009E0353" w:rsidRPr="009C4B28" w:rsidRDefault="009E0353" w:rsidP="00D067AC">
      <w:pPr>
        <w:jc w:val="center"/>
        <w:rPr>
          <w:rFonts w:ascii="方正粗宋简体" w:eastAsia="方正粗宋简体" w:hint="eastAsia"/>
          <w:sz w:val="36"/>
        </w:rPr>
      </w:pPr>
      <w:r w:rsidRPr="007E1866">
        <w:rPr>
          <w:rFonts w:ascii="方正粗宋简体" w:eastAsia="方正粗宋简体" w:hint="eastAsia"/>
          <w:sz w:val="36"/>
        </w:rPr>
        <w:t>全员绩效考核办法</w:t>
      </w:r>
    </w:p>
    <w:p w:rsidR="009E0353" w:rsidRDefault="009E0353" w:rsidP="00D067AC">
      <w:pPr>
        <w:numPr>
          <w:ilvl w:val="0"/>
          <w:numId w:val="3"/>
        </w:numPr>
        <w:jc w:val="center"/>
        <w:rPr>
          <w:rFonts w:eastAsia="黑体" w:hint="eastAsia"/>
          <w:sz w:val="28"/>
        </w:rPr>
      </w:pPr>
      <w:r>
        <w:rPr>
          <w:rFonts w:eastAsia="黑体" w:hint="eastAsia"/>
          <w:sz w:val="28"/>
        </w:rPr>
        <w:t>宗</w:t>
      </w:r>
      <w:r>
        <w:rPr>
          <w:rFonts w:eastAsia="黑体" w:hint="eastAsia"/>
          <w:sz w:val="28"/>
        </w:rPr>
        <w:t xml:space="preserve"> </w:t>
      </w:r>
      <w:r>
        <w:rPr>
          <w:rFonts w:eastAsia="黑体" w:hint="eastAsia"/>
          <w:sz w:val="28"/>
        </w:rPr>
        <w:t>旨</w:t>
      </w:r>
    </w:p>
    <w:p w:rsidR="009E0353" w:rsidRDefault="009E0353" w:rsidP="00D067AC">
      <w:pPr>
        <w:pStyle w:val="a5"/>
        <w:rPr>
          <w:rFonts w:hint="eastAsia"/>
        </w:rPr>
      </w:pPr>
      <w:r>
        <w:rPr>
          <w:rFonts w:hint="eastAsia"/>
        </w:rPr>
        <w:t>全员绩效考核的宗旨是，在尽量量化的基础上，作到政策透明，奖罚分明，以分配或扣减年度奖金的办法，鼓励先进，鞭策落后，以调动公司全员的积极性，为最大限度实现公司的经营目标，并同时实现每个职员的个人价值，而共同拼搏。</w:t>
      </w:r>
    </w:p>
    <w:p w:rsidR="009E0353" w:rsidRDefault="009E0353" w:rsidP="00D067AC">
      <w:pPr>
        <w:numPr>
          <w:ilvl w:val="0"/>
          <w:numId w:val="3"/>
        </w:numPr>
        <w:jc w:val="center"/>
        <w:rPr>
          <w:rFonts w:eastAsia="黑体" w:hint="eastAsia"/>
          <w:sz w:val="28"/>
        </w:rPr>
      </w:pPr>
      <w:r>
        <w:rPr>
          <w:rFonts w:eastAsia="黑体" w:hint="eastAsia"/>
          <w:sz w:val="28"/>
        </w:rPr>
        <w:t>具体办法</w:t>
      </w:r>
    </w:p>
    <w:p w:rsidR="009E0353" w:rsidRPr="00FB612F" w:rsidRDefault="009E0353" w:rsidP="00FB612F">
      <w:pPr>
        <w:pStyle w:val="2"/>
        <w:rPr>
          <w:rFonts w:hint="eastAsia"/>
        </w:rPr>
      </w:pPr>
      <w:r w:rsidRPr="00FB612F">
        <w:rPr>
          <w:rFonts w:hint="eastAsia"/>
        </w:rPr>
        <w:t>考核范围</w:t>
      </w:r>
    </w:p>
    <w:p w:rsidR="009E0353" w:rsidRDefault="009E0353" w:rsidP="00D067AC">
      <w:pPr>
        <w:pStyle w:val="20"/>
        <w:rPr>
          <w:rFonts w:hint="eastAsia"/>
        </w:rPr>
      </w:pPr>
      <w:r>
        <w:rPr>
          <w:rFonts w:hint="eastAsia"/>
        </w:rPr>
        <w:t>考核范围是全公司除管理层而外的正式职员，不包括董事会专职人员和实习期人员。实习期人员在本年内转正的，按转正期的月数参与考核。对于公司管理层的绩效考核，由董事会掌握。</w:t>
      </w:r>
    </w:p>
    <w:p w:rsidR="009E0353" w:rsidRPr="00FB612F" w:rsidRDefault="009E0353" w:rsidP="00FB612F">
      <w:pPr>
        <w:pStyle w:val="2"/>
        <w:rPr>
          <w:rFonts w:hint="eastAsia"/>
        </w:rPr>
      </w:pPr>
      <w:r w:rsidRPr="00FB612F">
        <w:rPr>
          <w:rFonts w:hint="eastAsia"/>
        </w:rPr>
        <w:t>从绩效考核的角度出发的人员分类</w:t>
      </w:r>
    </w:p>
    <w:p w:rsidR="009E0353" w:rsidRDefault="009E0353" w:rsidP="00D067AC">
      <w:pPr>
        <w:ind w:left="840"/>
        <w:rPr>
          <w:rFonts w:eastAsia="楷体_GB2312" w:hint="eastAsia"/>
          <w:sz w:val="24"/>
        </w:rPr>
      </w:pPr>
      <w:r>
        <w:rPr>
          <w:rFonts w:eastAsia="楷体_GB2312" w:hint="eastAsia"/>
          <w:sz w:val="24"/>
        </w:rPr>
        <w:t>从绩效考核的角度出发，纳入全公司考核范围的人员分为两大类。一类是一线人员，包括业务一部（</w:t>
      </w:r>
      <w:r>
        <w:rPr>
          <w:rFonts w:eastAsia="楷体_GB2312" w:hint="eastAsia"/>
          <w:sz w:val="24"/>
        </w:rPr>
        <w:t>4</w:t>
      </w:r>
      <w:r>
        <w:rPr>
          <w:rFonts w:eastAsia="楷体_GB2312" w:hint="eastAsia"/>
          <w:sz w:val="24"/>
        </w:rPr>
        <w:t>人）和业务二部（</w:t>
      </w:r>
      <w:r>
        <w:rPr>
          <w:rFonts w:eastAsia="楷体_GB2312" w:hint="eastAsia"/>
          <w:sz w:val="24"/>
        </w:rPr>
        <w:t>5</w:t>
      </w:r>
      <w:r>
        <w:rPr>
          <w:rFonts w:eastAsia="楷体_GB2312" w:hint="eastAsia"/>
          <w:sz w:val="24"/>
        </w:rPr>
        <w:t>人），共</w:t>
      </w:r>
      <w:r>
        <w:rPr>
          <w:rFonts w:eastAsia="楷体_GB2312" w:hint="eastAsia"/>
          <w:sz w:val="24"/>
        </w:rPr>
        <w:t>9</w:t>
      </w:r>
      <w:r>
        <w:rPr>
          <w:rFonts w:eastAsia="楷体_GB2312" w:hint="eastAsia"/>
          <w:sz w:val="24"/>
        </w:rPr>
        <w:t>人；另一类是二线人员，包括办公室（</w:t>
      </w:r>
      <w:r>
        <w:rPr>
          <w:rFonts w:eastAsia="楷体_GB2312" w:hint="eastAsia"/>
          <w:sz w:val="24"/>
        </w:rPr>
        <w:t>10</w:t>
      </w:r>
      <w:r>
        <w:rPr>
          <w:rFonts w:eastAsia="楷体_GB2312" w:hint="eastAsia"/>
          <w:sz w:val="24"/>
        </w:rPr>
        <w:t>人）、计财部（</w:t>
      </w:r>
      <w:r>
        <w:rPr>
          <w:rFonts w:eastAsia="楷体_GB2312" w:hint="eastAsia"/>
          <w:sz w:val="24"/>
        </w:rPr>
        <w:t>4</w:t>
      </w:r>
      <w:r>
        <w:rPr>
          <w:rFonts w:eastAsia="楷体_GB2312" w:hint="eastAsia"/>
          <w:sz w:val="24"/>
        </w:rPr>
        <w:t>人）、法律事务部（</w:t>
      </w:r>
      <w:r>
        <w:rPr>
          <w:rFonts w:eastAsia="楷体_GB2312" w:hint="eastAsia"/>
          <w:sz w:val="24"/>
        </w:rPr>
        <w:t>1</w:t>
      </w:r>
      <w:r>
        <w:rPr>
          <w:rFonts w:eastAsia="楷体_GB2312" w:hint="eastAsia"/>
          <w:sz w:val="24"/>
        </w:rPr>
        <w:t>人）、研发部（</w:t>
      </w:r>
      <w:r>
        <w:rPr>
          <w:rFonts w:eastAsia="楷体_GB2312" w:hint="eastAsia"/>
          <w:sz w:val="24"/>
        </w:rPr>
        <w:t>1</w:t>
      </w:r>
      <w:r>
        <w:rPr>
          <w:rFonts w:eastAsia="楷体_GB2312" w:hint="eastAsia"/>
          <w:sz w:val="24"/>
        </w:rPr>
        <w:t>人）和稽核部（</w:t>
      </w:r>
      <w:r>
        <w:rPr>
          <w:rFonts w:eastAsia="楷体_GB2312" w:hint="eastAsia"/>
          <w:sz w:val="24"/>
        </w:rPr>
        <w:t>2</w:t>
      </w:r>
      <w:r>
        <w:rPr>
          <w:rFonts w:eastAsia="楷体_GB2312" w:hint="eastAsia"/>
          <w:sz w:val="24"/>
        </w:rPr>
        <w:t>人），共</w:t>
      </w:r>
      <w:r>
        <w:rPr>
          <w:rFonts w:eastAsia="楷体_GB2312" w:hint="eastAsia"/>
          <w:sz w:val="24"/>
        </w:rPr>
        <w:t>18</w:t>
      </w:r>
      <w:r>
        <w:rPr>
          <w:rFonts w:eastAsia="楷体_GB2312" w:hint="eastAsia"/>
          <w:sz w:val="24"/>
        </w:rPr>
        <w:t>人。这两大类人员（共</w:t>
      </w:r>
      <w:r>
        <w:rPr>
          <w:rFonts w:eastAsia="楷体_GB2312" w:hint="eastAsia"/>
          <w:sz w:val="24"/>
        </w:rPr>
        <w:t>27</w:t>
      </w:r>
      <w:r>
        <w:rPr>
          <w:rFonts w:eastAsia="楷体_GB2312" w:hint="eastAsia"/>
          <w:sz w:val="24"/>
        </w:rPr>
        <w:t>人）分别按下述标准考核。</w:t>
      </w:r>
    </w:p>
    <w:p w:rsidR="009E0353" w:rsidRPr="00FB612F" w:rsidRDefault="009E0353" w:rsidP="00FB612F">
      <w:pPr>
        <w:pStyle w:val="2"/>
        <w:rPr>
          <w:rFonts w:hint="eastAsia"/>
        </w:rPr>
      </w:pPr>
      <w:r w:rsidRPr="00FB612F">
        <w:rPr>
          <w:rFonts w:hint="eastAsia"/>
        </w:rPr>
        <w:t>考核期间</w:t>
      </w:r>
    </w:p>
    <w:p w:rsidR="009E0353" w:rsidRDefault="009E0353" w:rsidP="00D619FB">
      <w:pPr>
        <w:ind w:left="900"/>
        <w:rPr>
          <w:rFonts w:eastAsia="楷体_GB2312" w:hint="eastAsia"/>
          <w:sz w:val="24"/>
        </w:rPr>
      </w:pPr>
      <w:r>
        <w:rPr>
          <w:rFonts w:eastAsia="楷体_GB2312" w:hint="eastAsia"/>
          <w:sz w:val="24"/>
        </w:rPr>
        <w:t>本公司每一会计年度为一个考核期间。</w:t>
      </w:r>
    </w:p>
    <w:p w:rsidR="009E0353" w:rsidRPr="00FB612F" w:rsidRDefault="009E0353" w:rsidP="00FB612F">
      <w:pPr>
        <w:pStyle w:val="2"/>
        <w:rPr>
          <w:rFonts w:hint="eastAsia"/>
        </w:rPr>
      </w:pPr>
      <w:r w:rsidRPr="00FB612F">
        <w:rPr>
          <w:rFonts w:hint="eastAsia"/>
        </w:rPr>
        <w:t>奖励基金的来源</w:t>
      </w:r>
    </w:p>
    <w:p w:rsidR="009E0353" w:rsidRPr="00D619FB" w:rsidRDefault="009E0353" w:rsidP="00D619FB">
      <w:pPr>
        <w:ind w:left="900"/>
        <w:rPr>
          <w:rFonts w:eastAsia="楷体_GB2312" w:hint="eastAsia"/>
          <w:color w:val="000000"/>
          <w:sz w:val="24"/>
          <w:u w:val="single"/>
        </w:rPr>
      </w:pPr>
      <w:r>
        <w:rPr>
          <w:rFonts w:eastAsia="楷体_GB2312" w:hint="eastAsia"/>
          <w:sz w:val="24"/>
        </w:rPr>
        <w:t>奖励基金的来源是本公司本年度经审计的税后净利润</w:t>
      </w:r>
      <w:r>
        <w:rPr>
          <w:rFonts w:eastAsia="楷体_GB2312" w:hint="eastAsia"/>
          <w:color w:val="000000"/>
          <w:sz w:val="24"/>
          <w:u w:val="single"/>
        </w:rPr>
        <w:t>和全公司考核范围的人员的全年薪酬合计数的</w:t>
      </w:r>
      <w:r>
        <w:rPr>
          <w:rFonts w:eastAsia="楷体_GB2312" w:hint="eastAsia"/>
          <w:color w:val="000000"/>
          <w:sz w:val="24"/>
          <w:u w:val="single"/>
        </w:rPr>
        <w:t>20%</w:t>
      </w:r>
      <w:r>
        <w:rPr>
          <w:rFonts w:eastAsia="楷体_GB2312" w:hint="eastAsia"/>
          <w:color w:val="000000"/>
          <w:sz w:val="24"/>
          <w:u w:val="single"/>
        </w:rPr>
        <w:t>。</w:t>
      </w:r>
    </w:p>
    <w:p w:rsidR="009E0353" w:rsidRPr="00FB612F" w:rsidRDefault="009E0353" w:rsidP="00FB612F">
      <w:pPr>
        <w:pStyle w:val="2"/>
        <w:rPr>
          <w:rFonts w:hint="eastAsia"/>
        </w:rPr>
      </w:pPr>
      <w:r w:rsidRPr="00FB612F">
        <w:rPr>
          <w:rFonts w:hint="eastAsia"/>
        </w:rPr>
        <w:t>奖励基金的定值</w:t>
      </w:r>
    </w:p>
    <w:p w:rsidR="009E0353" w:rsidRDefault="009E0353" w:rsidP="00D067AC">
      <w:pPr>
        <w:ind w:left="420" w:firstLine="480"/>
        <w:rPr>
          <w:rFonts w:eastAsia="楷体_GB2312" w:hint="eastAsia"/>
          <w:sz w:val="24"/>
        </w:rPr>
      </w:pPr>
      <w:r>
        <w:rPr>
          <w:rFonts w:eastAsia="楷体_GB2312" w:hint="eastAsia"/>
          <w:sz w:val="24"/>
        </w:rPr>
        <w:t>奖励基金的定值由董事会会议于各年年初以专门的决议形式确定并公布。定值标准</w:t>
      </w:r>
    </w:p>
    <w:p w:rsidR="009E0353" w:rsidRDefault="009E0353" w:rsidP="00D067AC">
      <w:pPr>
        <w:ind w:left="420" w:firstLine="480"/>
        <w:rPr>
          <w:rFonts w:eastAsia="楷体_GB2312" w:hint="eastAsia"/>
          <w:color w:val="000000"/>
          <w:sz w:val="24"/>
          <w:u w:val="single"/>
        </w:rPr>
      </w:pPr>
      <w:r>
        <w:rPr>
          <w:rFonts w:eastAsia="楷体_GB2312" w:hint="eastAsia"/>
          <w:sz w:val="24"/>
        </w:rPr>
        <w:t>以奖励基金占该年度经审计的税后净利润</w:t>
      </w:r>
      <w:r>
        <w:rPr>
          <w:rFonts w:eastAsia="楷体_GB2312" w:hint="eastAsia"/>
          <w:color w:val="000000"/>
          <w:sz w:val="24"/>
          <w:u w:val="single"/>
        </w:rPr>
        <w:t>和全公司考核范围的人员的全年薪酬合计</w:t>
      </w:r>
    </w:p>
    <w:p w:rsidR="009E0353" w:rsidRDefault="009E0353" w:rsidP="00D619FB">
      <w:pPr>
        <w:ind w:left="420" w:firstLine="480"/>
        <w:rPr>
          <w:rFonts w:eastAsia="楷体_GB2312" w:hint="eastAsia"/>
          <w:sz w:val="24"/>
        </w:rPr>
      </w:pPr>
      <w:r>
        <w:rPr>
          <w:rFonts w:eastAsia="楷体_GB2312" w:hint="eastAsia"/>
          <w:color w:val="000000"/>
          <w:sz w:val="24"/>
          <w:u w:val="single"/>
        </w:rPr>
        <w:t>数的</w:t>
      </w:r>
      <w:r>
        <w:rPr>
          <w:rFonts w:eastAsia="楷体_GB2312" w:hint="eastAsia"/>
          <w:color w:val="000000"/>
          <w:sz w:val="24"/>
          <w:u w:val="single"/>
        </w:rPr>
        <w:t>20%</w:t>
      </w:r>
      <w:r>
        <w:rPr>
          <w:rFonts w:eastAsia="楷体_GB2312" w:hint="eastAsia"/>
          <w:color w:val="000000"/>
          <w:sz w:val="24"/>
          <w:u w:val="single"/>
        </w:rPr>
        <w:t>之和</w:t>
      </w:r>
      <w:r>
        <w:rPr>
          <w:rFonts w:eastAsia="楷体_GB2312" w:hint="eastAsia"/>
          <w:sz w:val="24"/>
        </w:rPr>
        <w:t>的百分数表示（例如，</w:t>
      </w:r>
      <w:r>
        <w:rPr>
          <w:rFonts w:eastAsia="楷体_GB2312" w:hint="eastAsia"/>
          <w:sz w:val="24"/>
        </w:rPr>
        <w:t>15%</w:t>
      </w:r>
      <w:r>
        <w:rPr>
          <w:rFonts w:eastAsia="楷体_GB2312" w:hint="eastAsia"/>
          <w:sz w:val="24"/>
        </w:rPr>
        <w:t>）。</w:t>
      </w:r>
    </w:p>
    <w:p w:rsidR="009E0353" w:rsidRPr="00FB612F" w:rsidRDefault="009E0353" w:rsidP="00FB612F">
      <w:pPr>
        <w:pStyle w:val="2"/>
        <w:rPr>
          <w:rFonts w:hint="eastAsia"/>
        </w:rPr>
      </w:pPr>
      <w:r w:rsidRPr="00FB612F">
        <w:rPr>
          <w:rFonts w:hint="eastAsia"/>
        </w:rPr>
        <w:t>薪酬权数</w:t>
      </w:r>
    </w:p>
    <w:p w:rsidR="009E0353" w:rsidRDefault="009E0353" w:rsidP="00D619FB">
      <w:pPr>
        <w:ind w:left="900"/>
        <w:rPr>
          <w:rFonts w:eastAsia="楷体_GB2312" w:hint="eastAsia"/>
          <w:sz w:val="24"/>
        </w:rPr>
      </w:pPr>
      <w:r>
        <w:rPr>
          <w:rFonts w:eastAsia="楷体_GB2312" w:hint="eastAsia"/>
          <w:sz w:val="24"/>
        </w:rPr>
        <w:t>本制度所实施的奖惩，以每个职员的薪酬权数为基础。即，在假设绩效完全相同的情况下，不同职员所得奖金的数额与其薪酬数额成正比。纳入全公司考核范围的人员目前的每月薪酬合计是</w:t>
      </w:r>
      <w:r>
        <w:rPr>
          <w:rFonts w:eastAsia="楷体_GB2312" w:hint="eastAsia"/>
          <w:sz w:val="24"/>
        </w:rPr>
        <w:t>47,900</w:t>
      </w:r>
      <w:r>
        <w:rPr>
          <w:rFonts w:eastAsia="楷体_GB2312" w:hint="eastAsia"/>
          <w:sz w:val="24"/>
        </w:rPr>
        <w:t>元。薪酬总权数是</w:t>
      </w:r>
      <w:r>
        <w:rPr>
          <w:rFonts w:eastAsia="楷体_GB2312" w:hint="eastAsia"/>
          <w:sz w:val="24"/>
        </w:rPr>
        <w:t>47.9(=47,900/1,000)</w:t>
      </w:r>
      <w:r>
        <w:rPr>
          <w:rFonts w:eastAsia="楷体_GB2312" w:hint="eastAsia"/>
          <w:sz w:val="24"/>
        </w:rPr>
        <w:t>。如果某职员的每月薪酬是</w:t>
      </w:r>
      <w:r>
        <w:rPr>
          <w:rFonts w:eastAsia="楷体_GB2312" w:hint="eastAsia"/>
          <w:sz w:val="24"/>
        </w:rPr>
        <w:t>2,500</w:t>
      </w:r>
      <w:r>
        <w:rPr>
          <w:rFonts w:eastAsia="楷体_GB2312" w:hint="eastAsia"/>
          <w:sz w:val="24"/>
        </w:rPr>
        <w:t>元，则其薪酬权数是</w:t>
      </w:r>
      <w:r>
        <w:rPr>
          <w:rFonts w:eastAsia="楷体_GB2312" w:hint="eastAsia"/>
          <w:sz w:val="24"/>
        </w:rPr>
        <w:t>2.5</w:t>
      </w:r>
      <w:r>
        <w:rPr>
          <w:rFonts w:eastAsia="楷体_GB2312" w:hint="eastAsia"/>
          <w:sz w:val="24"/>
        </w:rPr>
        <w:t>。按上述两大类分，则一线人员的薪酬权数合计是</w:t>
      </w:r>
      <w:r>
        <w:rPr>
          <w:rFonts w:eastAsia="楷体_GB2312" w:hint="eastAsia"/>
          <w:sz w:val="24"/>
        </w:rPr>
        <w:t>18.7</w:t>
      </w:r>
      <w:r>
        <w:rPr>
          <w:rFonts w:eastAsia="楷体_GB2312" w:hint="eastAsia"/>
          <w:sz w:val="24"/>
        </w:rPr>
        <w:t>，二线人员的薪酬权数合计是</w:t>
      </w:r>
      <w:r>
        <w:rPr>
          <w:rFonts w:eastAsia="楷体_GB2312" w:hint="eastAsia"/>
          <w:sz w:val="24"/>
        </w:rPr>
        <w:t>29.2</w:t>
      </w:r>
      <w:r>
        <w:rPr>
          <w:rFonts w:eastAsia="楷体_GB2312" w:hint="eastAsia"/>
          <w:sz w:val="24"/>
        </w:rPr>
        <w:t>。（详见《</w:t>
      </w:r>
      <w:r>
        <w:rPr>
          <w:rFonts w:eastAsia="黑体" w:hint="eastAsia"/>
          <w:sz w:val="24"/>
        </w:rPr>
        <w:t>人员名单及薪酬权数</w:t>
      </w:r>
      <w:r>
        <w:rPr>
          <w:rFonts w:eastAsia="楷体_GB2312" w:hint="eastAsia"/>
          <w:sz w:val="24"/>
        </w:rPr>
        <w:t>》表。</w:t>
      </w:r>
    </w:p>
    <w:p w:rsidR="009A5741" w:rsidRPr="00FB612F" w:rsidRDefault="009E0353" w:rsidP="00FB612F">
      <w:pPr>
        <w:pStyle w:val="2"/>
      </w:pPr>
      <w:r w:rsidRPr="00FB612F">
        <w:rPr>
          <w:rFonts w:hint="eastAsia"/>
        </w:rPr>
        <w:t>两大类人员奖金的划分</w:t>
      </w:r>
    </w:p>
    <w:p w:rsidR="00347912" w:rsidRDefault="009E0353" w:rsidP="00D067AC">
      <w:pPr>
        <w:ind w:left="900"/>
        <w:jc w:val="left"/>
        <w:rPr>
          <w:rFonts w:eastAsia="楷体_GB2312"/>
          <w:b/>
          <w:sz w:val="24"/>
        </w:rPr>
      </w:pPr>
      <w:r w:rsidRPr="00347912">
        <w:rPr>
          <w:rFonts w:eastAsia="楷体_GB2312" w:hint="eastAsia"/>
          <w:sz w:val="24"/>
        </w:rPr>
        <w:t>两大类人员的奖金按薪酬权数的比例划分。就目前情况而言，如果可分配奖金是</w:t>
      </w:r>
      <w:r w:rsidRPr="00347912">
        <w:rPr>
          <w:rFonts w:eastAsia="楷体_GB2312" w:hint="eastAsia"/>
          <w:sz w:val="24"/>
        </w:rPr>
        <w:t>X</w:t>
      </w:r>
      <w:r w:rsidRPr="00347912">
        <w:rPr>
          <w:rFonts w:eastAsia="楷体_GB2312" w:hint="eastAsia"/>
          <w:sz w:val="24"/>
        </w:rPr>
        <w:t>，则一线人员的可分配奖金是</w:t>
      </w:r>
      <w:r w:rsidRPr="00347912">
        <w:rPr>
          <w:rFonts w:eastAsia="楷体_GB2312" w:hint="eastAsia"/>
          <w:sz w:val="24"/>
        </w:rPr>
        <w:t>0.3904X{=X*18.7/(18.7+29.2)}</w:t>
      </w:r>
      <w:r w:rsidRPr="00347912">
        <w:rPr>
          <w:rFonts w:eastAsia="楷体_GB2312" w:hint="eastAsia"/>
          <w:sz w:val="24"/>
        </w:rPr>
        <w:t>，二线人员的可分配奖金是</w:t>
      </w:r>
      <w:r w:rsidRPr="00347912">
        <w:rPr>
          <w:rFonts w:eastAsia="楷体_GB2312" w:hint="eastAsia"/>
          <w:sz w:val="24"/>
        </w:rPr>
        <w:t>0.6096X</w:t>
      </w:r>
      <w:r w:rsidRPr="00347912">
        <w:rPr>
          <w:rFonts w:eastAsia="楷体_GB2312" w:hint="eastAsia"/>
          <w:sz w:val="24"/>
        </w:rPr>
        <w:t>。</w:t>
      </w:r>
    </w:p>
    <w:p w:rsidR="009E0353" w:rsidRPr="00FB612F" w:rsidRDefault="009E0353" w:rsidP="00FB612F">
      <w:pPr>
        <w:pStyle w:val="2"/>
        <w:rPr>
          <w:rFonts w:hint="eastAsia"/>
        </w:rPr>
      </w:pPr>
      <w:r w:rsidRPr="00FB612F">
        <w:rPr>
          <w:rFonts w:hint="eastAsia"/>
        </w:rPr>
        <w:t>用于一线人员的奖励性考核指标</w:t>
      </w:r>
    </w:p>
    <w:p w:rsidR="001F76CF" w:rsidRDefault="009E0353" w:rsidP="001F76CF">
      <w:pPr>
        <w:numPr>
          <w:ilvl w:val="3"/>
          <w:numId w:val="3"/>
        </w:numPr>
        <w:tabs>
          <w:tab w:val="clear" w:pos="1980"/>
          <w:tab w:val="num" w:pos="851"/>
        </w:tabs>
        <w:ind w:left="851" w:hanging="851"/>
        <w:rPr>
          <w:rFonts w:eastAsia="楷体_GB2312"/>
          <w:sz w:val="24"/>
        </w:rPr>
      </w:pPr>
      <w:r>
        <w:rPr>
          <w:rFonts w:eastAsia="楷体_GB2312" w:hint="eastAsia"/>
          <w:sz w:val="24"/>
        </w:rPr>
        <w:t>一线人员奖励用考核指标共有两个，一个是，所承办的各类租赁合同的“收益净现值”；另一个是“资金年净收益率”。这两个指标的测算方法见《</w:t>
      </w:r>
      <w:r>
        <w:rPr>
          <w:rFonts w:eastAsia="黑体" w:hint="eastAsia"/>
          <w:sz w:val="24"/>
        </w:rPr>
        <w:t>收益净现值和资金年净收益率测算对照表</w:t>
      </w:r>
      <w:r>
        <w:rPr>
          <w:rFonts w:eastAsia="楷体_GB2312" w:hint="eastAsia"/>
          <w:sz w:val="24"/>
        </w:rPr>
        <w:t>》。</w:t>
      </w:r>
    </w:p>
    <w:p w:rsidR="001F76CF" w:rsidRDefault="009E0353" w:rsidP="001F76CF">
      <w:pPr>
        <w:numPr>
          <w:ilvl w:val="3"/>
          <w:numId w:val="3"/>
        </w:numPr>
        <w:tabs>
          <w:tab w:val="clear" w:pos="1980"/>
          <w:tab w:val="num" w:pos="851"/>
        </w:tabs>
        <w:ind w:left="851" w:hanging="851"/>
        <w:rPr>
          <w:rFonts w:eastAsia="楷体_GB2312"/>
          <w:sz w:val="24"/>
        </w:rPr>
      </w:pPr>
      <w:r w:rsidRPr="001F76CF">
        <w:rPr>
          <w:rFonts w:eastAsia="楷体_GB2312" w:hint="eastAsia"/>
          <w:sz w:val="24"/>
        </w:rPr>
        <w:t>对一线人员的此种考核分两部分。一部分是本年度新生效的合同，另一部分是本年度结束的合同。一线人员的可分配奖金的</w:t>
      </w:r>
      <w:r w:rsidRPr="001F76CF">
        <w:rPr>
          <w:rFonts w:eastAsia="楷体_GB2312" w:hint="eastAsia"/>
          <w:sz w:val="24"/>
        </w:rPr>
        <w:t>30%</w:t>
      </w:r>
      <w:r w:rsidRPr="001F76CF">
        <w:rPr>
          <w:rFonts w:eastAsia="楷体_GB2312" w:hint="eastAsia"/>
          <w:sz w:val="24"/>
        </w:rPr>
        <w:t>用于奖励前一部分，其</w:t>
      </w:r>
      <w:r w:rsidRPr="001F76CF">
        <w:rPr>
          <w:rFonts w:eastAsia="楷体_GB2312" w:hint="eastAsia"/>
          <w:sz w:val="24"/>
        </w:rPr>
        <w:t>70%</w:t>
      </w:r>
      <w:r w:rsidRPr="001F76CF">
        <w:rPr>
          <w:rFonts w:eastAsia="楷体_GB2312" w:hint="eastAsia"/>
          <w:sz w:val="24"/>
        </w:rPr>
        <w:t>用于奖励后一部分。</w:t>
      </w:r>
    </w:p>
    <w:p w:rsidR="009E0353" w:rsidRPr="001F76CF" w:rsidRDefault="009E0353" w:rsidP="001F76CF">
      <w:pPr>
        <w:numPr>
          <w:ilvl w:val="3"/>
          <w:numId w:val="3"/>
        </w:numPr>
        <w:tabs>
          <w:tab w:val="clear" w:pos="1980"/>
          <w:tab w:val="num" w:pos="851"/>
        </w:tabs>
        <w:ind w:left="851" w:hanging="851"/>
        <w:rPr>
          <w:rFonts w:eastAsia="楷体_GB2312" w:hint="eastAsia"/>
          <w:sz w:val="24"/>
        </w:rPr>
      </w:pPr>
      <w:r w:rsidRPr="001F76CF">
        <w:rPr>
          <w:rFonts w:eastAsia="楷体_GB2312" w:hint="eastAsia"/>
          <w:sz w:val="24"/>
        </w:rPr>
        <w:lastRenderedPageBreak/>
        <w:t>在每一部分中，用于奖励收益净现值和资金年净收益率的奖金各占一半（</w:t>
      </w:r>
      <w:r w:rsidRPr="001F76CF">
        <w:rPr>
          <w:rFonts w:eastAsia="楷体_GB2312" w:hint="eastAsia"/>
          <w:sz w:val="24"/>
        </w:rPr>
        <w:t>50%</w:t>
      </w:r>
      <w:r w:rsidRPr="001F76CF">
        <w:rPr>
          <w:rFonts w:eastAsia="楷体_GB2312" w:hint="eastAsia"/>
          <w:sz w:val="24"/>
        </w:rPr>
        <w:t>）。</w:t>
      </w:r>
    </w:p>
    <w:p w:rsidR="009E0353" w:rsidRPr="00FB612F" w:rsidRDefault="009E0353" w:rsidP="00FB612F">
      <w:pPr>
        <w:pStyle w:val="2"/>
        <w:rPr>
          <w:rFonts w:hint="eastAsia"/>
        </w:rPr>
      </w:pPr>
      <w:r w:rsidRPr="00FB612F">
        <w:rPr>
          <w:rFonts w:hint="eastAsia"/>
        </w:rPr>
        <w:t>用于一线人员的惩罚性考核指标</w:t>
      </w:r>
    </w:p>
    <w:p w:rsidR="001F76CF" w:rsidRDefault="009E0353" w:rsidP="001F76CF">
      <w:pPr>
        <w:numPr>
          <w:ilvl w:val="2"/>
          <w:numId w:val="4"/>
        </w:numPr>
        <w:tabs>
          <w:tab w:val="clear" w:pos="1980"/>
          <w:tab w:val="num" w:pos="851"/>
        </w:tabs>
        <w:ind w:left="851" w:hanging="851"/>
        <w:rPr>
          <w:rFonts w:eastAsia="楷体_GB2312"/>
          <w:sz w:val="24"/>
        </w:rPr>
      </w:pPr>
      <w:r>
        <w:rPr>
          <w:rFonts w:eastAsia="楷体_GB2312" w:hint="eastAsia"/>
          <w:sz w:val="24"/>
        </w:rPr>
        <w:t>考核的指标有两个：一个是至本年末的逾期租金和延迟利息或罚息的数额以及加权平均账龄；另一个是公司年初给每个职员设定的专项费用标准。</w:t>
      </w:r>
    </w:p>
    <w:p w:rsidR="001F76CF" w:rsidRDefault="009E0353" w:rsidP="001F76CF">
      <w:pPr>
        <w:numPr>
          <w:ilvl w:val="2"/>
          <w:numId w:val="4"/>
        </w:numPr>
        <w:tabs>
          <w:tab w:val="clear" w:pos="1980"/>
          <w:tab w:val="num" w:pos="851"/>
        </w:tabs>
        <w:ind w:left="851" w:hanging="851"/>
        <w:rPr>
          <w:rFonts w:eastAsia="楷体_GB2312"/>
          <w:sz w:val="24"/>
        </w:rPr>
      </w:pPr>
      <w:r w:rsidRPr="001F76CF">
        <w:rPr>
          <w:rFonts w:eastAsia="楷体_GB2312" w:hint="eastAsia"/>
          <w:sz w:val="24"/>
        </w:rPr>
        <w:t>凡是逾期率（逾期数额合计同本年末的应收租赁款的比值）大于</w:t>
      </w:r>
      <w:r w:rsidRPr="001F76CF">
        <w:rPr>
          <w:rFonts w:eastAsia="楷体_GB2312" w:hint="eastAsia"/>
          <w:sz w:val="24"/>
        </w:rPr>
        <w:t>0</w:t>
      </w:r>
      <w:r w:rsidRPr="001F76CF">
        <w:rPr>
          <w:rFonts w:eastAsia="楷体_GB2312" w:hint="eastAsia"/>
          <w:sz w:val="24"/>
        </w:rPr>
        <w:t>小于</w:t>
      </w:r>
      <w:r w:rsidRPr="001F76CF">
        <w:rPr>
          <w:rFonts w:eastAsia="楷体_GB2312" w:hint="eastAsia"/>
          <w:sz w:val="24"/>
        </w:rPr>
        <w:t>1%</w:t>
      </w:r>
      <w:r w:rsidRPr="001F76CF">
        <w:rPr>
          <w:rFonts w:eastAsia="楷体_GB2312" w:hint="eastAsia"/>
          <w:sz w:val="24"/>
        </w:rPr>
        <w:t>的，扣减一线相关人员可分配奖金的</w:t>
      </w:r>
      <w:r w:rsidRPr="001F76CF">
        <w:rPr>
          <w:rFonts w:eastAsia="楷体_GB2312" w:hint="eastAsia"/>
          <w:sz w:val="24"/>
        </w:rPr>
        <w:t>10%</w:t>
      </w:r>
      <w:r w:rsidRPr="001F76CF">
        <w:rPr>
          <w:rFonts w:eastAsia="楷体_GB2312" w:hint="eastAsia"/>
          <w:sz w:val="24"/>
        </w:rPr>
        <w:t>；凡是逾期率大于</w:t>
      </w:r>
      <w:r w:rsidRPr="001F76CF">
        <w:rPr>
          <w:rFonts w:eastAsia="楷体_GB2312" w:hint="eastAsia"/>
          <w:sz w:val="24"/>
        </w:rPr>
        <w:t>1%</w:t>
      </w:r>
      <w:r w:rsidRPr="001F76CF">
        <w:rPr>
          <w:rFonts w:eastAsia="楷体_GB2312" w:hint="eastAsia"/>
          <w:sz w:val="24"/>
        </w:rPr>
        <w:t>小于</w:t>
      </w:r>
      <w:r w:rsidRPr="001F76CF">
        <w:rPr>
          <w:rFonts w:eastAsia="楷体_GB2312" w:hint="eastAsia"/>
          <w:sz w:val="24"/>
        </w:rPr>
        <w:t>2%</w:t>
      </w:r>
      <w:r w:rsidRPr="001F76CF">
        <w:rPr>
          <w:rFonts w:eastAsia="楷体_GB2312" w:hint="eastAsia"/>
          <w:sz w:val="24"/>
        </w:rPr>
        <w:t>的，扣减</w:t>
      </w:r>
      <w:r w:rsidRPr="001F76CF">
        <w:rPr>
          <w:rFonts w:eastAsia="楷体_GB2312" w:hint="eastAsia"/>
          <w:sz w:val="24"/>
        </w:rPr>
        <w:t>20%</w:t>
      </w:r>
      <w:r w:rsidRPr="001F76CF">
        <w:rPr>
          <w:rFonts w:eastAsia="楷体_GB2312" w:hint="eastAsia"/>
          <w:sz w:val="24"/>
        </w:rPr>
        <w:t>；凡是逾期率大于</w:t>
      </w:r>
      <w:r w:rsidRPr="001F76CF">
        <w:rPr>
          <w:rFonts w:eastAsia="楷体_GB2312" w:hint="eastAsia"/>
          <w:sz w:val="24"/>
        </w:rPr>
        <w:t>2%</w:t>
      </w:r>
      <w:r w:rsidRPr="001F76CF">
        <w:rPr>
          <w:rFonts w:eastAsia="楷体_GB2312" w:hint="eastAsia"/>
          <w:sz w:val="24"/>
        </w:rPr>
        <w:t>小于</w:t>
      </w:r>
      <w:r w:rsidRPr="001F76CF">
        <w:rPr>
          <w:rFonts w:eastAsia="楷体_GB2312" w:hint="eastAsia"/>
          <w:sz w:val="24"/>
        </w:rPr>
        <w:t>3%</w:t>
      </w:r>
      <w:r w:rsidRPr="001F76CF">
        <w:rPr>
          <w:rFonts w:eastAsia="楷体_GB2312" w:hint="eastAsia"/>
          <w:sz w:val="24"/>
        </w:rPr>
        <w:t>的，扣减</w:t>
      </w:r>
      <w:r w:rsidRPr="001F76CF">
        <w:rPr>
          <w:rFonts w:eastAsia="楷体_GB2312" w:hint="eastAsia"/>
          <w:sz w:val="24"/>
        </w:rPr>
        <w:t>30%</w:t>
      </w:r>
      <w:r w:rsidRPr="001F76CF">
        <w:rPr>
          <w:rFonts w:eastAsia="楷体_GB2312" w:hint="eastAsia"/>
          <w:sz w:val="24"/>
        </w:rPr>
        <w:t>；凡是逾期率大于</w:t>
      </w:r>
      <w:r w:rsidRPr="001F76CF">
        <w:rPr>
          <w:rFonts w:eastAsia="楷体_GB2312" w:hint="eastAsia"/>
          <w:sz w:val="24"/>
        </w:rPr>
        <w:t>3%</w:t>
      </w:r>
      <w:r w:rsidRPr="001F76CF">
        <w:rPr>
          <w:rFonts w:eastAsia="楷体_GB2312" w:hint="eastAsia"/>
          <w:sz w:val="24"/>
        </w:rPr>
        <w:t>小于</w:t>
      </w:r>
      <w:r w:rsidRPr="001F76CF">
        <w:rPr>
          <w:rFonts w:eastAsia="楷体_GB2312" w:hint="eastAsia"/>
          <w:sz w:val="24"/>
        </w:rPr>
        <w:t>4%</w:t>
      </w:r>
      <w:r w:rsidRPr="001F76CF">
        <w:rPr>
          <w:rFonts w:eastAsia="楷体_GB2312" w:hint="eastAsia"/>
          <w:sz w:val="24"/>
        </w:rPr>
        <w:t>的，扣减</w:t>
      </w:r>
      <w:r w:rsidRPr="001F76CF">
        <w:rPr>
          <w:rFonts w:eastAsia="楷体_GB2312" w:hint="eastAsia"/>
          <w:sz w:val="24"/>
        </w:rPr>
        <w:t>40%</w:t>
      </w:r>
      <w:r w:rsidRPr="001F76CF">
        <w:rPr>
          <w:rFonts w:eastAsia="楷体_GB2312" w:hint="eastAsia"/>
          <w:sz w:val="24"/>
        </w:rPr>
        <w:t>；凡是逾期率大于</w:t>
      </w:r>
      <w:r w:rsidRPr="001F76CF">
        <w:rPr>
          <w:rFonts w:eastAsia="楷体_GB2312" w:hint="eastAsia"/>
          <w:sz w:val="24"/>
        </w:rPr>
        <w:t>4%</w:t>
      </w:r>
      <w:r w:rsidRPr="001F76CF">
        <w:rPr>
          <w:rFonts w:eastAsia="楷体_GB2312" w:hint="eastAsia"/>
          <w:sz w:val="24"/>
        </w:rPr>
        <w:t>小于</w:t>
      </w:r>
      <w:r w:rsidRPr="001F76CF">
        <w:rPr>
          <w:rFonts w:eastAsia="楷体_GB2312" w:hint="eastAsia"/>
          <w:sz w:val="24"/>
        </w:rPr>
        <w:t>5%</w:t>
      </w:r>
      <w:r w:rsidRPr="001F76CF">
        <w:rPr>
          <w:rFonts w:eastAsia="楷体_GB2312" w:hint="eastAsia"/>
          <w:sz w:val="24"/>
        </w:rPr>
        <w:t>的，扣减</w:t>
      </w:r>
      <w:r w:rsidRPr="001F76CF">
        <w:rPr>
          <w:rFonts w:eastAsia="楷体_GB2312" w:hint="eastAsia"/>
          <w:sz w:val="24"/>
        </w:rPr>
        <w:t>50%</w:t>
      </w:r>
      <w:r w:rsidRPr="001F76CF">
        <w:rPr>
          <w:rFonts w:eastAsia="楷体_GB2312" w:hint="eastAsia"/>
          <w:sz w:val="24"/>
        </w:rPr>
        <w:t>；凡是逾期率大于</w:t>
      </w:r>
      <w:r w:rsidRPr="001F76CF">
        <w:rPr>
          <w:rFonts w:eastAsia="楷体_GB2312" w:hint="eastAsia"/>
          <w:sz w:val="24"/>
        </w:rPr>
        <w:t>5%</w:t>
      </w:r>
      <w:r w:rsidRPr="001F76CF">
        <w:rPr>
          <w:rFonts w:eastAsia="楷体_GB2312" w:hint="eastAsia"/>
          <w:sz w:val="24"/>
        </w:rPr>
        <w:t>的，扣减</w:t>
      </w:r>
      <w:r w:rsidRPr="001F76CF">
        <w:rPr>
          <w:rFonts w:eastAsia="楷体_GB2312" w:hint="eastAsia"/>
          <w:sz w:val="24"/>
        </w:rPr>
        <w:t>100%</w:t>
      </w:r>
      <w:r w:rsidRPr="001F76CF">
        <w:rPr>
          <w:rFonts w:eastAsia="楷体_GB2312" w:hint="eastAsia"/>
          <w:sz w:val="24"/>
        </w:rPr>
        <w:t>。</w:t>
      </w:r>
    </w:p>
    <w:p w:rsidR="001F76CF" w:rsidRDefault="009E0353" w:rsidP="001F76CF">
      <w:pPr>
        <w:numPr>
          <w:ilvl w:val="2"/>
          <w:numId w:val="4"/>
        </w:numPr>
        <w:tabs>
          <w:tab w:val="clear" w:pos="1980"/>
          <w:tab w:val="num" w:pos="851"/>
        </w:tabs>
        <w:ind w:left="851" w:hanging="851"/>
        <w:rPr>
          <w:rFonts w:eastAsia="楷体_GB2312"/>
          <w:sz w:val="24"/>
        </w:rPr>
      </w:pPr>
      <w:r w:rsidRPr="001F76CF">
        <w:rPr>
          <w:rFonts w:eastAsia="楷体_GB2312" w:hint="eastAsia"/>
          <w:sz w:val="24"/>
        </w:rPr>
        <w:t>一线各相关人员可分配奖金是上面规定的全体一线人员的可分配奖金乘以该职员薪酬权数除以全体一线人员薪酬权数。</w:t>
      </w:r>
    </w:p>
    <w:p w:rsidR="001F76CF" w:rsidRDefault="009E0353" w:rsidP="001F76CF">
      <w:pPr>
        <w:numPr>
          <w:ilvl w:val="2"/>
          <w:numId w:val="4"/>
        </w:numPr>
        <w:tabs>
          <w:tab w:val="clear" w:pos="1980"/>
          <w:tab w:val="num" w:pos="851"/>
        </w:tabs>
        <w:ind w:left="851" w:hanging="851"/>
        <w:rPr>
          <w:rFonts w:eastAsia="楷体_GB2312"/>
          <w:sz w:val="24"/>
        </w:rPr>
      </w:pPr>
      <w:r w:rsidRPr="001F76CF">
        <w:rPr>
          <w:rFonts w:eastAsia="楷体_GB2312" w:hint="eastAsia"/>
          <w:sz w:val="24"/>
        </w:rPr>
        <w:t>计算时，以全公司逾期数额</w:t>
      </w:r>
      <w:r w:rsidRPr="001F76CF">
        <w:rPr>
          <w:rFonts w:eastAsia="楷体_GB2312" w:hint="eastAsia"/>
          <w:sz w:val="24"/>
        </w:rPr>
        <w:t>W</w:t>
      </w:r>
      <w:r w:rsidRPr="001F76CF">
        <w:rPr>
          <w:rFonts w:eastAsia="楷体_GB2312" w:hint="eastAsia"/>
          <w:sz w:val="24"/>
        </w:rPr>
        <w:t>和加权平均账龄</w:t>
      </w:r>
      <w:r w:rsidRPr="001F76CF">
        <w:rPr>
          <w:rFonts w:eastAsia="楷体_GB2312" w:hint="eastAsia"/>
          <w:sz w:val="24"/>
        </w:rPr>
        <w:t>T</w:t>
      </w:r>
      <w:r w:rsidRPr="001F76CF">
        <w:rPr>
          <w:rFonts w:eastAsia="楷体_GB2312" w:hint="eastAsia"/>
          <w:sz w:val="24"/>
        </w:rPr>
        <w:t>的乘积为分母，以一线相关人员所承办合同的逾期数额</w:t>
      </w:r>
      <w:r w:rsidRPr="001F76CF">
        <w:rPr>
          <w:rFonts w:eastAsia="楷体_GB2312" w:hint="eastAsia"/>
          <w:sz w:val="24"/>
        </w:rPr>
        <w:t>w</w:t>
      </w:r>
      <w:r w:rsidRPr="001F76CF">
        <w:rPr>
          <w:rFonts w:eastAsia="楷体_GB2312" w:hint="eastAsia"/>
          <w:sz w:val="24"/>
        </w:rPr>
        <w:t>和加权平均账龄</w:t>
      </w:r>
      <w:r w:rsidRPr="001F76CF">
        <w:rPr>
          <w:rFonts w:eastAsia="楷体_GB2312" w:hint="eastAsia"/>
          <w:sz w:val="24"/>
        </w:rPr>
        <w:t>t</w:t>
      </w:r>
      <w:r w:rsidRPr="001F76CF">
        <w:rPr>
          <w:rFonts w:eastAsia="楷体_GB2312" w:hint="eastAsia"/>
          <w:sz w:val="24"/>
        </w:rPr>
        <w:t>的乘积为分子，所得出的百分数同该职员可分配奖金的乘积，就是该职员应被扣减的数额。</w:t>
      </w:r>
    </w:p>
    <w:p w:rsidR="001F76CF" w:rsidRDefault="009E0353" w:rsidP="001F76CF">
      <w:pPr>
        <w:numPr>
          <w:ilvl w:val="2"/>
          <w:numId w:val="4"/>
        </w:numPr>
        <w:tabs>
          <w:tab w:val="clear" w:pos="1980"/>
          <w:tab w:val="num" w:pos="851"/>
        </w:tabs>
        <w:ind w:left="851" w:hanging="851"/>
        <w:rPr>
          <w:rFonts w:eastAsia="楷体_GB2312"/>
          <w:sz w:val="24"/>
        </w:rPr>
      </w:pPr>
      <w:r w:rsidRPr="001F76CF">
        <w:rPr>
          <w:rFonts w:eastAsia="楷体_GB2312" w:hint="eastAsia"/>
          <w:sz w:val="24"/>
        </w:rPr>
        <w:t>上述专项费用是指出差费、业务招待费以及咨询费之和。公司于年初核定每个一线人员的专项费用的定额。到年末，凡是超过该定额的，除非公司认为年初的定额应予调整，否则，其超过部分，就是该职员应被扣减的数额。</w:t>
      </w:r>
    </w:p>
    <w:p w:rsidR="009E0353" w:rsidRPr="001F76CF" w:rsidRDefault="009E0353" w:rsidP="001F76CF">
      <w:pPr>
        <w:numPr>
          <w:ilvl w:val="2"/>
          <w:numId w:val="4"/>
        </w:numPr>
        <w:tabs>
          <w:tab w:val="clear" w:pos="1980"/>
          <w:tab w:val="num" w:pos="851"/>
        </w:tabs>
        <w:ind w:left="851" w:hanging="851"/>
        <w:rPr>
          <w:rFonts w:eastAsia="楷体_GB2312" w:hint="eastAsia"/>
          <w:sz w:val="24"/>
        </w:rPr>
      </w:pPr>
      <w:r w:rsidRPr="001F76CF">
        <w:rPr>
          <w:rFonts w:eastAsia="楷体_GB2312" w:hint="eastAsia"/>
          <w:sz w:val="24"/>
        </w:rPr>
        <w:t>对每个职员扣减的极限是其全年奖金为零。</w:t>
      </w:r>
    </w:p>
    <w:p w:rsidR="009E0353" w:rsidRPr="00FB612F" w:rsidRDefault="009E0353" w:rsidP="00FB612F">
      <w:pPr>
        <w:pStyle w:val="2"/>
        <w:rPr>
          <w:rFonts w:hint="eastAsia"/>
        </w:rPr>
      </w:pPr>
      <w:r w:rsidRPr="00FB612F">
        <w:rPr>
          <w:rFonts w:hint="eastAsia"/>
        </w:rPr>
        <w:t>对于二线人员的奖惩办法</w:t>
      </w:r>
    </w:p>
    <w:p w:rsidR="001F76CF" w:rsidRDefault="009E0353" w:rsidP="001F76CF">
      <w:pPr>
        <w:numPr>
          <w:ilvl w:val="0"/>
          <w:numId w:val="7"/>
        </w:numPr>
        <w:tabs>
          <w:tab w:val="left" w:pos="851"/>
        </w:tabs>
        <w:ind w:left="851" w:hanging="845"/>
        <w:rPr>
          <w:rFonts w:eastAsia="楷体_GB2312"/>
          <w:sz w:val="24"/>
        </w:rPr>
      </w:pPr>
      <w:r>
        <w:rPr>
          <w:rFonts w:eastAsia="楷体_GB2312" w:hint="eastAsia"/>
          <w:sz w:val="24"/>
        </w:rPr>
        <w:t>对于办公室、计财部、法律事务部、研发部和稽核部的全年考核项目，由公司于年初分别制定和下达。所述考核项目，是指除常规业务外的各种新的业务门类的开拓以及对原有业务的质量及效率的提高。</w:t>
      </w:r>
    </w:p>
    <w:p w:rsidR="001F76CF" w:rsidRDefault="009E0353" w:rsidP="001F76CF">
      <w:pPr>
        <w:numPr>
          <w:ilvl w:val="0"/>
          <w:numId w:val="7"/>
        </w:numPr>
        <w:tabs>
          <w:tab w:val="left" w:pos="851"/>
        </w:tabs>
        <w:ind w:left="851" w:hanging="845"/>
        <w:rPr>
          <w:rFonts w:eastAsia="楷体_GB2312"/>
          <w:sz w:val="24"/>
        </w:rPr>
      </w:pPr>
      <w:r w:rsidRPr="001F76CF">
        <w:rPr>
          <w:rFonts w:eastAsia="楷体_GB2312" w:hint="eastAsia"/>
          <w:sz w:val="24"/>
        </w:rPr>
        <w:t>前面所说的二线人员的可分配奖金中的</w:t>
      </w:r>
      <w:r w:rsidRPr="001F76CF">
        <w:rPr>
          <w:rFonts w:eastAsia="楷体_GB2312" w:hint="eastAsia"/>
          <w:sz w:val="24"/>
        </w:rPr>
        <w:t>40%</w:t>
      </w:r>
      <w:r w:rsidRPr="001F76CF">
        <w:rPr>
          <w:rFonts w:eastAsia="楷体_GB2312" w:hint="eastAsia"/>
          <w:sz w:val="24"/>
        </w:rPr>
        <w:t>，按上述考核指标分配。其具体尺度由总经理掌握。</w:t>
      </w:r>
    </w:p>
    <w:p w:rsidR="001F76CF" w:rsidRDefault="009E0353" w:rsidP="001F76CF">
      <w:pPr>
        <w:numPr>
          <w:ilvl w:val="0"/>
          <w:numId w:val="7"/>
        </w:numPr>
        <w:tabs>
          <w:tab w:val="left" w:pos="851"/>
        </w:tabs>
        <w:ind w:left="851" w:hanging="845"/>
        <w:rPr>
          <w:rFonts w:eastAsia="楷体_GB2312"/>
          <w:sz w:val="24"/>
        </w:rPr>
      </w:pPr>
      <w:r w:rsidRPr="001F76CF">
        <w:rPr>
          <w:rFonts w:eastAsia="楷体_GB2312" w:hint="eastAsia"/>
          <w:sz w:val="24"/>
        </w:rPr>
        <w:t>前面所说的二线人员的可分配奖金中的</w:t>
      </w:r>
      <w:r w:rsidRPr="001F76CF">
        <w:rPr>
          <w:rFonts w:eastAsia="楷体_GB2312" w:hint="eastAsia"/>
          <w:sz w:val="24"/>
        </w:rPr>
        <w:t>60%</w:t>
      </w:r>
      <w:r w:rsidRPr="001F76CF">
        <w:rPr>
          <w:rFonts w:eastAsia="楷体_GB2312" w:hint="eastAsia"/>
          <w:sz w:val="24"/>
        </w:rPr>
        <w:t>，按各职员的薪酬权数占全体二线人员薪酬权数的百分比分配到人。</w:t>
      </w:r>
    </w:p>
    <w:p w:rsidR="009E0353" w:rsidRPr="001F76CF" w:rsidRDefault="009E0353" w:rsidP="001F76CF">
      <w:pPr>
        <w:numPr>
          <w:ilvl w:val="0"/>
          <w:numId w:val="7"/>
        </w:numPr>
        <w:tabs>
          <w:tab w:val="left" w:pos="851"/>
        </w:tabs>
        <w:ind w:left="851" w:hanging="845"/>
        <w:rPr>
          <w:rFonts w:eastAsia="楷体_GB2312" w:hint="eastAsia"/>
          <w:sz w:val="24"/>
        </w:rPr>
      </w:pPr>
      <w:r w:rsidRPr="001F76CF">
        <w:rPr>
          <w:rFonts w:eastAsia="楷体_GB2312" w:hint="eastAsia"/>
          <w:sz w:val="24"/>
        </w:rPr>
        <w:t>凡是业务中发生严重失职或违犯公司纪律的行为，给公司造成损失的，总经理有权扣减各职员的按薪酬权数应得的奖金。</w:t>
      </w:r>
    </w:p>
    <w:p w:rsidR="009E0353" w:rsidRPr="00FB612F" w:rsidRDefault="009E0353" w:rsidP="00FB612F">
      <w:pPr>
        <w:pStyle w:val="2"/>
        <w:rPr>
          <w:rFonts w:hint="eastAsia"/>
        </w:rPr>
      </w:pPr>
      <w:r w:rsidRPr="00FB612F">
        <w:rPr>
          <w:rFonts w:hint="eastAsia"/>
        </w:rPr>
        <w:t>全部可分配奖金中因扣减而未分配的部分，纳入下一年度的奖励基金之中。</w:t>
      </w:r>
    </w:p>
    <w:p w:rsidR="009E0353" w:rsidRPr="00FB612F" w:rsidRDefault="009E0353" w:rsidP="00FB612F">
      <w:pPr>
        <w:pStyle w:val="2"/>
        <w:rPr>
          <w:rFonts w:hint="eastAsia"/>
        </w:rPr>
      </w:pPr>
      <w:r w:rsidRPr="00FB612F">
        <w:rPr>
          <w:rFonts w:hint="eastAsia"/>
        </w:rPr>
        <w:t>在执行本考核办法的情况下，公司每月向职员发放的薪酬是名义的80%。</w:t>
      </w:r>
    </w:p>
    <w:sectPr w:rsidR="009E0353" w:rsidRPr="00FB612F">
      <w:footerReference w:type="even" r:id="rId7"/>
      <w:footerReference w:type="default" r:id="rId8"/>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0353" w:rsidRDefault="009E0353">
      <w:r>
        <w:separator/>
      </w:r>
    </w:p>
  </w:endnote>
  <w:endnote w:type="continuationSeparator" w:id="0">
    <w:p w:rsidR="009E0353" w:rsidRDefault="009E0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粗宋简体">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353" w:rsidRDefault="009E035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9E0353" w:rsidRDefault="009E0353">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353" w:rsidRDefault="009E035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BA658D">
      <w:rPr>
        <w:rStyle w:val="a4"/>
        <w:noProof/>
      </w:rPr>
      <w:t>2</w:t>
    </w:r>
    <w:r>
      <w:rPr>
        <w:rStyle w:val="a4"/>
      </w:rPr>
      <w:fldChar w:fldCharType="end"/>
    </w:r>
  </w:p>
  <w:p w:rsidR="009E0353" w:rsidRDefault="009E035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0353" w:rsidRDefault="009E0353">
      <w:r>
        <w:separator/>
      </w:r>
    </w:p>
  </w:footnote>
  <w:footnote w:type="continuationSeparator" w:id="0">
    <w:p w:rsidR="009E0353" w:rsidRDefault="009E03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197765"/>
    <w:multiLevelType w:val="hybridMultilevel"/>
    <w:tmpl w:val="C510720E"/>
    <w:lvl w:ilvl="0" w:tplc="0702545E">
      <w:start w:val="1"/>
      <w:numFmt w:val="japaneseCounting"/>
      <w:lvlText w:val="%1、"/>
      <w:lvlJc w:val="left"/>
      <w:pPr>
        <w:tabs>
          <w:tab w:val="num" w:pos="720"/>
        </w:tabs>
        <w:ind w:left="720" w:hanging="720"/>
      </w:pPr>
      <w:rPr>
        <w:rFonts w:hint="eastAsia"/>
      </w:rPr>
    </w:lvl>
    <w:lvl w:ilvl="1" w:tplc="C2C0D43E">
      <w:start w:val="1"/>
      <w:numFmt w:val="chineseCountingThousand"/>
      <w:lvlText w:val="%2、"/>
      <w:lvlJc w:val="left"/>
      <w:pPr>
        <w:tabs>
          <w:tab w:val="num" w:pos="900"/>
        </w:tabs>
        <w:ind w:left="900" w:hanging="480"/>
      </w:pPr>
      <w:rPr>
        <w:rFonts w:hint="eastAsia"/>
        <w:b/>
      </w:rPr>
    </w:lvl>
    <w:lvl w:ilvl="2" w:tplc="186A0280">
      <w:start w:val="1"/>
      <w:numFmt w:val="japaneseCounting"/>
      <w:lvlText w:val="（%3）"/>
      <w:lvlJc w:val="left"/>
      <w:pPr>
        <w:tabs>
          <w:tab w:val="num" w:pos="1560"/>
        </w:tabs>
        <w:ind w:left="1560" w:hanging="720"/>
      </w:pPr>
      <w:rPr>
        <w:rFonts w:hint="eastAsia"/>
      </w:rPr>
    </w:lvl>
    <w:lvl w:ilvl="3" w:tplc="0409000F">
      <w:start w:val="1"/>
      <w:numFmt w:val="decimal"/>
      <w:lvlText w:val="%4."/>
      <w:lvlJc w:val="left"/>
      <w:pPr>
        <w:tabs>
          <w:tab w:val="num" w:pos="1980"/>
        </w:tabs>
        <w:ind w:left="1980" w:hanging="7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A76646E"/>
    <w:multiLevelType w:val="hybridMultilevel"/>
    <w:tmpl w:val="A04AD172"/>
    <w:lvl w:ilvl="0" w:tplc="136C74AE">
      <w:start w:val="1"/>
      <w:numFmt w:val="chineseCountingThousand"/>
      <w:lvlText w:val="%1、"/>
      <w:lvlJc w:val="left"/>
      <w:pPr>
        <w:tabs>
          <w:tab w:val="num" w:pos="900"/>
        </w:tabs>
        <w:ind w:left="900" w:hanging="480"/>
      </w:pPr>
      <w:rPr>
        <w:rFonts w:hint="eastAsia"/>
        <w:lang w:val="en-US"/>
      </w:rPr>
    </w:lvl>
    <w:lvl w:ilvl="1" w:tplc="04090019">
      <w:start w:val="1"/>
      <w:numFmt w:val="lowerLetter"/>
      <w:lvlText w:val="%2)"/>
      <w:lvlJc w:val="left"/>
      <w:pPr>
        <w:tabs>
          <w:tab w:val="num" w:pos="1260"/>
        </w:tabs>
        <w:ind w:left="1260" w:hanging="420"/>
      </w:pPr>
    </w:lvl>
    <w:lvl w:ilvl="2" w:tplc="0409000F">
      <w:start w:val="1"/>
      <w:numFmt w:val="decimal"/>
      <w:lvlText w:val="%3."/>
      <w:lvlJc w:val="left"/>
      <w:pPr>
        <w:tabs>
          <w:tab w:val="num" w:pos="1980"/>
        </w:tabs>
        <w:ind w:left="1980" w:hanging="720"/>
      </w:pPr>
      <w:rPr>
        <w:rFonts w:hint="eastAsia"/>
      </w:r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
    <w:nsid w:val="4BCF7816"/>
    <w:multiLevelType w:val="hybridMultilevel"/>
    <w:tmpl w:val="2D7EB7AC"/>
    <w:lvl w:ilvl="0" w:tplc="F3E2B8F4">
      <w:start w:val="1"/>
      <w:numFmt w:val="chineseCountingThousand"/>
      <w:pStyle w:val="2"/>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6A3B2534"/>
    <w:multiLevelType w:val="hybridMultilevel"/>
    <w:tmpl w:val="08B8E716"/>
    <w:lvl w:ilvl="0" w:tplc="0409000F">
      <w:start w:val="1"/>
      <w:numFmt w:val="decimal"/>
      <w:lvlText w:val="%1."/>
      <w:lvlJc w:val="left"/>
      <w:pPr>
        <w:ind w:left="1680" w:hanging="420"/>
      </w:p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abstractNum w:abstractNumId="4">
    <w:nsid w:val="77C228CD"/>
    <w:multiLevelType w:val="hybridMultilevel"/>
    <w:tmpl w:val="F7122B84"/>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D033CF3"/>
    <w:multiLevelType w:val="hybridMultilevel"/>
    <w:tmpl w:val="035C3F74"/>
    <w:lvl w:ilvl="0" w:tplc="9DCE56E6">
      <w:start w:val="1"/>
      <w:numFmt w:val="japaneseCounting"/>
      <w:lvlText w:val="%1、"/>
      <w:lvlJc w:val="left"/>
      <w:pPr>
        <w:tabs>
          <w:tab w:val="num" w:pos="480"/>
        </w:tabs>
        <w:ind w:left="480" w:hanging="480"/>
      </w:pPr>
      <w:rPr>
        <w:rFonts w:hint="eastAsia"/>
      </w:rPr>
    </w:lvl>
    <w:lvl w:ilvl="1" w:tplc="C8504F5C">
      <w:start w:val="1"/>
      <w:numFmt w:val="japaneseCounting"/>
      <w:lvlText w:val="%2、"/>
      <w:lvlJc w:val="left"/>
      <w:pPr>
        <w:tabs>
          <w:tab w:val="num" w:pos="1380"/>
        </w:tabs>
        <w:ind w:left="1380" w:hanging="9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1"/>
  <w:mirrorMargins/>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7FB"/>
    <w:rsid w:val="0015504D"/>
    <w:rsid w:val="001647FB"/>
    <w:rsid w:val="001F76CF"/>
    <w:rsid w:val="00347912"/>
    <w:rsid w:val="005F1213"/>
    <w:rsid w:val="006C393B"/>
    <w:rsid w:val="007A4A81"/>
    <w:rsid w:val="007E1866"/>
    <w:rsid w:val="00893B5C"/>
    <w:rsid w:val="008D72A9"/>
    <w:rsid w:val="008E5CA7"/>
    <w:rsid w:val="009A5741"/>
    <w:rsid w:val="009C4B28"/>
    <w:rsid w:val="009D22BC"/>
    <w:rsid w:val="009E0353"/>
    <w:rsid w:val="00BA658D"/>
    <w:rsid w:val="00D067AC"/>
    <w:rsid w:val="00D619FB"/>
    <w:rsid w:val="00DB261E"/>
    <w:rsid w:val="00F32670"/>
    <w:rsid w:val="00FB6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22A1C38-3728-4FA9-BCA7-C962A3D5F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link w:val="2Char"/>
    <w:autoRedefine/>
    <w:uiPriority w:val="9"/>
    <w:unhideWhenUsed/>
    <w:qFormat/>
    <w:rsid w:val="00FB612F"/>
    <w:pPr>
      <w:keepNext/>
      <w:keepLines/>
      <w:numPr>
        <w:numId w:val="6"/>
      </w:numPr>
      <w:jc w:val="left"/>
      <w:outlineLvl w:val="1"/>
    </w:pPr>
    <w:rPr>
      <w:rFonts w:ascii="楷体" w:eastAsia="楷体" w:hAnsi="楷体" w:cs="宋体"/>
      <w:b/>
      <w:bCs/>
      <w:sz w:val="24"/>
      <w:szCs w:val="3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szCs w:val="18"/>
    </w:rPr>
  </w:style>
  <w:style w:type="character" w:styleId="a4">
    <w:name w:val="page number"/>
    <w:basedOn w:val="a0"/>
    <w:semiHidden/>
  </w:style>
  <w:style w:type="paragraph" w:styleId="a5">
    <w:name w:val="Body Text Indent"/>
    <w:basedOn w:val="a"/>
    <w:semiHidden/>
    <w:pPr>
      <w:ind w:firstLineChars="200" w:firstLine="480"/>
    </w:pPr>
    <w:rPr>
      <w:rFonts w:eastAsia="楷体_GB2312"/>
      <w:sz w:val="24"/>
    </w:rPr>
  </w:style>
  <w:style w:type="paragraph" w:styleId="20">
    <w:name w:val="Body Text Indent 2"/>
    <w:basedOn w:val="a"/>
    <w:semiHidden/>
    <w:pPr>
      <w:ind w:left="840"/>
    </w:pPr>
    <w:rPr>
      <w:rFonts w:eastAsia="楷体_GB2312"/>
      <w:sz w:val="24"/>
    </w:rPr>
  </w:style>
  <w:style w:type="character" w:customStyle="1" w:styleId="2Char">
    <w:name w:val="标题 2 Char"/>
    <w:link w:val="2"/>
    <w:uiPriority w:val="9"/>
    <w:rsid w:val="00FB612F"/>
    <w:rPr>
      <w:rFonts w:ascii="楷体" w:eastAsia="楷体" w:hAnsi="楷体" w:cs="宋体"/>
      <w:b/>
      <w:bCs/>
      <w:kern w:val="2"/>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1828</Words>
  <Characters>97</Characters>
  <Application>Microsoft Office Word</Application>
  <DocSecurity>0</DocSecurity>
  <Lines>1</Lines>
  <Paragraphs>3</Paragraphs>
  <ScaleCrop>false</ScaleCrop>
  <HeadingPairs>
    <vt:vector size="2" baseType="variant">
      <vt:variant>
        <vt:lpstr>题目</vt:lpstr>
      </vt:variant>
      <vt:variant>
        <vt:i4>1</vt:i4>
      </vt:variant>
    </vt:vector>
  </HeadingPairs>
  <TitlesOfParts>
    <vt:vector size="1" baseType="lpstr">
      <vt:lpstr>租赁公司人员绩效考核问题探讨</vt:lpstr>
    </vt:vector>
  </TitlesOfParts>
  <Company>qiuqiyang</Company>
  <LinksUpToDate>false</LinksUpToDate>
  <CharactersWithSpaces>1922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租赁公司人员绩效考核问题探讨</dc:title>
  <dc:subject/>
  <dc:creator>qiuqiyang</dc:creator>
  <cp:keywords/>
  <dc:description/>
  <cp:lastModifiedBy>张艳坤</cp:lastModifiedBy>
  <cp:revision>2</cp:revision>
  <cp:lastPrinted>2003-07-19T01:21:00Z</cp:lastPrinted>
  <dcterms:created xsi:type="dcterms:W3CDTF">2014-07-04T09:13:00Z</dcterms:created>
  <dcterms:modified xsi:type="dcterms:W3CDTF">2014-07-04T09:13:00Z</dcterms:modified>
</cp:coreProperties>
</file>