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78D1" w:rsidRPr="008909DA" w:rsidRDefault="003E6529" w:rsidP="008909DA">
      <w:pPr>
        <w:jc w:val="center"/>
        <w:rPr>
          <w:b/>
          <w:sz w:val="144"/>
        </w:rPr>
      </w:pPr>
      <w:r w:rsidRPr="008909DA">
        <w:rPr>
          <w:b/>
          <w:sz w:val="44"/>
        </w:rPr>
        <w:t>教育行业政策及投向指引</w:t>
      </w:r>
    </w:p>
    <w:p w:rsidR="00B878D1" w:rsidRDefault="003E6529" w:rsidP="008909DA">
      <w:pPr>
        <w:pStyle w:val="a5"/>
        <w:rPr>
          <w:rFonts w:ascii="宋体" w:hAnsi="宋体"/>
        </w:rPr>
      </w:pPr>
      <w:r>
        <w:t>一、适用范围</w:t>
      </w:r>
    </w:p>
    <w:p w:rsidR="00B878D1" w:rsidRDefault="003E6529">
      <w:pPr>
        <w:autoSpaceDN w:val="0"/>
        <w:spacing w:beforeAutospacing="1" w:afterAutospacing="1"/>
        <w:ind w:firstLine="420"/>
        <w:rPr>
          <w:rFonts w:ascii="宋体" w:hAnsi="宋体"/>
          <w:sz w:val="24"/>
        </w:rPr>
      </w:pPr>
      <w:r>
        <w:rPr>
          <w:rFonts w:ascii="宋体" w:hAnsi="宋体"/>
        </w:rPr>
        <w:t>本指引所称“教育行业”对应国家统计局《国民经济行业分类》（GB/T 4754-2011）中的教育业（行业代码为P82）,包括学前教育（P821）、初等教育（P822）、中等教育（P823）、高等教育（P824）以及技能培训、教育辅助及其他教育（P829）五个国标中类行业。</w:t>
      </w:r>
    </w:p>
    <w:p w:rsidR="00B878D1" w:rsidRDefault="003E6529" w:rsidP="008909DA">
      <w:pPr>
        <w:pStyle w:val="a5"/>
        <w:rPr>
          <w:rFonts w:ascii="宋体" w:hAnsi="宋体"/>
        </w:rPr>
      </w:pPr>
      <w:r>
        <w:t>二、近期行业运行特征及政策要求</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t>（一）行业运行情况</w:t>
      </w:r>
    </w:p>
    <w:p w:rsidR="00B878D1" w:rsidRDefault="003E6529">
      <w:pPr>
        <w:autoSpaceDN w:val="0"/>
        <w:spacing w:beforeAutospacing="1" w:afterAutospacing="1"/>
        <w:ind w:firstLine="420"/>
        <w:rPr>
          <w:rFonts w:ascii="宋体" w:hAnsi="宋体"/>
          <w:sz w:val="24"/>
        </w:rPr>
      </w:pPr>
      <w:r>
        <w:rPr>
          <w:rFonts w:ascii="宋体" w:hAnsi="宋体"/>
          <w:b/>
        </w:rPr>
        <w:t>1、我国教育行业近年来发展成就显著，总体正从规模扩张逐步转向结构调整、提高质量。</w:t>
      </w:r>
    </w:p>
    <w:p w:rsidR="00B878D1" w:rsidRDefault="003E6529">
      <w:pPr>
        <w:autoSpaceDN w:val="0"/>
        <w:spacing w:beforeAutospacing="1" w:afterAutospacing="1"/>
        <w:ind w:firstLine="420"/>
        <w:rPr>
          <w:rFonts w:ascii="宋体" w:hAnsi="宋体"/>
          <w:sz w:val="24"/>
        </w:rPr>
      </w:pPr>
      <w:r>
        <w:rPr>
          <w:rFonts w:ascii="宋体" w:hAnsi="宋体"/>
        </w:rPr>
        <w:t>近年来，在国家政策的扶持和引导下，我国教育行业迅速发展，各阶段教育普及水平、教学质量显著提高。2012年，教育行业机构数量、在校人数等主要指标如下：</w:t>
      </w:r>
    </w:p>
    <w:tbl>
      <w:tblPr>
        <w:tblW w:w="0" w:type="auto"/>
        <w:jc w:val="center"/>
        <w:tblLayout w:type="fixed"/>
        <w:tblLook w:val="0000" w:firstRow="0" w:lastRow="0" w:firstColumn="0" w:lastColumn="0" w:noHBand="0" w:noVBand="0"/>
      </w:tblPr>
      <w:tblGrid>
        <w:gridCol w:w="1727"/>
        <w:gridCol w:w="1151"/>
        <w:gridCol w:w="1324"/>
        <w:gridCol w:w="1727"/>
        <w:gridCol w:w="1496"/>
        <w:gridCol w:w="1094"/>
      </w:tblGrid>
      <w:tr w:rsidR="00B878D1">
        <w:trPr>
          <w:trHeight w:val="285"/>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学校类型</w:t>
            </w:r>
          </w:p>
        </w:tc>
        <w:tc>
          <w:tcPr>
            <w:tcW w:w="1151"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数量（所）</w:t>
            </w:r>
          </w:p>
        </w:tc>
        <w:tc>
          <w:tcPr>
            <w:tcW w:w="132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较上年（所）</w:t>
            </w:r>
          </w:p>
        </w:tc>
        <w:tc>
          <w:tcPr>
            <w:tcW w:w="172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在校人数（万人）</w:t>
            </w:r>
          </w:p>
        </w:tc>
        <w:tc>
          <w:tcPr>
            <w:tcW w:w="1496"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较上年（万人）</w:t>
            </w:r>
          </w:p>
        </w:tc>
        <w:tc>
          <w:tcPr>
            <w:tcW w:w="109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毛入学率</w:t>
            </w:r>
          </w:p>
        </w:tc>
      </w:tr>
      <w:tr w:rsidR="00B878D1">
        <w:trPr>
          <w:trHeight w:val="285"/>
          <w:jc w:val="center"/>
        </w:trPr>
        <w:tc>
          <w:tcPr>
            <w:tcW w:w="172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幼儿园（学前班）</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169300</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2500</w:t>
            </w:r>
          </w:p>
        </w:tc>
        <w:tc>
          <w:tcPr>
            <w:tcW w:w="17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3424.45</w:t>
            </w:r>
          </w:p>
        </w:tc>
        <w:tc>
          <w:tcPr>
            <w:tcW w:w="14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96.95</w:t>
            </w:r>
          </w:p>
        </w:tc>
        <w:tc>
          <w:tcPr>
            <w:tcW w:w="109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62.30%</w:t>
            </w:r>
          </w:p>
        </w:tc>
      </w:tr>
      <w:tr w:rsidR="00B878D1">
        <w:trPr>
          <w:trHeight w:val="285"/>
          <w:jc w:val="center"/>
        </w:trPr>
        <w:tc>
          <w:tcPr>
            <w:tcW w:w="172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小学</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228585</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-12615</w:t>
            </w:r>
          </w:p>
        </w:tc>
        <w:tc>
          <w:tcPr>
            <w:tcW w:w="17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9926.37</w:t>
            </w:r>
          </w:p>
        </w:tc>
        <w:tc>
          <w:tcPr>
            <w:tcW w:w="14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-66.15</w:t>
            </w:r>
          </w:p>
        </w:tc>
        <w:tc>
          <w:tcPr>
            <w:tcW w:w="109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99.79%</w:t>
            </w:r>
          </w:p>
        </w:tc>
      </w:tr>
      <w:tr w:rsidR="00B878D1">
        <w:trPr>
          <w:trHeight w:val="285"/>
          <w:jc w:val="center"/>
        </w:trPr>
        <w:tc>
          <w:tcPr>
            <w:tcW w:w="172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初中</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53216</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-884</w:t>
            </w:r>
          </w:p>
        </w:tc>
        <w:tc>
          <w:tcPr>
            <w:tcW w:w="17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5066.8</w:t>
            </w:r>
          </w:p>
        </w:tc>
        <w:tc>
          <w:tcPr>
            <w:tcW w:w="14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-240.66</w:t>
            </w:r>
          </w:p>
        </w:tc>
        <w:tc>
          <w:tcPr>
            <w:tcW w:w="109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100.10%</w:t>
            </w:r>
          </w:p>
        </w:tc>
      </w:tr>
      <w:tr w:rsidR="00B878D1">
        <w:trPr>
          <w:trHeight w:val="285"/>
          <w:jc w:val="center"/>
        </w:trPr>
        <w:tc>
          <w:tcPr>
            <w:tcW w:w="172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高中（职高）</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26868</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-770</w:t>
            </w:r>
          </w:p>
        </w:tc>
        <w:tc>
          <w:tcPr>
            <w:tcW w:w="17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4686.61</w:t>
            </w:r>
          </w:p>
        </w:tc>
        <w:tc>
          <w:tcPr>
            <w:tcW w:w="14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-91.33</w:t>
            </w:r>
          </w:p>
        </w:tc>
        <w:tc>
          <w:tcPr>
            <w:tcW w:w="109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84.00%</w:t>
            </w:r>
          </w:p>
        </w:tc>
      </w:tr>
      <w:tr w:rsidR="00B878D1">
        <w:trPr>
          <w:trHeight w:val="285"/>
          <w:jc w:val="center"/>
        </w:trPr>
        <w:tc>
          <w:tcPr>
            <w:tcW w:w="172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高等教育（高职）</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2790</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28</w:t>
            </w:r>
          </w:p>
        </w:tc>
        <w:tc>
          <w:tcPr>
            <w:tcW w:w="17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3167</w:t>
            </w:r>
          </w:p>
        </w:tc>
        <w:tc>
          <w:tcPr>
            <w:tcW w:w="14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-20.59</w:t>
            </w:r>
          </w:p>
        </w:tc>
        <w:tc>
          <w:tcPr>
            <w:tcW w:w="109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autoSpaceDN w:val="0"/>
              <w:rPr>
                <w:rFonts w:ascii="宋体" w:hAnsi="宋体"/>
                <w:sz w:val="24"/>
              </w:rPr>
            </w:pPr>
            <w:r>
              <w:rPr>
                <w:rFonts w:ascii="仿宋_GB2312" w:eastAsia="仿宋_GB2312" w:hAnsi="仿宋_GB2312"/>
                <w:color w:val="000000"/>
                <w:sz w:val="18"/>
              </w:rPr>
              <w:t>30%</w:t>
            </w:r>
          </w:p>
        </w:tc>
      </w:tr>
    </w:tbl>
    <w:p w:rsidR="00B878D1" w:rsidRDefault="003E6529">
      <w:pPr>
        <w:autoSpaceDN w:val="0"/>
        <w:spacing w:beforeAutospacing="1" w:afterAutospacing="1"/>
        <w:ind w:firstLine="420"/>
        <w:rPr>
          <w:rFonts w:ascii="宋体" w:hAnsi="宋体"/>
          <w:sz w:val="24"/>
        </w:rPr>
      </w:pPr>
      <w:r>
        <w:rPr>
          <w:rFonts w:ascii="宋体" w:hAnsi="宋体"/>
        </w:rPr>
        <w:t>数据显示，截至2012年末，我国义务教育已基本普及，两个阶段入学率均接近100%，但由于学龄人口减少，小学及初中学校数量和在校人数呈逐年下降态势，并连带影响高中阶段数量和在校人数也进入下行通道。同时，经过多年发展，我国高等教育毛入学率达到30%，但受生源缩水、出国等其他途径分流影响，已难以保持高速增长的势头，从而转向调整专业结构、提高教学质量。相反，学前阶段机构数量、毛入学率虽然近年一直在缓慢增长，但仍难以满足社会日益增长的需求，适龄儿童“入托难”的矛盾依旧尖锐。</w:t>
      </w:r>
    </w:p>
    <w:p w:rsidR="00B878D1" w:rsidRDefault="003E6529">
      <w:pPr>
        <w:autoSpaceDN w:val="0"/>
        <w:spacing w:beforeAutospacing="1" w:afterAutospacing="1"/>
        <w:ind w:firstLine="420"/>
        <w:rPr>
          <w:rFonts w:ascii="宋体" w:hAnsi="宋体"/>
          <w:sz w:val="24"/>
        </w:rPr>
      </w:pPr>
      <w:r>
        <w:rPr>
          <w:rFonts w:ascii="宋体" w:hAnsi="宋体"/>
          <w:b/>
        </w:rPr>
        <w:t xml:space="preserve">2、政府教育投入总量持续增加，未来全国财政性教育经费占GDP的比例仍将上升。  </w:t>
      </w:r>
    </w:p>
    <w:p w:rsidR="00B878D1" w:rsidRDefault="003E6529">
      <w:pPr>
        <w:autoSpaceDN w:val="0"/>
        <w:spacing w:beforeAutospacing="1" w:afterAutospacing="1"/>
        <w:ind w:firstLine="420"/>
        <w:rPr>
          <w:rFonts w:ascii="宋体" w:hAnsi="宋体"/>
          <w:sz w:val="24"/>
        </w:rPr>
      </w:pPr>
      <w:r>
        <w:rPr>
          <w:rFonts w:ascii="宋体" w:hAnsi="宋体"/>
        </w:rPr>
        <w:t>2005-2011年，随着国家对教育行业的不断重视，全国财政性教育经费支出一直呈上升趋势，从5161亿增至16116亿。2012年全国财政性教育经费支出21994亿，首次实现教育法规定的教育投入占GDP比重4%的目标。2013年，中央财政教育支出预计达到4132.45亿，较上年增长9.3%，将主要用于重点支持学前教育加快发展，进一步提高农村义务教育经费保障水平，支持改善普通高中办学条件，加强职业教育基础能力建设等。</w:t>
      </w:r>
    </w:p>
    <w:p w:rsidR="00B878D1" w:rsidRDefault="003E6529">
      <w:pPr>
        <w:autoSpaceDN w:val="0"/>
        <w:snapToGrid w:val="0"/>
        <w:spacing w:beforeAutospacing="1" w:afterAutospacing="1" w:line="312" w:lineRule="auto"/>
        <w:rPr>
          <w:rFonts w:ascii="宋体" w:hAnsi="宋体"/>
          <w:sz w:val="24"/>
        </w:rPr>
      </w:pPr>
      <w:r>
        <w:rPr>
          <w:rFonts w:ascii="宋体" w:hAnsi="宋体"/>
          <w:noProof/>
          <w:sz w:val="24"/>
        </w:rPr>
        <w:lastRenderedPageBreak/>
        <w:drawing>
          <wp:inline distT="0" distB="0" distL="0" distR="0">
            <wp:extent cx="4400550" cy="27336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00550" cy="2733675"/>
                    </a:xfrm>
                    <a:prstGeom prst="rect">
                      <a:avLst/>
                    </a:prstGeom>
                    <a:noFill/>
                    <a:ln>
                      <a:noFill/>
                    </a:ln>
                  </pic:spPr>
                </pic:pic>
              </a:graphicData>
            </a:graphic>
          </wp:inline>
        </w:drawing>
      </w:r>
    </w:p>
    <w:p w:rsidR="00B878D1" w:rsidRDefault="003E6529">
      <w:pPr>
        <w:autoSpaceDN w:val="0"/>
        <w:snapToGrid w:val="0"/>
        <w:spacing w:beforeAutospacing="1" w:afterAutospacing="1" w:line="312" w:lineRule="auto"/>
        <w:rPr>
          <w:rFonts w:ascii="宋体" w:hAnsi="宋体"/>
          <w:sz w:val="24"/>
        </w:rPr>
      </w:pPr>
      <w:r>
        <w:rPr>
          <w:rFonts w:ascii="仿宋_GB2312" w:eastAsia="仿宋_GB2312" w:hAnsi="仿宋_GB2312"/>
          <w:b/>
          <w:sz w:val="24"/>
        </w:rPr>
        <w:t xml:space="preserve">     3、行业各主要细分领域层次差异加大，马太效应明显。</w:t>
      </w:r>
    </w:p>
    <w:p w:rsidR="00B878D1" w:rsidRDefault="003E6529">
      <w:pPr>
        <w:autoSpaceDN w:val="0"/>
        <w:spacing w:beforeAutospacing="1" w:afterAutospacing="1"/>
        <w:ind w:firstLine="420"/>
        <w:rPr>
          <w:rFonts w:ascii="宋体" w:hAnsi="宋体"/>
          <w:sz w:val="24"/>
        </w:rPr>
      </w:pPr>
      <w:r>
        <w:rPr>
          <w:rFonts w:ascii="宋体" w:hAnsi="宋体"/>
        </w:rPr>
        <w:t>我国教育行业以公有制为主体，公办学校的收入主要来源于财政性拨款和学费收入，其中：财政支持力度很大程度上决定了教育机构的办学条件，不同阶段教育机构对其依赖程度也有所不同；学费收入则多用于日常运行。两者又是相互关联的，往往受政府扶持、财政支持力度大的院校因能提供更加优质的教育服务而更容易树立品牌及受到家长的追捧，甚至愿意为进入该校支付高昂的赞助费、扩招费等，故其日常运行资金更加充裕而稳定。反之，部分院校因缺乏财政支持，难以有效改善硬件条件及增加师资力量，进一步造成招生困难，学费收入逐年锐减。</w:t>
      </w:r>
    </w:p>
    <w:p w:rsidR="00B878D1" w:rsidRDefault="003E6529">
      <w:pPr>
        <w:autoSpaceDN w:val="0"/>
        <w:spacing w:beforeAutospacing="1" w:afterAutospacing="1"/>
        <w:ind w:firstLine="420"/>
        <w:rPr>
          <w:rFonts w:ascii="宋体" w:hAnsi="宋体"/>
          <w:sz w:val="24"/>
        </w:rPr>
      </w:pPr>
      <w:r>
        <w:rPr>
          <w:rFonts w:ascii="宋体" w:hAnsi="宋体"/>
        </w:rPr>
        <w:t>作为“普惠服务”的义务教育虽已全面普及，并执行“按学区就近入学”的政策，但最终难以摆脱升学的压力，从而催生出学区房、私立学校等市场。非义务教育阶段，在生源数量下滑，竞争日趋激烈的背景下，“211工程”、“985工程”重点高校、省市级重点高中等因资源的稀缺性在细分市场上优势地位明显，聚集了大量优质生源，运行情况持续向好。纳入100所国家示范性高职院校以及100所国家示范骨干高职立项建设院校名单且与当地产业布局较吻合的高职院校因就业率高、生源充足、受当地政府支持力度较大，运行情况也相对稳定。而一般省部属高校、高职院校、非重点高中、中职院校等则受到冲击明显，运行风险加大。</w:t>
      </w:r>
    </w:p>
    <w:p w:rsidR="00B878D1" w:rsidRDefault="003E6529">
      <w:pPr>
        <w:autoSpaceDN w:val="0"/>
        <w:spacing w:beforeAutospacing="1" w:afterAutospacing="1"/>
        <w:ind w:firstLine="420"/>
        <w:rPr>
          <w:rFonts w:ascii="宋体" w:hAnsi="宋体"/>
          <w:sz w:val="24"/>
        </w:rPr>
      </w:pPr>
      <w:r>
        <w:rPr>
          <w:rFonts w:ascii="宋体" w:hAnsi="宋体"/>
          <w:b/>
        </w:rPr>
        <w:t>4、民办教育机构发展机遇与风险并存，市场有待进一步规范。</w:t>
      </w:r>
    </w:p>
    <w:p w:rsidR="00B878D1" w:rsidRDefault="003E6529">
      <w:pPr>
        <w:autoSpaceDN w:val="0"/>
        <w:spacing w:beforeAutospacing="1" w:afterAutospacing="1"/>
        <w:ind w:firstLine="420"/>
        <w:rPr>
          <w:rFonts w:ascii="宋体" w:hAnsi="宋体"/>
          <w:sz w:val="24"/>
        </w:rPr>
      </w:pPr>
      <w:r>
        <w:rPr>
          <w:rFonts w:ascii="宋体" w:hAnsi="宋体"/>
        </w:rPr>
        <w:t>随着义务教育的普及，我国适龄人口“有学上”的问题已经基本解决，“上好学”的问题成为突出矛盾。家长对子女及自身教育需求日益多样化，推动民办教育快速成长,形成对公办教育的有效补充。各经济发达地区涌现出一批特色民办中小学校和以满足外籍人士及中高端收入人群子女基本教育需求为目标的国际学校，并已在当地形成良好口碑。</w:t>
      </w:r>
    </w:p>
    <w:p w:rsidR="00B878D1" w:rsidRDefault="003E6529">
      <w:pPr>
        <w:autoSpaceDN w:val="0"/>
        <w:spacing w:beforeAutospacing="1" w:afterAutospacing="1"/>
        <w:ind w:firstLine="420"/>
        <w:rPr>
          <w:rFonts w:ascii="宋体" w:hAnsi="宋体"/>
          <w:sz w:val="24"/>
        </w:rPr>
      </w:pPr>
      <w:r>
        <w:rPr>
          <w:rFonts w:ascii="宋体" w:hAnsi="宋体"/>
        </w:rPr>
        <w:t>同时，民办高等教育经过多年发展也已形成一定规模。2012年，我国共有各类民办高校707所（</w:t>
      </w:r>
      <w:proofErr w:type="gramStart"/>
      <w:r>
        <w:rPr>
          <w:rFonts w:ascii="宋体" w:hAnsi="宋体"/>
        </w:rPr>
        <w:t>含独立</w:t>
      </w:r>
      <w:proofErr w:type="gramEnd"/>
      <w:r>
        <w:rPr>
          <w:rFonts w:ascii="宋体" w:hAnsi="宋体"/>
        </w:rPr>
        <w:t>学院303所），在校生533.18万人，分别比上年新增9所、28.11万人。这类院校一般以社会投入作为办学启动资金，学生学费为主要收入和发展资金，其中部分独立学院还具有“民办公助”的背景。它们虽然在企业等第三方的出资下成立，独立运行，但可利用</w:t>
      </w:r>
      <w:r>
        <w:rPr>
          <w:rFonts w:ascii="宋体" w:hAnsi="宋体"/>
        </w:rPr>
        <w:lastRenderedPageBreak/>
        <w:t>对口公办高校的声誉及师资获得社会较高的认可度。</w:t>
      </w:r>
    </w:p>
    <w:p w:rsidR="00B878D1" w:rsidRDefault="003E6529">
      <w:pPr>
        <w:autoSpaceDN w:val="0"/>
        <w:spacing w:beforeAutospacing="1" w:afterAutospacing="1"/>
        <w:ind w:firstLine="420"/>
        <w:rPr>
          <w:rFonts w:ascii="宋体" w:hAnsi="宋体"/>
          <w:sz w:val="24"/>
        </w:rPr>
      </w:pPr>
      <w:r>
        <w:rPr>
          <w:rFonts w:ascii="宋体" w:hAnsi="宋体"/>
        </w:rPr>
        <w:t>另一方面，民办教育在快速发展的同时，目前依然面临着以下风险：一是制约民办教育发展的制度障碍依然未有较大突破，各项扶持政策有待进一步配套完善；二是生源的结构性变化对各类民办院校一般影响更大，尤其是民办中职和高职生源锐减，面临着严重的危机；三是投资主体的多元化导致其资金更加难以监控，容易出现道德风险。</w:t>
      </w:r>
    </w:p>
    <w:p w:rsidR="00B878D1" w:rsidRDefault="003E6529">
      <w:pPr>
        <w:autoSpaceDN w:val="0"/>
        <w:spacing w:beforeAutospacing="1" w:afterAutospacing="1"/>
        <w:ind w:firstLine="420"/>
        <w:rPr>
          <w:rFonts w:ascii="宋体" w:hAnsi="宋体"/>
          <w:sz w:val="24"/>
        </w:rPr>
      </w:pPr>
      <w:r>
        <w:rPr>
          <w:rFonts w:ascii="宋体" w:hAnsi="宋体"/>
        </w:rPr>
        <w:t>培训教育方面，在激烈的升学和就业压力等因素带动下，涌现出大批以外语、职业、少儿教育等为内容的培训机构，并因高成长、高利润而受到风险投资、私</w:t>
      </w:r>
      <w:proofErr w:type="gramStart"/>
      <w:r>
        <w:rPr>
          <w:rFonts w:ascii="宋体" w:hAnsi="宋体"/>
        </w:rPr>
        <w:t>募股权投资</w:t>
      </w:r>
      <w:proofErr w:type="gramEnd"/>
      <w:r>
        <w:rPr>
          <w:rFonts w:ascii="宋体" w:hAnsi="宋体"/>
        </w:rPr>
        <w:t>的青睐，短短几年已先后有13家培训机构赴海外成功上市。同时，随着越来越多的中小培训机构在竞争中被淘汰出局，细分领域集中度不断提高，行业品牌效应逐步显现。但当前教育培训市场也存在缺乏有效的行业制度监管和规范的行业准则约束，信息透明度低等问题。一些家庭作坊式培训机构规模扩张冲动强烈，频频出现资金链断裂、携款潜逃等事件，潜在风险不容忽视。</w:t>
      </w:r>
    </w:p>
    <w:p w:rsidR="00B878D1" w:rsidRDefault="003E6529">
      <w:pPr>
        <w:autoSpaceDN w:val="0"/>
        <w:spacing w:beforeAutospacing="1" w:afterAutospacing="1"/>
        <w:ind w:firstLine="420"/>
        <w:rPr>
          <w:rFonts w:ascii="宋体" w:hAnsi="宋体"/>
          <w:sz w:val="24"/>
        </w:rPr>
      </w:pPr>
      <w:r>
        <w:rPr>
          <w:rFonts w:ascii="宋体" w:hAnsi="宋体"/>
          <w:b/>
        </w:rPr>
        <w:t>5、行业金融需求从“单一融资”向“多元化服务”转变。</w:t>
      </w:r>
    </w:p>
    <w:p w:rsidR="00B878D1" w:rsidRDefault="003E6529">
      <w:pPr>
        <w:autoSpaceDN w:val="0"/>
        <w:spacing w:beforeAutospacing="1" w:afterAutospacing="1"/>
        <w:ind w:firstLine="420"/>
        <w:rPr>
          <w:rFonts w:ascii="宋体" w:hAnsi="宋体"/>
          <w:sz w:val="24"/>
        </w:rPr>
      </w:pPr>
      <w:r>
        <w:rPr>
          <w:rFonts w:ascii="宋体" w:hAnsi="宋体"/>
        </w:rPr>
        <w:t>以往的教育行业客户对银行业</w:t>
      </w:r>
      <w:proofErr w:type="gramStart"/>
      <w:r>
        <w:rPr>
          <w:rFonts w:ascii="宋体" w:hAnsi="宋体"/>
        </w:rPr>
        <w:t>务需求主要</w:t>
      </w:r>
      <w:proofErr w:type="gramEnd"/>
      <w:r>
        <w:rPr>
          <w:rFonts w:ascii="宋体" w:hAnsi="宋体"/>
        </w:rPr>
        <w:t>集中于固定资产建设、更新和维护，业务品种较为单一，且客户多为规模较大的高等院校。但从当前现状来看，一方面，国内高校大规模基建投资已基本结束，大部分正逐步进入还款期。在国家相关政策的扶持下，各地纷纷加大财政资金对院校债务的化解力度，造成行业贷款需求逐年下降。另一方面，伴随教育信息化的推进，各类院校对现金管理、结算网络、个人业务等金融需求快速增加，要求主要合作银行能够为其量身定制综合化服务方案，既能满足传统的融资需求，又能提高资金结算和利用效率。</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t>（二）相关政策要求</w:t>
      </w:r>
    </w:p>
    <w:p w:rsidR="00B878D1" w:rsidRDefault="003E6529">
      <w:pPr>
        <w:autoSpaceDN w:val="0"/>
        <w:spacing w:beforeAutospacing="1" w:afterAutospacing="1"/>
        <w:ind w:firstLine="420"/>
        <w:rPr>
          <w:rFonts w:ascii="宋体" w:hAnsi="宋体"/>
          <w:sz w:val="24"/>
        </w:rPr>
      </w:pPr>
      <w:r>
        <w:rPr>
          <w:rFonts w:ascii="宋体" w:hAnsi="宋体"/>
          <w:b/>
        </w:rPr>
        <w:t>1、“</w:t>
      </w:r>
      <w:proofErr w:type="gramStart"/>
      <w:r>
        <w:rPr>
          <w:rFonts w:ascii="宋体" w:hAnsi="宋体"/>
          <w:b/>
        </w:rPr>
        <w:t>十二五</w:t>
      </w:r>
      <w:proofErr w:type="gramEnd"/>
      <w:r>
        <w:rPr>
          <w:rFonts w:ascii="宋体" w:hAnsi="宋体"/>
          <w:b/>
        </w:rPr>
        <w:t>规划”明确构建更加完善的教育体系，扩大和保障公平受教育机会。</w:t>
      </w:r>
    </w:p>
    <w:p w:rsidR="00B878D1" w:rsidRDefault="003E6529">
      <w:pPr>
        <w:autoSpaceDN w:val="0"/>
        <w:spacing w:beforeAutospacing="1" w:afterAutospacing="1"/>
        <w:ind w:firstLine="420"/>
        <w:rPr>
          <w:rFonts w:ascii="宋体" w:hAnsi="宋体"/>
          <w:sz w:val="24"/>
        </w:rPr>
      </w:pPr>
      <w:r>
        <w:rPr>
          <w:rFonts w:ascii="宋体" w:hAnsi="宋体"/>
        </w:rPr>
        <w:t>教育部2012年6月印发《国家教育事业发展第十二个五年规划》（教发[2012]9号），明确</w:t>
      </w:r>
      <w:proofErr w:type="gramStart"/>
      <w:r>
        <w:rPr>
          <w:rFonts w:ascii="宋体" w:hAnsi="宋体"/>
        </w:rPr>
        <w:t>十二五</w:t>
      </w:r>
      <w:proofErr w:type="gramEnd"/>
      <w:r>
        <w:rPr>
          <w:rFonts w:ascii="宋体" w:hAnsi="宋体"/>
        </w:rPr>
        <w:t>期间教育行业发展方向：一是加快学前教育发展，明确政府职责，加强规划及实施，大力发展公办幼儿园，积极扶持民办幼儿园，多种形式扩大学前教育资源；二是建立现代职业教育体系，明确中等和高等职业学校定位，促进职业院校的专业设置与产业布局对接，建立职业教育与产业体系建设同步协调制度；三是完善高等教育体系，推进高等院校有特色、高水平发展，优化地方高等学校布局结构，进一步落实对地方所属行业特色高等学校的支持政策；四是推进继续教育体系建设，发展社会化职业培训机构，形成“广覆盖、宽领域、多层次”的继续教育体系;五是缩小区域教育发展差距，公共教育资源继续向中西部倾斜，推进义务教育标准化建设，启动实施中西部高等教育振兴计划等。</w:t>
      </w:r>
    </w:p>
    <w:p w:rsidR="00B878D1" w:rsidRDefault="003E6529">
      <w:pPr>
        <w:autoSpaceDN w:val="0"/>
        <w:spacing w:beforeAutospacing="1" w:afterAutospacing="1"/>
        <w:ind w:firstLine="420"/>
        <w:rPr>
          <w:rFonts w:ascii="宋体" w:hAnsi="宋体"/>
          <w:sz w:val="24"/>
        </w:rPr>
      </w:pPr>
      <w:r>
        <w:rPr>
          <w:rFonts w:ascii="宋体" w:hAnsi="宋体"/>
          <w:b/>
        </w:rPr>
        <w:t>2、鼓励民办教育机构发展，加快推动教育服务供给多元化。</w:t>
      </w:r>
    </w:p>
    <w:p w:rsidR="00B878D1" w:rsidRDefault="003E6529">
      <w:pPr>
        <w:autoSpaceDN w:val="0"/>
        <w:spacing w:beforeAutospacing="1" w:afterAutospacing="1"/>
        <w:ind w:firstLine="420"/>
        <w:rPr>
          <w:rFonts w:ascii="宋体" w:hAnsi="宋体"/>
          <w:sz w:val="24"/>
        </w:rPr>
      </w:pPr>
      <w:r>
        <w:rPr>
          <w:rFonts w:ascii="宋体" w:hAnsi="宋体"/>
        </w:rPr>
        <w:t>2010年7月国务院下发《教育规划纲要》明确指出，要清理并纠正对民办学校的各类歧视政策，制定完善促进民办教育发展的优惠政策。2012年6月28日教育部下发《关于鼓励和引导民间资金进入教育领域、促进民办教育健康发展的实施意见》，从办学准入、完善相关配套政策、清理和纠正歧视、加强监管等方面提出了共22条意见，用以鼓励和引导民间资金</w:t>
      </w:r>
      <w:r>
        <w:rPr>
          <w:rFonts w:ascii="宋体" w:hAnsi="宋体"/>
        </w:rPr>
        <w:lastRenderedPageBreak/>
        <w:t>发展教育和社会培训事业，促进民办教育健康发展。《国家教育事业发展第十二个五年规划》提出未来政府将采取购买服务、</w:t>
      </w:r>
      <w:proofErr w:type="gramStart"/>
      <w:r>
        <w:rPr>
          <w:rFonts w:ascii="宋体" w:hAnsi="宋体"/>
        </w:rPr>
        <w:t>资金奖补</w:t>
      </w:r>
      <w:proofErr w:type="gramEnd"/>
      <w:r>
        <w:rPr>
          <w:rFonts w:ascii="宋体" w:hAnsi="宋体"/>
        </w:rPr>
        <w:t>、教师培训等办法，支持非营利性民办教育，制定和完善支持民办教育发展的财政、税收、金融、收费、土地等政策，落实促进民办教育发展的政策。加大对非营利性民办学校支持力度，将非营利性民办教育纳入公共教育体系。</w:t>
      </w:r>
    </w:p>
    <w:p w:rsidR="00B878D1" w:rsidRDefault="003E6529">
      <w:pPr>
        <w:autoSpaceDN w:val="0"/>
        <w:spacing w:beforeAutospacing="1" w:afterAutospacing="1"/>
        <w:ind w:firstLine="420"/>
        <w:rPr>
          <w:rFonts w:ascii="宋体" w:hAnsi="宋体"/>
          <w:sz w:val="24"/>
        </w:rPr>
      </w:pPr>
      <w:r>
        <w:rPr>
          <w:rFonts w:ascii="宋体" w:hAnsi="宋体"/>
          <w:b/>
        </w:rPr>
        <w:t>3、多</w:t>
      </w:r>
      <w:proofErr w:type="gramStart"/>
      <w:r>
        <w:rPr>
          <w:rFonts w:ascii="宋体" w:hAnsi="宋体"/>
          <w:b/>
        </w:rPr>
        <w:t>措</w:t>
      </w:r>
      <w:proofErr w:type="gramEnd"/>
      <w:r>
        <w:rPr>
          <w:rFonts w:ascii="宋体" w:hAnsi="宋体"/>
          <w:b/>
        </w:rPr>
        <w:t>并举规范院校融资行为，深入推进公办教育机构化债工作。</w:t>
      </w:r>
    </w:p>
    <w:p w:rsidR="00B878D1" w:rsidRDefault="003E6529">
      <w:pPr>
        <w:autoSpaceDN w:val="0"/>
        <w:spacing w:beforeAutospacing="1" w:afterAutospacing="1"/>
        <w:ind w:firstLine="420"/>
        <w:rPr>
          <w:rFonts w:ascii="宋体" w:hAnsi="宋体"/>
          <w:sz w:val="24"/>
        </w:rPr>
      </w:pPr>
      <w:r>
        <w:rPr>
          <w:rFonts w:ascii="宋体" w:hAnsi="宋体"/>
        </w:rPr>
        <w:t>教育部2007年起施行的直属院校贷款上限控制、预警指标管理体制对抑制高校融资扩张起到了较强的约束作用。教育部、财政部共同组织开发了“高等学校银行贷款额度控制与风险评价模型”，用以监控高校债务规模及财务风险，并明令禁止高校贷款用于对外投资(含对校办产业投资)、科技开发、捐赠、支付罚没款项以及平衡预算抵补日常经费开支的不足等。同时，教育部根据该模型按年测算直属高校贷款风险指数，风险指数大于0.6的高校新增贷款需教育部审批，风险指数小于0.6的高校新增贷款需向教育部报备。2012年7月教育部下发《国家教育事业发展第十二个五年规划》要求</w:t>
      </w:r>
      <w:proofErr w:type="gramStart"/>
      <w:r>
        <w:rPr>
          <w:rFonts w:ascii="宋体" w:hAnsi="宋体"/>
        </w:rPr>
        <w:t>十二五</w:t>
      </w:r>
      <w:proofErr w:type="gramEnd"/>
      <w:r>
        <w:rPr>
          <w:rFonts w:ascii="宋体" w:hAnsi="宋体"/>
        </w:rPr>
        <w:t>期间全面完成义务教育债务化解工作，基本化解中央部属高等学校债务风险，并通过中央财政</w:t>
      </w:r>
      <w:proofErr w:type="gramStart"/>
      <w:r>
        <w:rPr>
          <w:rFonts w:ascii="宋体" w:hAnsi="宋体"/>
        </w:rPr>
        <w:t>予以奖补等</w:t>
      </w:r>
      <w:proofErr w:type="gramEnd"/>
      <w:r>
        <w:rPr>
          <w:rFonts w:ascii="宋体" w:hAnsi="宋体"/>
        </w:rPr>
        <w:t>措施，推动地方各级政府化解学校债务风险。</w:t>
      </w:r>
    </w:p>
    <w:p w:rsidR="00B878D1" w:rsidRDefault="003E6529">
      <w:pPr>
        <w:autoSpaceDN w:val="0"/>
        <w:spacing w:afterAutospacing="1"/>
        <w:ind w:firstLine="420"/>
        <w:rPr>
          <w:rFonts w:ascii="宋体" w:hAnsi="宋体"/>
          <w:b/>
          <w:sz w:val="31"/>
        </w:rPr>
      </w:pPr>
      <w:r>
        <w:rPr>
          <w:rFonts w:ascii="仿宋_GB2312" w:eastAsia="仿宋_GB2312" w:hAnsi="仿宋_GB2312"/>
          <w:b/>
          <w:sz w:val="31"/>
        </w:rPr>
        <w:t>三、存量业务结构及风险收益表现</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t>（一）</w:t>
      </w:r>
      <w:r>
        <w:rPr>
          <w:rFonts w:ascii="宋体" w:hAnsi="宋体"/>
          <w:b/>
          <w:sz w:val="24"/>
        </w:rPr>
        <w:t>2013</w:t>
      </w:r>
      <w:r>
        <w:rPr>
          <w:rFonts w:ascii="仿宋_GB2312" w:eastAsia="仿宋_GB2312" w:hAnsi="仿宋_GB2312"/>
          <w:b/>
          <w:sz w:val="24"/>
        </w:rPr>
        <w:t>年行业存量业务整体运行概况</w:t>
      </w:r>
    </w:p>
    <w:p w:rsidR="00B878D1" w:rsidRDefault="003E6529">
      <w:pPr>
        <w:autoSpaceDN w:val="0"/>
        <w:spacing w:beforeAutospacing="1" w:afterAutospacing="1"/>
        <w:ind w:firstLine="420"/>
        <w:rPr>
          <w:rFonts w:ascii="宋体" w:hAnsi="宋体"/>
          <w:sz w:val="24"/>
        </w:rPr>
      </w:pPr>
      <w:r>
        <w:rPr>
          <w:rFonts w:ascii="宋体" w:hAnsi="宋体"/>
          <w:color w:val="000000"/>
        </w:rPr>
        <w:t>略</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t>（二）</w:t>
      </w:r>
      <w:r>
        <w:rPr>
          <w:rFonts w:ascii="宋体" w:hAnsi="宋体"/>
          <w:b/>
          <w:sz w:val="24"/>
        </w:rPr>
        <w:t>2013</w:t>
      </w:r>
      <w:r>
        <w:rPr>
          <w:rFonts w:ascii="仿宋_GB2312" w:eastAsia="仿宋_GB2312" w:hAnsi="仿宋_GB2312"/>
          <w:b/>
          <w:sz w:val="24"/>
        </w:rPr>
        <w:t>年行业风险收益表现</w:t>
      </w:r>
    </w:p>
    <w:p w:rsidR="00B878D1" w:rsidRDefault="003E6529">
      <w:pPr>
        <w:autoSpaceDN w:val="0"/>
        <w:spacing w:afterAutospacing="1"/>
        <w:ind w:firstLine="420"/>
        <w:rPr>
          <w:rFonts w:ascii="宋体" w:hAnsi="宋体"/>
          <w:b/>
          <w:sz w:val="31"/>
        </w:rPr>
      </w:pPr>
      <w:r>
        <w:rPr>
          <w:rFonts w:ascii="仿宋_GB2312" w:eastAsia="仿宋_GB2312" w:hAnsi="仿宋_GB2312"/>
          <w:b/>
          <w:sz w:val="31"/>
        </w:rPr>
        <w:t>略</w:t>
      </w:r>
    </w:p>
    <w:p w:rsidR="00B878D1" w:rsidRDefault="003E6529">
      <w:pPr>
        <w:autoSpaceDN w:val="0"/>
        <w:spacing w:afterAutospacing="1"/>
        <w:ind w:firstLine="420"/>
        <w:rPr>
          <w:rFonts w:ascii="宋体" w:hAnsi="宋体"/>
          <w:b/>
          <w:sz w:val="31"/>
        </w:rPr>
      </w:pPr>
      <w:r>
        <w:rPr>
          <w:rFonts w:ascii="仿宋_GB2312" w:eastAsia="仿宋_GB2312" w:hAnsi="仿宋_GB2312"/>
          <w:b/>
          <w:sz w:val="31"/>
        </w:rPr>
        <w:t>四、行业投向指引</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t>（一）总体目标和原则</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教育属传统民生消费</w:t>
      </w:r>
      <w:proofErr w:type="gramStart"/>
      <w:r>
        <w:rPr>
          <w:rFonts w:ascii="仿宋_GB2312" w:eastAsia="仿宋_GB2312" w:hAnsi="仿宋_GB2312"/>
          <w:sz w:val="24"/>
        </w:rPr>
        <w:t>领域刚需行业</w:t>
      </w:r>
      <w:proofErr w:type="gramEnd"/>
      <w:r>
        <w:rPr>
          <w:rFonts w:ascii="仿宋_GB2312" w:eastAsia="仿宋_GB2312" w:hAnsi="仿宋_GB2312"/>
          <w:sz w:val="24"/>
        </w:rPr>
        <w:t>，不易受经济波动影响。近年来，随着国内高校、高中规模扩张放缓以及各级财政投入加大、教育化</w:t>
      </w:r>
      <w:proofErr w:type="gramStart"/>
      <w:r>
        <w:rPr>
          <w:rFonts w:ascii="仿宋_GB2312" w:eastAsia="仿宋_GB2312" w:hAnsi="仿宋_GB2312"/>
          <w:sz w:val="24"/>
        </w:rPr>
        <w:t>债工作</w:t>
      </w:r>
      <w:proofErr w:type="gramEnd"/>
      <w:r>
        <w:rPr>
          <w:rFonts w:ascii="仿宋_GB2312" w:eastAsia="仿宋_GB2312" w:hAnsi="仿宋_GB2312"/>
          <w:sz w:val="24"/>
        </w:rPr>
        <w:t>持续推进，各类院校债务水平逐步下降。同时，在日益激烈的升学、就业竞争压力下，优质高中、高等教育资源备受追捧，并向其他细分领域蔓延，推动培训产业、职业教育快速发展。在多方有利因素推动下，行业发展总体稳定。目前，</w:t>
      </w:r>
      <w:r w:rsidR="00B0134F">
        <w:rPr>
          <w:rFonts w:ascii="仿宋_GB2312" w:eastAsia="仿宋_GB2312" w:hAnsi="仿宋_GB2312"/>
          <w:sz w:val="24"/>
        </w:rPr>
        <w:t>银行</w:t>
      </w:r>
      <w:r>
        <w:rPr>
          <w:rFonts w:ascii="仿宋_GB2312" w:eastAsia="仿宋_GB2312" w:hAnsi="仿宋_GB2312"/>
          <w:sz w:val="24"/>
        </w:rPr>
        <w:t>对教育行业授信投入总量偏少，风险分散且质量相对较好，在融资、结算等业务联动方面潜力较大，但受</w:t>
      </w:r>
      <w:proofErr w:type="gramStart"/>
      <w:r>
        <w:rPr>
          <w:rFonts w:ascii="仿宋_GB2312" w:eastAsia="仿宋_GB2312" w:hAnsi="仿宋_GB2312"/>
          <w:sz w:val="24"/>
        </w:rPr>
        <w:t>行业公益</w:t>
      </w:r>
      <w:proofErr w:type="gramEnd"/>
      <w:r>
        <w:rPr>
          <w:rFonts w:ascii="仿宋_GB2312" w:eastAsia="仿宋_GB2312" w:hAnsi="仿宋_GB2312"/>
          <w:sz w:val="24"/>
        </w:rPr>
        <w:t>性质特点影响，存量客户PD、LGD评级均低于全行平均水平，整体财务状况也弱于行业平均水平。2014年</w:t>
      </w:r>
      <w:r w:rsidR="00B0134F">
        <w:rPr>
          <w:rFonts w:ascii="仿宋_GB2312" w:eastAsia="仿宋_GB2312" w:hAnsi="仿宋_GB2312"/>
          <w:sz w:val="24"/>
        </w:rPr>
        <w:t>银行</w:t>
      </w:r>
      <w:proofErr w:type="gramStart"/>
      <w:r>
        <w:rPr>
          <w:rFonts w:ascii="仿宋_GB2312" w:eastAsia="仿宋_GB2312" w:hAnsi="仿宋_GB2312"/>
          <w:sz w:val="24"/>
        </w:rPr>
        <w:t>教育</w:t>
      </w:r>
      <w:proofErr w:type="gramEnd"/>
      <w:r>
        <w:rPr>
          <w:rFonts w:ascii="仿宋_GB2312" w:eastAsia="仿宋_GB2312" w:hAnsi="仿宋_GB2312"/>
          <w:sz w:val="24"/>
        </w:rPr>
        <w:t>行业业务发展总体目标和原则是：积极拓展，择优支持；整体营销，提高回报；关注风险，加强管理，</w:t>
      </w:r>
      <w:r>
        <w:rPr>
          <w:rFonts w:ascii="仿宋_GB2312" w:eastAsia="仿宋_GB2312" w:hAnsi="仿宋_GB2312"/>
          <w:sz w:val="24"/>
        </w:rPr>
        <w:lastRenderedPageBreak/>
        <w:t>具体为：一是在继续大力支持优质高校及高职院校、重点高中、培训行业龙头基础上，积极做大对</w:t>
      </w:r>
      <w:r w:rsidR="00B0134F">
        <w:rPr>
          <w:rFonts w:ascii="仿宋_GB2312" w:eastAsia="仿宋_GB2312" w:hAnsi="仿宋_GB2312"/>
          <w:sz w:val="24"/>
        </w:rPr>
        <w:t>银行</w:t>
      </w:r>
      <w:proofErr w:type="gramStart"/>
      <w:r>
        <w:rPr>
          <w:rFonts w:ascii="仿宋_GB2312" w:eastAsia="仿宋_GB2312" w:hAnsi="仿宋_GB2312"/>
          <w:sz w:val="24"/>
        </w:rPr>
        <w:t>收益</w:t>
      </w:r>
      <w:proofErr w:type="gramEnd"/>
      <w:r>
        <w:rPr>
          <w:rFonts w:ascii="仿宋_GB2312" w:eastAsia="仿宋_GB2312" w:hAnsi="仿宋_GB2312"/>
          <w:sz w:val="24"/>
        </w:rPr>
        <w:t>贡献较高的中型客户群，特别是具有成熟客户资源的省辖行可优选当地排名前列、生源稳定的高中、高职院校重点营销；二是加强对教育客户的整体营销，积极探索银校融资、结算、</w:t>
      </w:r>
      <w:proofErr w:type="gramStart"/>
      <w:r>
        <w:rPr>
          <w:rFonts w:ascii="仿宋_GB2312" w:eastAsia="仿宋_GB2312" w:hAnsi="仿宋_GB2312"/>
          <w:sz w:val="24"/>
        </w:rPr>
        <w:t>个金业务</w:t>
      </w:r>
      <w:proofErr w:type="gramEnd"/>
      <w:r>
        <w:rPr>
          <w:rFonts w:ascii="仿宋_GB2312" w:eastAsia="仿宋_GB2312" w:hAnsi="仿宋_GB2312"/>
          <w:sz w:val="24"/>
        </w:rPr>
        <w:t>等多元合作模式，以带动综合收益提升；三是高度关注国家政策变化及生源减少对各类院校客户产生的影响及存量客户财务状况，加大行业客户结构调整力度，有保有压，积极盘活存量资产。</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t>（二）准入标准及分类策略</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1、新客户准入条件</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（1）高等教育</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公办高等院校须符合以下条件：品牌、师资力量较强；生源及各级财政补贴稳定；原则上近三年年均教育经费总收入不低于1亿；借款收入比≤1或贷款风险指数≤0.6。</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公办高职院校：位于省会、直辖市、计划单列市、经济较发达的地级市城区，专业设置与当地产业导向吻合；生源稳定、就业率较高；地方财政稳定支持；原则上近三年年均教育经费总收入不低于1亿（中西部地区原则上不低于7000万），借款收入比≤1。</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民办高校及高职院校在符合除“各级财政支持稳定”以外各项条件的前提下，需为融资业务提供教学设施以外、合法有效的足</w:t>
      </w:r>
      <w:proofErr w:type="gramStart"/>
      <w:r>
        <w:rPr>
          <w:rFonts w:ascii="仿宋_GB2312" w:eastAsia="仿宋_GB2312" w:hAnsi="仿宋_GB2312"/>
          <w:sz w:val="24"/>
        </w:rPr>
        <w:t>值资产</w:t>
      </w:r>
      <w:proofErr w:type="gramEnd"/>
      <w:r>
        <w:rPr>
          <w:rFonts w:ascii="仿宋_GB2312" w:eastAsia="仿宋_GB2312" w:hAnsi="仿宋_GB2312"/>
          <w:sz w:val="24"/>
        </w:rPr>
        <w:t>抵押或第三方担保。</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（2）中等教育</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公办普通高中：省（计划单列市）级、地级市级重点，有关部门公布的县域社会经济综合发展指数（县域经济基本竞争力）100</w:t>
      </w:r>
      <w:proofErr w:type="gramStart"/>
      <w:r>
        <w:rPr>
          <w:rFonts w:ascii="仿宋_GB2312" w:eastAsia="仿宋_GB2312" w:hAnsi="仿宋_GB2312"/>
          <w:sz w:val="24"/>
        </w:rPr>
        <w:t>强所在</w:t>
      </w:r>
      <w:proofErr w:type="gramEnd"/>
      <w:r>
        <w:rPr>
          <w:rFonts w:ascii="仿宋_GB2312" w:eastAsia="仿宋_GB2312" w:hAnsi="仿宋_GB2312"/>
          <w:sz w:val="24"/>
        </w:rPr>
        <w:t>县（市）级重点；地方财政支持力度大，且近三年年均教育经费总收入不低于4000万（中西部地区原则上不低于3000万）；借款收入比≤1。</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公办中等职业学校：位于省会、直辖市、计划单列市或经济较发达的地级市城区，专业设置契合当地产业布局，生源充足，近两年就业率高于95%；地方财政稳定支持，且近三年年均教育经费总收入不低于5000万（中西部地区原则上不低于4000万）；借款收入比≤1。</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lastRenderedPageBreak/>
        <w:t>民办（国际）中学（含初中）及中职：在确保带动综合收益、风险补偿机制完备的前提下，对股东实力较强、已在当地形成良好品牌、生源充足、教育收入稳定且无不良信用记录的民办中学、职业学校可予谨慎支持，且原则上须落实教学设施以外、合法有效的足</w:t>
      </w:r>
      <w:proofErr w:type="gramStart"/>
      <w:r>
        <w:rPr>
          <w:rFonts w:ascii="仿宋_GB2312" w:eastAsia="仿宋_GB2312" w:hAnsi="仿宋_GB2312"/>
          <w:sz w:val="24"/>
        </w:rPr>
        <w:t>值资产</w:t>
      </w:r>
      <w:proofErr w:type="gramEnd"/>
      <w:r>
        <w:rPr>
          <w:rFonts w:ascii="仿宋_GB2312" w:eastAsia="仿宋_GB2312" w:hAnsi="仿宋_GB2312"/>
          <w:sz w:val="24"/>
        </w:rPr>
        <w:t>抵押或第三方担保。</w:t>
      </w:r>
    </w:p>
    <w:p w:rsidR="00B878D1" w:rsidRDefault="003E6529">
      <w:pPr>
        <w:autoSpaceDN w:val="0"/>
        <w:snapToGrid w:val="0"/>
        <w:spacing w:beforeAutospacing="1" w:afterAutospacing="1" w:line="312" w:lineRule="auto"/>
        <w:ind w:left="560"/>
        <w:rPr>
          <w:rFonts w:ascii="宋体" w:hAnsi="宋体"/>
          <w:sz w:val="24"/>
        </w:rPr>
      </w:pPr>
      <w:r>
        <w:rPr>
          <w:rFonts w:ascii="仿宋_GB2312" w:eastAsia="仿宋_GB2312" w:hAnsi="仿宋_GB2312"/>
          <w:sz w:val="24"/>
        </w:rPr>
        <w:t>（3）初等教育</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原则上不介入公办初中和小学。在充分评估风险和收益的前提下，可对符合下列条件的民办初中、小学(含一贯制学校)谨慎介入：地处省会、直辖市、计划单列市或经济较发达的地级市城区；股东综合实力较强，具有一定行业经验；在校人数及学费收入连续3年保持增长，在当地已形成良好教育品牌；须落实教学设施以外、合法有效的足</w:t>
      </w:r>
      <w:proofErr w:type="gramStart"/>
      <w:r>
        <w:rPr>
          <w:rFonts w:ascii="仿宋_GB2312" w:eastAsia="仿宋_GB2312" w:hAnsi="仿宋_GB2312"/>
          <w:sz w:val="24"/>
        </w:rPr>
        <w:t>值资产</w:t>
      </w:r>
      <w:proofErr w:type="gramEnd"/>
      <w:r>
        <w:rPr>
          <w:rFonts w:ascii="仿宋_GB2312" w:eastAsia="仿宋_GB2312" w:hAnsi="仿宋_GB2312"/>
          <w:sz w:val="24"/>
        </w:rPr>
        <w:t>抵押或第三方担保。</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（4）教育培训机构</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主要选择已实现上市的国内教育培训机构龙头企业下属骨干经营实体，同时需符合下列条件：经营规模较大，近两年年均收入不低于1亿、资产负债率不高于60%；在细分子行业具较强的全国或区域知名度，品牌优势明显，内部管理规范; 须落实教学设施以外、合法有效的足</w:t>
      </w:r>
      <w:proofErr w:type="gramStart"/>
      <w:r>
        <w:rPr>
          <w:rFonts w:ascii="仿宋_GB2312" w:eastAsia="仿宋_GB2312" w:hAnsi="仿宋_GB2312"/>
          <w:sz w:val="24"/>
        </w:rPr>
        <w:t>值资产</w:t>
      </w:r>
      <w:proofErr w:type="gramEnd"/>
      <w:r>
        <w:rPr>
          <w:rFonts w:ascii="仿宋_GB2312" w:eastAsia="仿宋_GB2312" w:hAnsi="仿宋_GB2312"/>
          <w:sz w:val="24"/>
        </w:rPr>
        <w:t>抵押。</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2、项目准入条件</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（1）自有资金比例原则上不低于50%，其中对“211工程”院校，自有资金比例可放低至30%；贷款期限原则上不超过8年。</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（2）落实财政专项拨款、学费收入、老校区土地置换收入等作为主要还贷来源。</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（3）教育部直属高校大额项目贷款须经国家教育部批准或备案通过。其他院校原则上须经当地教育主管部门或其上级部门批复同意。扩建校区类项目，学校对应院系设置、扩招规划已获教育主管部门同意。</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3、省辖行策略</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对于省辖行经营所在一般地级市，可根据当地实际条件优选排名前列的重点高中或与区域产业相配套，财政扶持力度较大，生源、就业率稳定的高职院校开展合作; 对经综合评估、</w:t>
      </w:r>
      <w:proofErr w:type="gramStart"/>
      <w:r>
        <w:rPr>
          <w:rFonts w:ascii="仿宋_GB2312" w:eastAsia="仿宋_GB2312" w:hAnsi="仿宋_GB2312"/>
          <w:sz w:val="24"/>
        </w:rPr>
        <w:t>考量</w:t>
      </w:r>
      <w:proofErr w:type="gramEnd"/>
      <w:r>
        <w:rPr>
          <w:rFonts w:ascii="仿宋_GB2312" w:eastAsia="仿宋_GB2312" w:hAnsi="仿宋_GB2312"/>
          <w:sz w:val="24"/>
        </w:rPr>
        <w:t>确属风险可控、综合收益带动明显的客户,可适当</w:t>
      </w:r>
      <w:r>
        <w:rPr>
          <w:rFonts w:ascii="仿宋_GB2312" w:eastAsia="仿宋_GB2312" w:hAnsi="仿宋_GB2312"/>
          <w:sz w:val="24"/>
        </w:rPr>
        <w:lastRenderedPageBreak/>
        <w:t>放宽上述准入标准。</w:t>
      </w:r>
    </w:p>
    <w:p w:rsidR="00B878D1" w:rsidRDefault="003E6529">
      <w:pPr>
        <w:autoSpaceDN w:val="0"/>
        <w:snapToGrid w:val="0"/>
        <w:spacing w:beforeAutospacing="1" w:afterAutospacing="1" w:line="312" w:lineRule="auto"/>
        <w:ind w:firstLine="420"/>
        <w:rPr>
          <w:rFonts w:ascii="宋体" w:hAnsi="宋体"/>
          <w:sz w:val="24"/>
        </w:rPr>
      </w:pPr>
      <w:proofErr w:type="gramStart"/>
      <w:r>
        <w:rPr>
          <w:rFonts w:ascii="仿宋_GB2312" w:eastAsia="仿宋_GB2312" w:hAnsi="仿宋_GB2312"/>
          <w:sz w:val="24"/>
        </w:rPr>
        <w:t>各辖行应</w:t>
      </w:r>
      <w:proofErr w:type="gramEnd"/>
      <w:r>
        <w:rPr>
          <w:rFonts w:ascii="仿宋_GB2312" w:eastAsia="仿宋_GB2312" w:hAnsi="仿宋_GB2312"/>
          <w:sz w:val="24"/>
        </w:rPr>
        <w:t>以现金管理、结算、网上银行等为切入点，在充分把握客户基本财务运行状况的基础上，逐步深化银校合作。根据其融资需求主要给予短期融资品种支持；对其新增、更新设备及基建项目择优介入，其中营利性院校应落实教学设施以外、合法有效资产抵押。</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4、区域策略</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（1）北京、上海、江苏、陕西等教育资源丰富地区应重点加强与当地教育主管部门的沟通和合作，积极参与当地教育信息化建设，通过搭建“ 银政校”平台，力争整体切入当地优质教育客户群，不断做大市场份额。在此基础上，针对部分存量客户财务状况偏弱、综合收益低、存款带动不足的现状，积极优化存量业务结构，着力提高综合收益。</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2）河南、山东、四川等人口密集地区应密切跟踪当地产业结构变化，除积极拓展重点高校外，可择优选择一批符合当地产业发展导向、地方政府全方位支持、生源和就业率均有保障、银校合作潜力大的高职、中职院校逐步开展各项业务。</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5、产品策略</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针对当前贷款规模趋紧、优质教育客户定价不理想等情况，各行应在合理配置业务资源的基础上，根据行业金融需求及风险特点，积极探索银校多元化合作模式，多渠道满足客户个性化融资及成本控制要求；充分利用专业结算网络实现与学校资金系统对接，以及</w:t>
      </w:r>
      <w:r w:rsidR="00B0134F">
        <w:rPr>
          <w:rFonts w:ascii="仿宋_GB2312" w:eastAsia="仿宋_GB2312" w:hAnsi="仿宋_GB2312"/>
          <w:sz w:val="24"/>
        </w:rPr>
        <w:t>银行</w:t>
      </w:r>
      <w:r>
        <w:rPr>
          <w:rFonts w:ascii="仿宋_GB2312" w:eastAsia="仿宋_GB2312" w:hAnsi="仿宋_GB2312"/>
          <w:sz w:val="24"/>
        </w:rPr>
        <w:t>在个贷、公私理财等方面的专业优势联动营销，稳步扩大合作范围。</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（1）融资产品</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一是在风险可控的前提下，积极探索通过工程</w:t>
      </w:r>
      <w:proofErr w:type="gramStart"/>
      <w:r>
        <w:rPr>
          <w:rFonts w:ascii="仿宋_GB2312" w:eastAsia="仿宋_GB2312" w:hAnsi="仿宋_GB2312"/>
          <w:sz w:val="24"/>
        </w:rPr>
        <w:t>款保理</w:t>
      </w:r>
      <w:proofErr w:type="gramEnd"/>
      <w:r>
        <w:rPr>
          <w:rFonts w:ascii="仿宋_GB2312" w:eastAsia="仿宋_GB2312" w:hAnsi="仿宋_GB2312"/>
          <w:sz w:val="24"/>
        </w:rPr>
        <w:t>等形式多元化满足优质高校项目建设资金需求。</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工程</w:t>
      </w:r>
      <w:proofErr w:type="gramStart"/>
      <w:r>
        <w:rPr>
          <w:rFonts w:ascii="仿宋_GB2312" w:eastAsia="仿宋_GB2312" w:hAnsi="仿宋_GB2312"/>
          <w:sz w:val="24"/>
        </w:rPr>
        <w:t>款保理</w:t>
      </w:r>
      <w:proofErr w:type="gramEnd"/>
      <w:r>
        <w:rPr>
          <w:rFonts w:ascii="仿宋_GB2312" w:eastAsia="仿宋_GB2312" w:hAnsi="仿宋_GB2312"/>
          <w:sz w:val="24"/>
        </w:rPr>
        <w:t>：优质高校在资金不能及时到位或阶段性紧张的情况下，利用</w:t>
      </w:r>
      <w:proofErr w:type="gramStart"/>
      <w:r>
        <w:rPr>
          <w:rFonts w:ascii="仿宋_GB2312" w:eastAsia="仿宋_GB2312" w:hAnsi="仿宋_GB2312"/>
          <w:sz w:val="24"/>
        </w:rPr>
        <w:t>保理业务</w:t>
      </w:r>
      <w:proofErr w:type="gramEnd"/>
      <w:r>
        <w:rPr>
          <w:rFonts w:ascii="仿宋_GB2312" w:eastAsia="仿宋_GB2312" w:hAnsi="仿宋_GB2312"/>
          <w:sz w:val="24"/>
        </w:rPr>
        <w:t>提供的有利付款条件由合作银行按合同约定及工程进度先将工程款支付给施工方。待约定付款期满后，其再将由银行垫付的资金偿还给银行。对高校来讲，其只需承担稍高于短贷的融资成本便可有效缓解资金不足的压力，按期完成</w:t>
      </w:r>
      <w:r>
        <w:rPr>
          <w:rFonts w:ascii="仿宋_GB2312" w:eastAsia="仿宋_GB2312" w:hAnsi="仿宋_GB2312"/>
          <w:sz w:val="24"/>
        </w:rPr>
        <w:lastRenderedPageBreak/>
        <w:t>项目建设。</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二是充分发挥</w:t>
      </w:r>
      <w:r w:rsidR="00B0134F">
        <w:rPr>
          <w:rFonts w:ascii="仿宋_GB2312" w:eastAsia="仿宋_GB2312" w:hAnsi="仿宋_GB2312"/>
          <w:sz w:val="24"/>
        </w:rPr>
        <w:t>银行</w:t>
      </w:r>
      <w:r>
        <w:rPr>
          <w:rFonts w:ascii="仿宋_GB2312" w:eastAsia="仿宋_GB2312" w:hAnsi="仿宋_GB2312"/>
          <w:sz w:val="24"/>
        </w:rPr>
        <w:t>综合化经营优势，加强与交银租赁的联动，通过设备租赁融资、应收租赁</w:t>
      </w:r>
      <w:proofErr w:type="gramStart"/>
      <w:r>
        <w:rPr>
          <w:rFonts w:ascii="仿宋_GB2312" w:eastAsia="仿宋_GB2312" w:hAnsi="仿宋_GB2312"/>
          <w:sz w:val="24"/>
        </w:rPr>
        <w:t>款保理</w:t>
      </w:r>
      <w:proofErr w:type="gramEnd"/>
      <w:r>
        <w:rPr>
          <w:rFonts w:ascii="仿宋_GB2312" w:eastAsia="仿宋_GB2312" w:hAnsi="仿宋_GB2312"/>
          <w:sz w:val="24"/>
        </w:rPr>
        <w:t>等业务多渠道解决教育院校计算机、大型实验装置等仪器设备更新换代融资需求。同时，还可利用其现存的大量设备，通过售后回租方式，帮助其盘活资产，以补充营运资金。</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（2）综合性结算产品</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学费通：是</w:t>
      </w:r>
      <w:r w:rsidR="00B0134F">
        <w:rPr>
          <w:rFonts w:ascii="仿宋_GB2312" w:eastAsia="仿宋_GB2312" w:hAnsi="仿宋_GB2312"/>
          <w:sz w:val="24"/>
        </w:rPr>
        <w:t>银行</w:t>
      </w:r>
      <w:r>
        <w:rPr>
          <w:rFonts w:ascii="仿宋_GB2312" w:eastAsia="仿宋_GB2312" w:hAnsi="仿宋_GB2312"/>
          <w:sz w:val="24"/>
        </w:rPr>
        <w:t>为教育行业客户提供的多渠道、电子化学杂费收缴综合解决方案，通过教育机构网站与</w:t>
      </w:r>
      <w:r w:rsidR="00B0134F">
        <w:rPr>
          <w:rFonts w:ascii="仿宋_GB2312" w:eastAsia="仿宋_GB2312" w:hAnsi="仿宋_GB2312"/>
          <w:sz w:val="24"/>
        </w:rPr>
        <w:t>银行</w:t>
      </w:r>
      <w:r>
        <w:rPr>
          <w:rFonts w:ascii="仿宋_GB2312" w:eastAsia="仿宋_GB2312" w:hAnsi="仿宋_GB2312"/>
          <w:sz w:val="24"/>
        </w:rPr>
        <w:t>银联电</w:t>
      </w:r>
      <w:proofErr w:type="gramStart"/>
      <w:r>
        <w:rPr>
          <w:rFonts w:ascii="仿宋_GB2312" w:eastAsia="仿宋_GB2312" w:hAnsi="仿宋_GB2312"/>
          <w:sz w:val="24"/>
        </w:rPr>
        <w:t>子支付</w:t>
      </w:r>
      <w:proofErr w:type="gramEnd"/>
      <w:r>
        <w:rPr>
          <w:rFonts w:ascii="仿宋_GB2312" w:eastAsia="仿宋_GB2312" w:hAnsi="仿宋_GB2312"/>
          <w:sz w:val="24"/>
        </w:rPr>
        <w:t>接口（B2C）的连接，实现网上学费便捷收缴。除适用于各类院校外，对于学费归集度高且年度一次性支付多的培训机构，更应积极推广。</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校园</w:t>
      </w:r>
      <w:proofErr w:type="gramStart"/>
      <w:r>
        <w:rPr>
          <w:rFonts w:ascii="仿宋_GB2312" w:eastAsia="仿宋_GB2312" w:hAnsi="仿宋_GB2312"/>
          <w:sz w:val="24"/>
        </w:rPr>
        <w:t>一</w:t>
      </w:r>
      <w:proofErr w:type="gramEnd"/>
      <w:r>
        <w:rPr>
          <w:rFonts w:ascii="仿宋_GB2312" w:eastAsia="仿宋_GB2312" w:hAnsi="仿宋_GB2312"/>
          <w:sz w:val="24"/>
        </w:rPr>
        <w:t>卡通：</w:t>
      </w:r>
      <w:r w:rsidR="00B0134F">
        <w:rPr>
          <w:rFonts w:ascii="仿宋_GB2312" w:eastAsia="仿宋_GB2312" w:hAnsi="仿宋_GB2312"/>
          <w:sz w:val="24"/>
        </w:rPr>
        <w:t>银行</w:t>
      </w:r>
      <w:r>
        <w:rPr>
          <w:rFonts w:ascii="仿宋_GB2312" w:eastAsia="仿宋_GB2312" w:hAnsi="仿宋_GB2312"/>
          <w:sz w:val="24"/>
        </w:rPr>
        <w:t>针对在校师生日常工作、生活及校园信息化建设需求，为各类院校提供的</w:t>
      </w:r>
      <w:proofErr w:type="gramStart"/>
      <w:r>
        <w:rPr>
          <w:rFonts w:ascii="仿宋_GB2312" w:eastAsia="仿宋_GB2312" w:hAnsi="仿宋_GB2312"/>
          <w:sz w:val="24"/>
        </w:rPr>
        <w:t>一</w:t>
      </w:r>
      <w:proofErr w:type="gramEnd"/>
      <w:r>
        <w:rPr>
          <w:rFonts w:ascii="仿宋_GB2312" w:eastAsia="仿宋_GB2312" w:hAnsi="仿宋_GB2312"/>
          <w:sz w:val="24"/>
        </w:rPr>
        <w:t>卡式金融与信息服务解决方案。</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农校对接的供应</w:t>
      </w:r>
      <w:proofErr w:type="gramStart"/>
      <w:r>
        <w:rPr>
          <w:rFonts w:ascii="仿宋_GB2312" w:eastAsia="仿宋_GB2312" w:hAnsi="仿宋_GB2312"/>
          <w:sz w:val="24"/>
        </w:rPr>
        <w:t>链资金</w:t>
      </w:r>
      <w:proofErr w:type="gramEnd"/>
      <w:r>
        <w:rPr>
          <w:rFonts w:ascii="仿宋_GB2312" w:eastAsia="仿宋_GB2312" w:hAnsi="仿宋_GB2312"/>
          <w:sz w:val="24"/>
        </w:rPr>
        <w:t>服务：通过教育部开发的农校对接网络，</w:t>
      </w:r>
      <w:proofErr w:type="gramStart"/>
      <w:r>
        <w:rPr>
          <w:rFonts w:ascii="仿宋_GB2312" w:eastAsia="仿宋_GB2312" w:hAnsi="仿宋_GB2312"/>
          <w:sz w:val="24"/>
        </w:rPr>
        <w:t>或试点</w:t>
      </w:r>
      <w:proofErr w:type="gramEnd"/>
      <w:r>
        <w:rPr>
          <w:rFonts w:ascii="仿宋_GB2312" w:eastAsia="仿宋_GB2312" w:hAnsi="仿宋_GB2312"/>
          <w:sz w:val="24"/>
        </w:rPr>
        <w:t>高校正在运行的农校采购平台与</w:t>
      </w:r>
      <w:r w:rsidR="00B0134F">
        <w:rPr>
          <w:rFonts w:ascii="仿宋_GB2312" w:eastAsia="仿宋_GB2312" w:hAnsi="仿宋_GB2312"/>
          <w:sz w:val="24"/>
        </w:rPr>
        <w:t>银行</w:t>
      </w:r>
      <w:r>
        <w:rPr>
          <w:rFonts w:ascii="仿宋_GB2312" w:eastAsia="仿宋_GB2312" w:hAnsi="仿宋_GB2312"/>
          <w:sz w:val="24"/>
        </w:rPr>
        <w:t>系统对接，以网上B2B支付等结算产品为主，结合电子供应链产品，联动营销高校后勤供应商在</w:t>
      </w:r>
      <w:r w:rsidR="00B0134F">
        <w:rPr>
          <w:rFonts w:ascii="仿宋_GB2312" w:eastAsia="仿宋_GB2312" w:hAnsi="仿宋_GB2312"/>
          <w:sz w:val="24"/>
        </w:rPr>
        <w:t>银行</w:t>
      </w:r>
      <w:r>
        <w:rPr>
          <w:rFonts w:ascii="仿宋_GB2312" w:eastAsia="仿宋_GB2312" w:hAnsi="仿宋_GB2312"/>
          <w:sz w:val="24"/>
        </w:rPr>
        <w:t>开立结算账户。对于以“211”高校为买方的供应链，可适度配套银票保贴、</w:t>
      </w:r>
      <w:proofErr w:type="gramStart"/>
      <w:r>
        <w:rPr>
          <w:rFonts w:ascii="仿宋_GB2312" w:eastAsia="仿宋_GB2312" w:hAnsi="仿宋_GB2312"/>
          <w:sz w:val="24"/>
        </w:rPr>
        <w:t>商票保贴</w:t>
      </w:r>
      <w:proofErr w:type="gramEnd"/>
      <w:r>
        <w:rPr>
          <w:rFonts w:ascii="仿宋_GB2312" w:eastAsia="仿宋_GB2312" w:hAnsi="仿宋_GB2312"/>
          <w:sz w:val="24"/>
        </w:rPr>
        <w:t>等产品，形成融资业务与结算产品的组合。</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6、非信贷业务策略</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比照上述分类策略，在满足准入条件的前提下，</w:t>
      </w:r>
      <w:r w:rsidR="00B0134F">
        <w:rPr>
          <w:rFonts w:ascii="仿宋_GB2312" w:eastAsia="仿宋_GB2312" w:hAnsi="仿宋_GB2312"/>
          <w:sz w:val="24"/>
        </w:rPr>
        <w:t>银行</w:t>
      </w:r>
      <w:proofErr w:type="gramStart"/>
      <w:r>
        <w:rPr>
          <w:rFonts w:ascii="仿宋_GB2312" w:eastAsia="仿宋_GB2312" w:hAnsi="仿宋_GB2312"/>
          <w:sz w:val="24"/>
        </w:rPr>
        <w:t>非信贷</w:t>
      </w:r>
      <w:proofErr w:type="gramEnd"/>
      <w:r>
        <w:rPr>
          <w:rFonts w:ascii="仿宋_GB2312" w:eastAsia="仿宋_GB2312" w:hAnsi="仿宋_GB2312"/>
          <w:sz w:val="24"/>
        </w:rPr>
        <w:t>业务可优选以下客户开展：一是具有品牌、师资、生源优势、就业率较高、基建投资规模及负债水平适度、财政补贴稳定且在当地同类院校中处于前列的部属、省属高校；二是纳入100所国家示范性高职院校以及100所国家示范骨干高职立项建设院校名单且与当地产业布局相契合、生源稳定、就业率高、财政重点支持的高职院校；三是办学质量高、师资力量强、升学率名列前茅、财政支持力度大的省市级重点高中。</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业务类型应以公司类短期融资品种为主，非信贷融资额、自营流动资金贷款合计规模应与流动资金需求测算结果相匹配。考虑到行业具有投资周期长、回报慢的特点，教育行业客户非信贷业务暂不介入固定资产建设融资和股权类融资。</w:t>
      </w:r>
    </w:p>
    <w:p w:rsidR="00B878D1" w:rsidRDefault="003E6529">
      <w:pPr>
        <w:autoSpaceDN w:val="0"/>
        <w:spacing w:before="210" w:after="210"/>
        <w:ind w:firstLine="420"/>
        <w:rPr>
          <w:rFonts w:ascii="宋体" w:hAnsi="宋体"/>
          <w:b/>
          <w:sz w:val="24"/>
        </w:rPr>
      </w:pPr>
      <w:r>
        <w:rPr>
          <w:rFonts w:ascii="仿宋_GB2312" w:eastAsia="仿宋_GB2312" w:hAnsi="仿宋_GB2312"/>
          <w:b/>
          <w:sz w:val="24"/>
        </w:rPr>
        <w:lastRenderedPageBreak/>
        <w:t>（三）风险</w:t>
      </w:r>
      <w:proofErr w:type="gramStart"/>
      <w:r>
        <w:rPr>
          <w:rFonts w:ascii="仿宋_GB2312" w:eastAsia="仿宋_GB2312" w:hAnsi="仿宋_GB2312"/>
          <w:b/>
          <w:sz w:val="24"/>
        </w:rPr>
        <w:t>管控及结构</w:t>
      </w:r>
      <w:proofErr w:type="gramEnd"/>
      <w:r>
        <w:rPr>
          <w:rFonts w:ascii="仿宋_GB2312" w:eastAsia="仿宋_GB2312" w:hAnsi="仿宋_GB2312"/>
          <w:b/>
          <w:sz w:val="24"/>
        </w:rPr>
        <w:t>调整要求</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1、风险提示及管控要求</w:t>
      </w:r>
    </w:p>
    <w:p w:rsidR="00B878D1" w:rsidRDefault="003E6529">
      <w:pPr>
        <w:autoSpaceDN w:val="0"/>
        <w:spacing w:beforeAutospacing="1" w:afterAutospacing="1"/>
        <w:ind w:firstLine="420"/>
        <w:rPr>
          <w:rFonts w:ascii="宋体" w:hAnsi="宋体"/>
          <w:sz w:val="24"/>
        </w:rPr>
      </w:pPr>
      <w:r>
        <w:rPr>
          <w:rFonts w:ascii="宋体" w:hAnsi="宋体"/>
        </w:rPr>
        <w:t>教育行业客户主要风险点为：一是部分院校因过度举债或财政补贴不能及时到位，无法按期还款。二是地方高校或高职院校受生源减少、学费标准受限等因素影响，学费收入不断下滑，难以为还款提供有效保障；同时，民办机构缺乏有效的监管和硬性约束，管理参差不齐，资金链断裂风险易发。三是公办教育属于事业法人，其固定资产及设施多具公益性质，无法提供抵押，亦难以处置变现。针对行业风险特点，提出以下管控要求：</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 xml:space="preserve">（1）根据院校现金流及财务特点，合理确定融资总量，制定还款安排。分行应根据院校类客户实际偿债现金流，并考虑其发展前景、生源状况、资金回收期和借款收入比等方面来合理核定融资总量。对于高校客户应同时参考教育部“高等学校银行贷款额度控制与风险评价模型”及“高校贷款上限额度”进行风险量化，债务余额应控制在主管部门核定的贷款控制上限内，并应结合其现金流季节性特点，合理安排还款进度，避免集中还款。院校类客户还贷来源一般包括：年度收支结余、政专项拨款及土地置换收入。  </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2）针对行业不同类型客户特点，采取差异化管理措施，有的放矢，防范风险。高等院校须关注财政拨款、学费收入的稳定性和保障程度，特别是对通过融资实现扩建、迁建的高校应重点了解原项目融资偿还资金落实情况。高职院校，应关注与当地产业结构的契合度、毕业生就业率，以及在近阶段产业结构调整中专业设置变迁、招生和就业率变化情况。培训机构应高度关注其轻资产、经营灵活性强、民营为主的行业特点，从经营模式（自营/加盟/联营）、办学条件、教学点布局、经营规模和稳定性等角度深入分析企业经营状况，审慎介入，并通过提高实地查访频度、将经营资金纳入</w:t>
      </w:r>
      <w:r w:rsidR="00B0134F">
        <w:rPr>
          <w:rFonts w:ascii="仿宋_GB2312" w:eastAsia="仿宋_GB2312" w:hAnsi="仿宋_GB2312"/>
          <w:sz w:val="24"/>
        </w:rPr>
        <w:t>银行</w:t>
      </w:r>
      <w:r>
        <w:rPr>
          <w:rFonts w:ascii="仿宋_GB2312" w:eastAsia="仿宋_GB2312" w:hAnsi="仿宋_GB2312"/>
          <w:sz w:val="24"/>
        </w:rPr>
        <w:t>监管等措施，加大风险防控力度。</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（3）积极优化担保，落实各项风险缓释措施。对于因公益性质无法落实抵押或担保的公办院校，</w:t>
      </w:r>
      <w:r w:rsidR="00B0134F">
        <w:rPr>
          <w:rFonts w:ascii="仿宋_GB2312" w:eastAsia="仿宋_GB2312" w:hAnsi="仿宋_GB2312"/>
          <w:sz w:val="24"/>
        </w:rPr>
        <w:t>银行</w:t>
      </w:r>
      <w:r>
        <w:rPr>
          <w:rFonts w:ascii="仿宋_GB2312" w:eastAsia="仿宋_GB2312" w:hAnsi="仿宋_GB2312"/>
          <w:sz w:val="24"/>
        </w:rPr>
        <w:t>应尽量争取教育设施以外的资产或企业及担保公司提供担保。在当地司法认可的情况下，可探索将学费收入或学生公寓收费权作质押等方式，进一步增强对借款人的约束力。同时，可通过争取落实资金账户监管等保障措施，监控院校资金流向。对民办院校和培训机构，除须落实有效保证或非教育设施抵押外，还应追加实际出资人担保或有效资产抵押。</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2、存量结构调整要求</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重点加强对存量客户结构调整，严格落实盘活存量、减退加固等管理要求。</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lastRenderedPageBreak/>
        <w:t>针对存量客户整体财务状况弱于行业平均水平，且呈下滑趋势的风险，各行应加大盘活存量资产力度，腾笼换鸟，集中减退一批借款收入比过高、主要财务指标达到行业警戒线或连续3年出现下滑以及列入</w:t>
      </w:r>
      <w:r w:rsidR="00B0134F">
        <w:rPr>
          <w:rFonts w:ascii="仿宋_GB2312" w:eastAsia="仿宋_GB2312" w:hAnsi="仿宋_GB2312"/>
          <w:sz w:val="24"/>
        </w:rPr>
        <w:t>银行</w:t>
      </w:r>
      <w:r>
        <w:rPr>
          <w:rFonts w:ascii="仿宋_GB2312" w:eastAsia="仿宋_GB2312" w:hAnsi="仿宋_GB2312"/>
          <w:sz w:val="24"/>
        </w:rPr>
        <w:t>指令性名单的客户，逐步改善行业客户结构。</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针对行业客户RAROC'偏低，存款带动不足的问题，各行</w:t>
      </w:r>
      <w:proofErr w:type="gramStart"/>
      <w:r>
        <w:rPr>
          <w:rFonts w:ascii="仿宋_GB2312" w:eastAsia="仿宋_GB2312" w:hAnsi="仿宋_GB2312"/>
          <w:sz w:val="24"/>
        </w:rPr>
        <w:t>应对低</w:t>
      </w:r>
      <w:proofErr w:type="gramEnd"/>
      <w:r>
        <w:rPr>
          <w:rFonts w:ascii="仿宋_GB2312" w:eastAsia="仿宋_GB2312" w:hAnsi="仿宋_GB2312"/>
          <w:sz w:val="24"/>
        </w:rPr>
        <w:t>收益客户逐户进行分析，制定明确的收益提升计划，并将其执行情况作为叙做业务的重要条件。</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b/>
          <w:sz w:val="24"/>
        </w:rPr>
        <w:t>3、收益提升要求。</w:t>
      </w:r>
    </w:p>
    <w:p w:rsidR="00B878D1" w:rsidRDefault="00B0134F">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银行</w:t>
      </w:r>
      <w:r w:rsidR="003E6529">
        <w:rPr>
          <w:rFonts w:ascii="仿宋_GB2312" w:eastAsia="仿宋_GB2312" w:hAnsi="仿宋_GB2312"/>
          <w:sz w:val="24"/>
        </w:rPr>
        <w:t>融资业务应优先支持合作关系紧密、已选用学费通等综合性结算产品的教育客户，按其在</w:t>
      </w:r>
      <w:r>
        <w:rPr>
          <w:rFonts w:ascii="仿宋_GB2312" w:eastAsia="仿宋_GB2312" w:hAnsi="仿宋_GB2312"/>
          <w:sz w:val="24"/>
        </w:rPr>
        <w:t>银行</w:t>
      </w:r>
      <w:r w:rsidR="003E6529">
        <w:rPr>
          <w:rFonts w:ascii="仿宋_GB2312" w:eastAsia="仿宋_GB2312" w:hAnsi="仿宋_GB2312"/>
          <w:sz w:val="24"/>
        </w:rPr>
        <w:t>结算资金沉淀量，核定相应额度及融资条件；并积极发挥集团综合经营优势，通过银行、租赁、信托等多渠道帮助院校客户拓宽融资渠道、降低融资成本。</w:t>
      </w:r>
    </w:p>
    <w:p w:rsidR="00B878D1" w:rsidRDefault="003E6529">
      <w:pPr>
        <w:autoSpaceDN w:val="0"/>
        <w:snapToGrid w:val="0"/>
        <w:spacing w:beforeAutospacing="1" w:afterAutospacing="1" w:line="312" w:lineRule="auto"/>
        <w:rPr>
          <w:rFonts w:ascii="宋体" w:hAnsi="宋体"/>
          <w:sz w:val="24"/>
        </w:rPr>
      </w:pPr>
      <w:r>
        <w:rPr>
          <w:rFonts w:ascii="仿宋_GB2312" w:eastAsia="仿宋_GB2312" w:hAnsi="仿宋_GB2312"/>
          <w:sz w:val="24"/>
        </w:rPr>
        <w:t>附件：</w:t>
      </w:r>
      <w:bookmarkStart w:id="0" w:name="_GoBack"/>
      <w:bookmarkEnd w:id="0"/>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1.“211工程”大学名单</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2.海外上市的国内教育培训机构名单</w:t>
      </w:r>
    </w:p>
    <w:p w:rsidR="00B878D1" w:rsidRDefault="003E6529">
      <w:pPr>
        <w:autoSpaceDN w:val="0"/>
        <w:snapToGrid w:val="0"/>
        <w:spacing w:beforeAutospacing="1" w:afterAutospacing="1" w:line="312" w:lineRule="auto"/>
        <w:ind w:firstLine="420"/>
        <w:rPr>
          <w:rFonts w:ascii="宋体" w:hAnsi="宋体"/>
          <w:sz w:val="24"/>
        </w:rPr>
      </w:pPr>
      <w:r>
        <w:rPr>
          <w:rFonts w:ascii="仿宋_GB2312" w:eastAsia="仿宋_GB2312" w:hAnsi="仿宋_GB2312"/>
          <w:sz w:val="24"/>
        </w:rPr>
        <w:t>3.教育行业财务评价标准值</w:t>
      </w:r>
    </w:p>
    <w:p w:rsidR="00B878D1" w:rsidRDefault="003E6529">
      <w:pPr>
        <w:autoSpaceDN w:val="0"/>
        <w:spacing w:beforeAutospacing="1" w:afterAutospacing="1"/>
        <w:rPr>
          <w:rFonts w:ascii="宋体" w:hAnsi="宋体"/>
          <w:sz w:val="24"/>
        </w:rPr>
      </w:pPr>
      <w:r>
        <w:rPr>
          <w:rFonts w:ascii="仿宋_GB2312" w:eastAsia="仿宋_GB2312" w:hAnsi="仿宋_GB2312"/>
          <w:sz w:val="24"/>
        </w:rPr>
        <w:t xml:space="preserve">附件1： </w:t>
      </w:r>
    </w:p>
    <w:p w:rsidR="00B878D1" w:rsidRDefault="003E6529">
      <w:pPr>
        <w:autoSpaceDN w:val="0"/>
        <w:spacing w:beforeAutospacing="1" w:afterAutospacing="1"/>
        <w:jc w:val="center"/>
        <w:rPr>
          <w:rFonts w:ascii="宋体" w:hAnsi="宋体"/>
          <w:sz w:val="24"/>
        </w:rPr>
      </w:pPr>
      <w:r>
        <w:rPr>
          <w:rFonts w:ascii="宋体" w:hAnsi="宋体"/>
          <w:b/>
        </w:rPr>
        <w:t>“211工程”大学名单</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1727"/>
        <w:gridCol w:w="2245"/>
        <w:gridCol w:w="2360"/>
        <w:gridCol w:w="2188"/>
      </w:tblGrid>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北京(26所)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清华大学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 w:history="1">
              <w:r w:rsidR="003E6529">
                <w:rPr>
                  <w:rFonts w:ascii="仿宋_GB2312" w:eastAsia="仿宋_GB2312" w:hAnsi="仿宋_GB2312"/>
                  <w:color w:val="000000"/>
                  <w:kern w:val="0"/>
                  <w:sz w:val="24"/>
                </w:rPr>
                <w:t>中国人民大学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6" w:history="1">
              <w:r w:rsidR="003E6529">
                <w:rPr>
                  <w:rFonts w:ascii="仿宋_GB2312" w:eastAsia="仿宋_GB2312" w:hAnsi="仿宋_GB2312"/>
                  <w:color w:val="000000"/>
                  <w:kern w:val="0"/>
                  <w:sz w:val="24"/>
                </w:rPr>
                <w:t>北京工业大学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7" w:history="1">
              <w:r w:rsidR="003E6529">
                <w:rPr>
                  <w:rFonts w:ascii="仿宋_GB2312" w:eastAsia="仿宋_GB2312" w:hAnsi="仿宋_GB2312"/>
                  <w:color w:val="000000"/>
                  <w:kern w:val="0"/>
                  <w:sz w:val="24"/>
                </w:rPr>
                <w:t>北京理工大学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8" w:history="1">
              <w:r w:rsidR="003E6529">
                <w:rPr>
                  <w:rFonts w:ascii="仿宋_GB2312" w:eastAsia="仿宋_GB2312" w:hAnsi="仿宋_GB2312"/>
                  <w:color w:val="000000"/>
                  <w:kern w:val="0"/>
                  <w:sz w:val="24"/>
                </w:rPr>
                <w:t>北京航空航天大学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北京化工大学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北京邮电大学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9" w:history="1">
              <w:r w:rsidR="003E6529">
                <w:rPr>
                  <w:rFonts w:ascii="仿宋_GB2312" w:eastAsia="仿宋_GB2312" w:hAnsi="仿宋_GB2312"/>
                  <w:color w:val="000000"/>
                  <w:kern w:val="0"/>
                  <w:sz w:val="24"/>
                </w:rPr>
                <w:t>对外经济贸易大学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中国传媒大学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中央民族大学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0" w:history="1">
              <w:r w:rsidR="003E6529">
                <w:rPr>
                  <w:rFonts w:ascii="仿宋_GB2312" w:eastAsia="仿宋_GB2312" w:hAnsi="仿宋_GB2312"/>
                  <w:color w:val="000000"/>
                  <w:kern w:val="0"/>
                  <w:sz w:val="24"/>
                </w:rPr>
                <w:t>中国矿业大学(北京)</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中央财经大学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中国政法大学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1" w:history="1">
              <w:r w:rsidR="003E6529">
                <w:rPr>
                  <w:rFonts w:ascii="仿宋_GB2312" w:eastAsia="仿宋_GB2312" w:hAnsi="仿宋_GB2312"/>
                  <w:color w:val="000000"/>
                  <w:kern w:val="0"/>
                  <w:sz w:val="24"/>
                </w:rPr>
                <w:t>中国石油大学(北京)</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中央音乐学院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2" w:history="1">
              <w:r w:rsidR="003E6529">
                <w:rPr>
                  <w:rFonts w:ascii="仿宋_GB2312" w:eastAsia="仿宋_GB2312" w:hAnsi="仿宋_GB2312"/>
                  <w:color w:val="000000"/>
                  <w:kern w:val="0"/>
                  <w:sz w:val="24"/>
                </w:rPr>
                <w:t>北京体育大学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北京外国语大学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北京交通大学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北京科技大学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3" w:history="1">
              <w:r w:rsidR="003E6529">
                <w:rPr>
                  <w:rFonts w:ascii="仿宋_GB2312" w:eastAsia="仿宋_GB2312" w:hAnsi="仿宋_GB2312"/>
                  <w:color w:val="000000"/>
                  <w:kern w:val="0"/>
                  <w:sz w:val="24"/>
                </w:rPr>
                <w:t>北京林业大学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中国农业大学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4" w:history="1">
              <w:r w:rsidR="003E6529">
                <w:rPr>
                  <w:rFonts w:ascii="仿宋_GB2312" w:eastAsia="仿宋_GB2312" w:hAnsi="仿宋_GB2312"/>
                  <w:color w:val="000000"/>
                  <w:kern w:val="0"/>
                  <w:sz w:val="24"/>
                </w:rPr>
                <w:t>北京中医药大学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华北电力大学(北京)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北京师范大学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中国地质大学(北京)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lastRenderedPageBreak/>
              <w:t>上海(9所)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复旦大学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华东师范大学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上海外国语大学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5" w:history="1">
              <w:r w:rsidR="003E6529">
                <w:rPr>
                  <w:rFonts w:ascii="仿宋_GB2312" w:eastAsia="仿宋_GB2312" w:hAnsi="仿宋_GB2312"/>
                  <w:color w:val="000000"/>
                  <w:kern w:val="0"/>
                  <w:sz w:val="24"/>
                </w:rPr>
                <w:t>上海大学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同济大学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6" w:history="1">
              <w:r w:rsidR="003E6529">
                <w:rPr>
                  <w:rFonts w:ascii="仿宋_GB2312" w:eastAsia="仿宋_GB2312" w:hAnsi="仿宋_GB2312"/>
                  <w:color w:val="000000"/>
                  <w:kern w:val="0"/>
                  <w:sz w:val="24"/>
                </w:rPr>
                <w:t>华东理工大学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东华大学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7" w:history="1">
              <w:r w:rsidR="003E6529">
                <w:rPr>
                  <w:rFonts w:ascii="仿宋_GB2312" w:eastAsia="仿宋_GB2312" w:hAnsi="仿宋_GB2312"/>
                  <w:color w:val="000000"/>
                  <w:kern w:val="0"/>
                  <w:sz w:val="24"/>
                </w:rPr>
                <w:t>上海财经大学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8" w:history="1">
              <w:r w:rsidR="003E6529">
                <w:rPr>
                  <w:rFonts w:ascii="仿宋_GB2312" w:eastAsia="仿宋_GB2312" w:hAnsi="仿宋_GB2312"/>
                  <w:color w:val="000000"/>
                  <w:kern w:val="0"/>
                  <w:sz w:val="24"/>
                </w:rPr>
                <w:t>上海交通大学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天津(4所)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南开大学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天津大学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天津医科大学 </w:t>
            </w:r>
            <w:r>
              <w:rPr>
                <w:rFonts w:ascii="宋体" w:hAnsi="宋体"/>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19" w:history="1">
              <w:r w:rsidR="003E6529">
                <w:rPr>
                  <w:rFonts w:ascii="仿宋_GB2312" w:eastAsia="仿宋_GB2312" w:hAnsi="仿宋_GB2312"/>
                  <w:color w:val="000000"/>
                  <w:kern w:val="0"/>
                  <w:sz w:val="24"/>
                </w:rPr>
                <w:t>河北工业大学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重庆(2所)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重庆大学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西南大学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河北(1所)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0" w:history="1">
              <w:r w:rsidR="003E6529">
                <w:rPr>
                  <w:rFonts w:ascii="仿宋_GB2312" w:eastAsia="仿宋_GB2312" w:hAnsi="仿宋_GB2312"/>
                  <w:color w:val="000000"/>
                  <w:kern w:val="0"/>
                  <w:sz w:val="24"/>
                </w:rPr>
                <w:t>华北电力大学(保定)</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山西(1所)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1" w:history="1">
              <w:r w:rsidR="003E6529">
                <w:rPr>
                  <w:rFonts w:ascii="仿宋_GB2312" w:eastAsia="仿宋_GB2312" w:hAnsi="仿宋_GB2312"/>
                  <w:color w:val="000000"/>
                  <w:kern w:val="0"/>
                  <w:sz w:val="24"/>
                </w:rPr>
                <w:t>太原理工大学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内蒙古(1所)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2" w:history="1">
              <w:r w:rsidR="003E6529">
                <w:rPr>
                  <w:rFonts w:ascii="仿宋_GB2312" w:eastAsia="仿宋_GB2312" w:hAnsi="仿宋_GB2312"/>
                  <w:color w:val="000000"/>
                  <w:kern w:val="0"/>
                  <w:sz w:val="24"/>
                </w:rPr>
                <w:t>内蒙古大学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辽宁(4所)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3" w:history="1">
              <w:r w:rsidR="003E6529">
                <w:rPr>
                  <w:rFonts w:ascii="仿宋_GB2312" w:eastAsia="仿宋_GB2312" w:hAnsi="仿宋_GB2312"/>
                  <w:color w:val="000000"/>
                  <w:kern w:val="0"/>
                  <w:sz w:val="24"/>
                </w:rPr>
                <w:t>大连理工大学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东北大学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辽宁大学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4" w:history="1">
              <w:r w:rsidR="003E6529">
                <w:rPr>
                  <w:rFonts w:ascii="仿宋_GB2312" w:eastAsia="仿宋_GB2312" w:hAnsi="仿宋_GB2312"/>
                  <w:color w:val="000000"/>
                  <w:kern w:val="0"/>
                  <w:sz w:val="24"/>
                </w:rPr>
                <w:t>大连海事大学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吉林(3所)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吉林大学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5" w:history="1">
              <w:r w:rsidR="003E6529">
                <w:rPr>
                  <w:rFonts w:ascii="仿宋_GB2312" w:eastAsia="仿宋_GB2312" w:hAnsi="仿宋_GB2312"/>
                  <w:color w:val="000000"/>
                  <w:kern w:val="0"/>
                  <w:sz w:val="24"/>
                </w:rPr>
                <w:t>东北师范大学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6" w:history="1">
              <w:r w:rsidR="003E6529">
                <w:rPr>
                  <w:rFonts w:ascii="仿宋_GB2312" w:eastAsia="仿宋_GB2312" w:hAnsi="仿宋_GB2312"/>
                  <w:color w:val="000000"/>
                  <w:kern w:val="0"/>
                  <w:sz w:val="24"/>
                </w:rPr>
                <w:t>延边大学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黑龙江(4所)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东北农业大学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东北林业大学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哈尔滨工业大学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哈尔滨工程大学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江苏(11所)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南京大学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东南大学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7" w:history="1">
              <w:r w:rsidR="003E6529">
                <w:rPr>
                  <w:rFonts w:ascii="仿宋_GB2312" w:eastAsia="仿宋_GB2312" w:hAnsi="仿宋_GB2312"/>
                  <w:color w:val="000000"/>
                  <w:kern w:val="0"/>
                  <w:sz w:val="24"/>
                </w:rPr>
                <w:t>苏州大学</w:t>
              </w:r>
            </w:hyperlink>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河海大学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中国药科大学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中国矿业大学(徐州)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南京师范大学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南京理工大学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南京航空航天大学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江南大学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南京农业大学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浙江(1所)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浙江大学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安徽(3所)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安徽大学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合肥工业大学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中国科学技术大学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福建(2所)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厦门大学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8" w:history="1">
              <w:r w:rsidR="003E6529">
                <w:rPr>
                  <w:rFonts w:ascii="仿宋_GB2312" w:eastAsia="仿宋_GB2312" w:hAnsi="仿宋_GB2312"/>
                  <w:color w:val="000000"/>
                  <w:kern w:val="0"/>
                  <w:sz w:val="24"/>
                </w:rPr>
                <w:t>福州大学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江西(1所)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29" w:history="1">
              <w:r w:rsidR="003E6529">
                <w:rPr>
                  <w:rFonts w:ascii="仿宋_GB2312" w:eastAsia="仿宋_GB2312" w:hAnsi="仿宋_GB2312"/>
                  <w:color w:val="000000"/>
                  <w:kern w:val="0"/>
                  <w:sz w:val="24"/>
                </w:rPr>
                <w:t>南昌大学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山东(3所)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山东大学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中国海洋大学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中国石油大学(华东)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河南(1所)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郑州大学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湖北(7所)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武汉大学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华中科技大学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中国地质大学(武汉)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华中师范大学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华中农业大学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中南</w:t>
            </w:r>
            <w:proofErr w:type="gramStart"/>
            <w:r>
              <w:rPr>
                <w:rFonts w:ascii="仿宋_GB2312" w:eastAsia="仿宋_GB2312" w:hAnsi="仿宋_GB2312"/>
                <w:kern w:val="0"/>
                <w:sz w:val="24"/>
              </w:rPr>
              <w:t>财经政法</w:t>
            </w:r>
            <w:proofErr w:type="gramEnd"/>
            <w:r>
              <w:rPr>
                <w:rFonts w:ascii="仿宋_GB2312" w:eastAsia="仿宋_GB2312" w:hAnsi="仿宋_GB2312"/>
                <w:kern w:val="0"/>
                <w:sz w:val="24"/>
              </w:rPr>
              <w:t xml:space="preserve">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武汉理工大学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湖南(3所)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湖南大学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0" w:history="1">
              <w:r w:rsidR="003E6529">
                <w:rPr>
                  <w:rFonts w:ascii="仿宋_GB2312" w:eastAsia="仿宋_GB2312" w:hAnsi="仿宋_GB2312"/>
                  <w:color w:val="000000"/>
                  <w:kern w:val="0"/>
                  <w:sz w:val="24"/>
                </w:rPr>
                <w:t>中南大学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湖南师范大学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广东(4所)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中山大学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暨南大学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华南理工大学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1" w:history="1">
              <w:r w:rsidR="003E6529">
                <w:rPr>
                  <w:rFonts w:ascii="仿宋_GB2312" w:eastAsia="仿宋_GB2312" w:hAnsi="仿宋_GB2312"/>
                  <w:color w:val="000000"/>
                  <w:kern w:val="0"/>
                  <w:sz w:val="24"/>
                </w:rPr>
                <w:t>华南师范大学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广西(1所)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2" w:history="1">
              <w:r w:rsidR="003E6529">
                <w:rPr>
                  <w:rFonts w:ascii="仿宋_GB2312" w:eastAsia="仿宋_GB2312" w:hAnsi="仿宋_GB2312"/>
                  <w:color w:val="000000"/>
                  <w:kern w:val="0"/>
                  <w:sz w:val="24"/>
                </w:rPr>
                <w:t>广西大学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四川(5所)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四川大学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西南交通大学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电子科技大学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3" w:history="1">
              <w:r w:rsidR="003E6529">
                <w:rPr>
                  <w:rFonts w:ascii="仿宋_GB2312" w:eastAsia="仿宋_GB2312" w:hAnsi="仿宋_GB2312"/>
                  <w:color w:val="000000"/>
                  <w:kern w:val="0"/>
                  <w:sz w:val="24"/>
                </w:rPr>
                <w:t>西南财经大学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四川农业大学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云南(1所)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云南大学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贵州(1所)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贵州大学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陕西(7所)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西北大学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西安交通大学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西北工业大学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陕西师范大学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西北农林科大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西安电子科技大学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长安大学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甘肃(1所)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兰州大学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lastRenderedPageBreak/>
              <w:t>新疆(2所)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4" w:history="1">
              <w:r w:rsidR="003E6529">
                <w:rPr>
                  <w:rFonts w:ascii="仿宋_GB2312" w:eastAsia="仿宋_GB2312" w:hAnsi="仿宋_GB2312"/>
                  <w:color w:val="000000"/>
                  <w:kern w:val="0"/>
                  <w:sz w:val="24"/>
                </w:rPr>
                <w:t>新疆大学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宋体" w:hAnsi="宋体"/>
                <w:kern w:val="0"/>
                <w:sz w:val="24"/>
              </w:rPr>
              <w:t xml:space="preserve"> </w:t>
            </w:r>
            <w:r>
              <w:rPr>
                <w:rFonts w:ascii="仿宋_GB2312" w:eastAsia="仿宋_GB2312" w:hAnsi="仿宋_GB2312"/>
                <w:kern w:val="0"/>
                <w:sz w:val="24"/>
              </w:rPr>
              <w:t xml:space="preserve">石河子大学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海南(1所)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5" w:history="1">
              <w:r w:rsidR="003E6529">
                <w:rPr>
                  <w:rFonts w:ascii="仿宋_GB2312" w:eastAsia="仿宋_GB2312" w:hAnsi="仿宋_GB2312"/>
                  <w:color w:val="000000"/>
                  <w:kern w:val="0"/>
                  <w:sz w:val="24"/>
                </w:rPr>
                <w:t>海南大学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宁夏(1所)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宁夏大学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青海(1所)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青海大学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西藏(1所)</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6" w:history="1">
              <w:r w:rsidR="003E6529">
                <w:rPr>
                  <w:rFonts w:ascii="仿宋_GB2312" w:eastAsia="仿宋_GB2312" w:hAnsi="仿宋_GB2312"/>
                  <w:color w:val="000000"/>
                  <w:kern w:val="0"/>
                  <w:sz w:val="24"/>
                </w:rPr>
                <w:t>西藏大学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　</w:t>
            </w:r>
          </w:p>
        </w:tc>
      </w:tr>
      <w:tr w:rsidR="00B878D1">
        <w:trPr>
          <w:trHeight w:val="301"/>
          <w:jc w:val="center"/>
        </w:trPr>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24"/>
              </w:rPr>
              <w:t xml:space="preserve">军事系统(3所) </w:t>
            </w:r>
          </w:p>
        </w:tc>
        <w:tc>
          <w:tcPr>
            <w:tcW w:w="2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7" w:history="1">
              <w:r w:rsidR="003E6529">
                <w:rPr>
                  <w:rFonts w:ascii="仿宋_GB2312" w:eastAsia="仿宋_GB2312" w:hAnsi="仿宋_GB2312"/>
                  <w:color w:val="000000"/>
                  <w:kern w:val="0"/>
                  <w:sz w:val="24"/>
                </w:rPr>
                <w:t>第二军医大学</w:t>
              </w:r>
            </w:hyperlink>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8" w:history="1">
              <w:r w:rsidR="003E6529">
                <w:rPr>
                  <w:rFonts w:ascii="仿宋_GB2312" w:eastAsia="仿宋_GB2312" w:hAnsi="仿宋_GB2312"/>
                  <w:color w:val="000000"/>
                  <w:kern w:val="0"/>
                  <w:sz w:val="24"/>
                </w:rPr>
                <w:t>第四军医大学</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39" w:history="1">
              <w:r w:rsidR="003E6529">
                <w:rPr>
                  <w:rFonts w:ascii="仿宋_GB2312" w:eastAsia="仿宋_GB2312" w:hAnsi="仿宋_GB2312"/>
                  <w:color w:val="000000"/>
                  <w:kern w:val="0"/>
                  <w:sz w:val="24"/>
                </w:rPr>
                <w:t>国防科学技术大学</w:t>
              </w:r>
            </w:hyperlink>
          </w:p>
        </w:tc>
      </w:tr>
    </w:tbl>
    <w:p w:rsidR="00B878D1" w:rsidRDefault="003E6529">
      <w:pPr>
        <w:autoSpaceDN w:val="0"/>
        <w:spacing w:beforeAutospacing="1" w:afterAutospacing="1"/>
        <w:rPr>
          <w:rFonts w:ascii="宋体" w:hAnsi="宋体"/>
          <w:sz w:val="24"/>
        </w:rPr>
      </w:pPr>
      <w:r>
        <w:rPr>
          <w:rFonts w:ascii="仿宋_GB2312" w:eastAsia="仿宋_GB2312" w:hAnsi="仿宋_GB2312"/>
          <w:sz w:val="24"/>
        </w:rPr>
        <w:t>附件2：</w:t>
      </w:r>
    </w:p>
    <w:p w:rsidR="00B878D1" w:rsidRDefault="003E6529">
      <w:pPr>
        <w:autoSpaceDN w:val="0"/>
        <w:spacing w:beforeAutospacing="1" w:afterAutospacing="1"/>
        <w:jc w:val="center"/>
        <w:rPr>
          <w:rFonts w:ascii="宋体" w:hAnsi="宋体"/>
          <w:sz w:val="24"/>
        </w:rPr>
      </w:pPr>
      <w:r>
        <w:rPr>
          <w:rFonts w:ascii="仿宋_GB2312" w:eastAsia="仿宋_GB2312" w:hAnsi="仿宋_GB2312"/>
          <w:b/>
          <w:sz w:val="24"/>
        </w:rPr>
        <w:t>海外上市的国内教育培训机构名单</w:t>
      </w:r>
    </w:p>
    <w:p w:rsidR="00B878D1" w:rsidRDefault="003E6529">
      <w:pPr>
        <w:widowControl/>
        <w:autoSpaceDN w:val="0"/>
        <w:spacing w:beforeAutospacing="1" w:afterAutospacing="1"/>
        <w:rPr>
          <w:rFonts w:ascii="宋体" w:hAnsi="宋体"/>
          <w:sz w:val="24"/>
        </w:rPr>
      </w:pPr>
      <w:r>
        <w:rPr>
          <w:rFonts w:ascii="仿宋_GB2312" w:eastAsia="仿宋_GB2312" w:hAnsi="仿宋_GB2312"/>
          <w:kern w:val="0"/>
          <w:sz w:val="24"/>
        </w:rPr>
        <w:t>香港上市2家</w:t>
      </w:r>
    </w:p>
    <w:tbl>
      <w:tblPr>
        <w:tblW w:w="0" w:type="auto"/>
        <w:jc w:val="center"/>
        <w:tblLayout w:type="fixed"/>
        <w:tblLook w:val="0000" w:firstRow="0" w:lastRow="0" w:firstColumn="0" w:lastColumn="0" w:noHBand="0" w:noVBand="0"/>
      </w:tblPr>
      <w:tblGrid>
        <w:gridCol w:w="863"/>
        <w:gridCol w:w="1209"/>
        <w:gridCol w:w="863"/>
        <w:gridCol w:w="748"/>
        <w:gridCol w:w="863"/>
        <w:gridCol w:w="1151"/>
        <w:gridCol w:w="1324"/>
        <w:gridCol w:w="1497"/>
      </w:tblGrid>
      <w:tr w:rsidR="00B878D1">
        <w:trPr>
          <w:trHeight w:val="285"/>
          <w:jc w:val="center"/>
        </w:trPr>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类别</w:t>
            </w:r>
          </w:p>
        </w:tc>
        <w:tc>
          <w:tcPr>
            <w:tcW w:w="1209"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股份名称</w:t>
            </w:r>
          </w:p>
        </w:tc>
        <w:tc>
          <w:tcPr>
            <w:tcW w:w="863"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股份代码</w:t>
            </w:r>
          </w:p>
        </w:tc>
        <w:tc>
          <w:tcPr>
            <w:tcW w:w="748"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交易所</w:t>
            </w:r>
          </w:p>
        </w:tc>
        <w:tc>
          <w:tcPr>
            <w:tcW w:w="863"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上市时间</w:t>
            </w:r>
          </w:p>
        </w:tc>
        <w:tc>
          <w:tcPr>
            <w:tcW w:w="1151"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发行价(港元)</w:t>
            </w:r>
          </w:p>
        </w:tc>
        <w:tc>
          <w:tcPr>
            <w:tcW w:w="132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融资额（亿港元）</w:t>
            </w:r>
          </w:p>
        </w:tc>
        <w:tc>
          <w:tcPr>
            <w:tcW w:w="149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发行市盈率（</w:t>
            </w:r>
            <w:proofErr w:type="gramStart"/>
            <w:r>
              <w:rPr>
                <w:rFonts w:ascii="仿宋_GB2312" w:eastAsia="仿宋_GB2312" w:hAnsi="仿宋_GB2312"/>
                <w:kern w:val="0"/>
                <w:sz w:val="18"/>
              </w:rPr>
              <w:t>倍</w:t>
            </w:r>
            <w:proofErr w:type="gramEnd"/>
            <w:r>
              <w:rPr>
                <w:rFonts w:ascii="仿宋_GB2312" w:eastAsia="仿宋_GB2312" w:hAnsi="仿宋_GB2312"/>
                <w:kern w:val="0"/>
                <w:sz w:val="18"/>
              </w:rPr>
              <w:t>）</w:t>
            </w:r>
          </w:p>
        </w:tc>
      </w:tr>
      <w:tr w:rsidR="00B878D1">
        <w:trPr>
          <w:trHeight w:val="285"/>
          <w:jc w:val="center"/>
        </w:trPr>
        <w:tc>
          <w:tcPr>
            <w:tcW w:w="86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家庭教育</w:t>
            </w:r>
          </w:p>
        </w:tc>
        <w:tc>
          <w:tcPr>
            <w:tcW w:w="1209"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0" w:history="1">
              <w:r w:rsidR="003E6529">
                <w:rPr>
                  <w:rFonts w:ascii="仿宋_GB2312" w:eastAsia="仿宋_GB2312" w:hAnsi="仿宋_GB2312"/>
                  <w:color w:val="000000"/>
                  <w:kern w:val="0"/>
                  <w:sz w:val="18"/>
                </w:rPr>
                <w:t>现代教育</w:t>
              </w:r>
            </w:hyperlink>
          </w:p>
        </w:tc>
        <w:tc>
          <w:tcPr>
            <w:tcW w:w="86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1" w:history="1">
              <w:r w:rsidR="003E6529">
                <w:rPr>
                  <w:rFonts w:ascii="仿宋_GB2312" w:eastAsia="仿宋_GB2312" w:hAnsi="仿宋_GB2312"/>
                  <w:color w:val="000000"/>
                  <w:kern w:val="0"/>
                  <w:sz w:val="18"/>
                </w:rPr>
                <w:t>1082</w:t>
              </w:r>
            </w:hyperlink>
          </w:p>
        </w:tc>
        <w:tc>
          <w:tcPr>
            <w:tcW w:w="748"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港交所</w:t>
            </w:r>
            <w:proofErr w:type="gramEnd"/>
          </w:p>
        </w:tc>
        <w:tc>
          <w:tcPr>
            <w:tcW w:w="86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2011-07</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1.3</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1.3</w:t>
            </w:r>
          </w:p>
        </w:tc>
        <w:tc>
          <w:tcPr>
            <w:tcW w:w="1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6.8</w:t>
            </w:r>
          </w:p>
        </w:tc>
      </w:tr>
      <w:tr w:rsidR="00B878D1">
        <w:trPr>
          <w:trHeight w:val="285"/>
          <w:jc w:val="center"/>
        </w:trPr>
        <w:tc>
          <w:tcPr>
            <w:tcW w:w="86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技能培训</w:t>
            </w:r>
          </w:p>
        </w:tc>
        <w:tc>
          <w:tcPr>
            <w:tcW w:w="1209"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2" w:history="1">
              <w:r w:rsidR="003E6529">
                <w:rPr>
                  <w:rFonts w:ascii="仿宋_GB2312" w:eastAsia="仿宋_GB2312" w:hAnsi="仿宋_GB2312"/>
                  <w:color w:val="000000"/>
                  <w:kern w:val="0"/>
                  <w:sz w:val="18"/>
                </w:rPr>
                <w:t>中国网络教育</w:t>
              </w:r>
            </w:hyperlink>
          </w:p>
        </w:tc>
        <w:tc>
          <w:tcPr>
            <w:tcW w:w="86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8055</w:t>
            </w:r>
          </w:p>
        </w:tc>
        <w:tc>
          <w:tcPr>
            <w:tcW w:w="748"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港交所</w:t>
            </w:r>
            <w:proofErr w:type="gramEnd"/>
          </w:p>
        </w:tc>
        <w:tc>
          <w:tcPr>
            <w:tcW w:w="86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2008-02</w:t>
            </w:r>
          </w:p>
        </w:tc>
        <w:tc>
          <w:tcPr>
            <w:tcW w:w="1151"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借壳上市</w:t>
            </w:r>
          </w:p>
        </w:tc>
        <w:tc>
          <w:tcPr>
            <w:tcW w:w="132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B878D1">
            <w:pPr>
              <w:autoSpaceDN w:val="0"/>
              <w:rPr>
                <w:rFonts w:ascii="宋体" w:hAnsi="宋体"/>
                <w:sz w:val="24"/>
              </w:rPr>
            </w:pPr>
          </w:p>
        </w:tc>
        <w:tc>
          <w:tcPr>
            <w:tcW w:w="1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B878D1" w:rsidRDefault="00B878D1">
            <w:pPr>
              <w:autoSpaceDN w:val="0"/>
              <w:rPr>
                <w:rFonts w:ascii="宋体" w:hAnsi="宋体"/>
                <w:sz w:val="24"/>
              </w:rPr>
            </w:pPr>
          </w:p>
        </w:tc>
      </w:tr>
    </w:tbl>
    <w:p w:rsidR="00B878D1" w:rsidRDefault="003E6529">
      <w:pPr>
        <w:autoSpaceDN w:val="0"/>
        <w:spacing w:beforeAutospacing="1" w:afterAutospacing="1"/>
        <w:rPr>
          <w:rFonts w:ascii="宋体" w:hAnsi="宋体"/>
          <w:sz w:val="24"/>
        </w:rPr>
      </w:pPr>
      <w:r>
        <w:rPr>
          <w:rFonts w:ascii="宋体" w:hAnsi="宋体"/>
          <w:kern w:val="0"/>
        </w:rPr>
        <w:t>美国上市11家</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78"/>
        <w:gridCol w:w="1324"/>
        <w:gridCol w:w="863"/>
        <w:gridCol w:w="978"/>
        <w:gridCol w:w="863"/>
        <w:gridCol w:w="1094"/>
        <w:gridCol w:w="1151"/>
        <w:gridCol w:w="1266"/>
      </w:tblGrid>
      <w:tr w:rsidR="00B878D1">
        <w:trPr>
          <w:trHeight w:val="312"/>
          <w:jc w:val="center"/>
        </w:trPr>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类别</w:t>
            </w: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股份名称</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股份代码</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交易所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上市时间</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发行价(美元)</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rPr>
                <w:rFonts w:ascii="宋体" w:hAnsi="宋体"/>
                <w:sz w:val="24"/>
              </w:rPr>
            </w:pPr>
            <w:r>
              <w:rPr>
                <w:rFonts w:ascii="仿宋_GB2312" w:eastAsia="仿宋_GB2312" w:hAnsi="仿宋_GB2312"/>
                <w:kern w:val="0"/>
                <w:sz w:val="18"/>
              </w:rPr>
              <w:t>融资额（亿美元）</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发行市盈率（</w:t>
            </w:r>
            <w:proofErr w:type="gramStart"/>
            <w:r>
              <w:rPr>
                <w:rFonts w:ascii="仿宋_GB2312" w:eastAsia="仿宋_GB2312" w:hAnsi="仿宋_GB2312"/>
                <w:kern w:val="0"/>
                <w:sz w:val="18"/>
              </w:rPr>
              <w:t>倍</w:t>
            </w:r>
            <w:proofErr w:type="gramEnd"/>
            <w:r>
              <w:rPr>
                <w:rFonts w:ascii="仿宋_GB2312" w:eastAsia="仿宋_GB2312" w:hAnsi="仿宋_GB2312"/>
                <w:kern w:val="0"/>
                <w:sz w:val="18"/>
              </w:rPr>
              <w:t>）</w:t>
            </w:r>
          </w:p>
        </w:tc>
      </w:tr>
      <w:tr w:rsidR="00B878D1">
        <w:trPr>
          <w:trHeight w:val="312"/>
          <w:jc w:val="center"/>
        </w:trPr>
        <w:tc>
          <w:tcPr>
            <w:tcW w:w="9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家庭教育</w:t>
            </w: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3" w:history="1">
              <w:r w:rsidR="003E6529">
                <w:rPr>
                  <w:rFonts w:ascii="仿宋_GB2312" w:eastAsia="仿宋_GB2312" w:hAnsi="仿宋_GB2312"/>
                  <w:color w:val="000000"/>
                  <w:kern w:val="0"/>
                  <w:sz w:val="18"/>
                </w:rPr>
                <w:t>学大教育</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4" w:history="1">
              <w:r w:rsidR="003E6529">
                <w:rPr>
                  <w:rFonts w:ascii="仿宋_GB2312" w:eastAsia="仿宋_GB2312" w:hAnsi="仿宋_GB2312"/>
                  <w:color w:val="000000"/>
                  <w:kern w:val="0"/>
                  <w:sz w:val="18"/>
                </w:rPr>
                <w:t>XUE</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2010-11</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9.5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1.279</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39</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5" w:history="1">
              <w:r w:rsidR="003E6529">
                <w:rPr>
                  <w:rFonts w:ascii="仿宋_GB2312" w:eastAsia="仿宋_GB2312" w:hAnsi="仿宋_GB2312"/>
                  <w:color w:val="000000"/>
                  <w:kern w:val="0"/>
                  <w:sz w:val="18"/>
                </w:rPr>
                <w:t>学而思</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6" w:history="1">
              <w:r w:rsidR="003E6529">
                <w:rPr>
                  <w:rFonts w:ascii="仿宋_GB2312" w:eastAsia="仿宋_GB2312" w:hAnsi="仿宋_GB2312"/>
                  <w:color w:val="000000"/>
                  <w:kern w:val="0"/>
                  <w:sz w:val="18"/>
                </w:rPr>
                <w:t>XRS</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2010-10</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10</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1.2</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30</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7" w:history="1">
              <w:r w:rsidR="003E6529">
                <w:rPr>
                  <w:rFonts w:ascii="仿宋_GB2312" w:eastAsia="仿宋_GB2312" w:hAnsi="仿宋_GB2312"/>
                  <w:color w:val="000000"/>
                  <w:kern w:val="0"/>
                  <w:sz w:val="18"/>
                </w:rPr>
                <w:t>环球天下</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8" w:history="1">
              <w:r w:rsidR="003E6529">
                <w:rPr>
                  <w:rFonts w:ascii="仿宋_GB2312" w:eastAsia="仿宋_GB2312" w:hAnsi="仿宋_GB2312"/>
                  <w:color w:val="000000"/>
                  <w:kern w:val="0"/>
                  <w:sz w:val="18"/>
                </w:rPr>
                <w:t>GEDU</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纳斯达克</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2010-10</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10.5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0.67</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12</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49" w:history="1">
              <w:proofErr w:type="gramStart"/>
              <w:r w:rsidR="003E6529">
                <w:rPr>
                  <w:rFonts w:ascii="仿宋_GB2312" w:eastAsia="仿宋_GB2312" w:hAnsi="仿宋_GB2312"/>
                  <w:color w:val="000000"/>
                  <w:kern w:val="0"/>
                  <w:sz w:val="18"/>
                </w:rPr>
                <w:t>新东方</w:t>
              </w:r>
              <w:proofErr w:type="gramEnd"/>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0" w:history="1">
              <w:r w:rsidR="003E6529">
                <w:rPr>
                  <w:rFonts w:ascii="仿宋_GB2312" w:eastAsia="仿宋_GB2312" w:hAnsi="仿宋_GB2312"/>
                  <w:color w:val="000000"/>
                  <w:kern w:val="0"/>
                  <w:sz w:val="18"/>
                </w:rPr>
                <w:t>EDU</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2006-09</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1.125</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43</w:t>
            </w:r>
          </w:p>
        </w:tc>
      </w:tr>
      <w:tr w:rsidR="00B878D1">
        <w:trPr>
          <w:trHeight w:val="312"/>
          <w:jc w:val="center"/>
        </w:trPr>
        <w:tc>
          <w:tcPr>
            <w:tcW w:w="9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技能培训</w:t>
            </w: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1" w:history="1">
              <w:r w:rsidR="003E6529">
                <w:rPr>
                  <w:rFonts w:ascii="仿宋_GB2312" w:eastAsia="仿宋_GB2312" w:hAnsi="仿宋_GB2312"/>
                  <w:color w:val="000000"/>
                  <w:kern w:val="0"/>
                  <w:sz w:val="18"/>
                </w:rPr>
                <w:t>安博教育</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2" w:history="1">
              <w:r w:rsidR="003E6529">
                <w:rPr>
                  <w:rFonts w:ascii="仿宋_GB2312" w:eastAsia="仿宋_GB2312" w:hAnsi="仿宋_GB2312"/>
                  <w:color w:val="000000"/>
                  <w:kern w:val="0"/>
                  <w:sz w:val="18"/>
                </w:rPr>
                <w:t>AMBO</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2010-08</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rPr>
                <w:rFonts w:ascii="宋体" w:hAnsi="宋体"/>
                <w:sz w:val="24"/>
              </w:rPr>
            </w:pPr>
            <w:r>
              <w:rPr>
                <w:rFonts w:ascii="仿宋_GB2312" w:eastAsia="仿宋_GB2312" w:hAnsi="仿宋_GB2312"/>
                <w:kern w:val="0"/>
                <w:sz w:val="18"/>
              </w:rPr>
              <w:t>10/ADS</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1.6</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8</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3" w:history="1">
              <w:proofErr w:type="gramStart"/>
              <w:r w:rsidR="003E6529">
                <w:rPr>
                  <w:rFonts w:ascii="仿宋_GB2312" w:eastAsia="仿宋_GB2312" w:hAnsi="仿宋_GB2312"/>
                  <w:color w:val="000000"/>
                  <w:kern w:val="0"/>
                  <w:sz w:val="18"/>
                </w:rPr>
                <w:t>正保远程</w:t>
              </w:r>
              <w:proofErr w:type="gramEnd"/>
              <w:r w:rsidR="003E6529">
                <w:rPr>
                  <w:rFonts w:ascii="仿宋_GB2312" w:eastAsia="仿宋_GB2312" w:hAnsi="仿宋_GB2312"/>
                  <w:color w:val="000000"/>
                  <w:kern w:val="0"/>
                  <w:sz w:val="18"/>
                </w:rPr>
                <w:t>教育</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4" w:history="1">
              <w:r w:rsidR="003E6529">
                <w:rPr>
                  <w:rFonts w:ascii="仿宋_GB2312" w:eastAsia="仿宋_GB2312" w:hAnsi="仿宋_GB2312"/>
                  <w:color w:val="000000"/>
                  <w:kern w:val="0"/>
                  <w:sz w:val="18"/>
                </w:rPr>
                <w:t>DL</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2008-07</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7/ADS</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0.61</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w:t>
            </w:r>
          </w:p>
        </w:tc>
      </w:tr>
      <w:tr w:rsidR="00B878D1">
        <w:trPr>
          <w:trHeight w:val="312"/>
          <w:jc w:val="center"/>
        </w:trPr>
        <w:tc>
          <w:tcPr>
            <w:tcW w:w="9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教育辅助</w:t>
            </w: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5" w:history="1">
              <w:r w:rsidR="003E6529">
                <w:rPr>
                  <w:rFonts w:ascii="仿宋_GB2312" w:eastAsia="仿宋_GB2312" w:hAnsi="仿宋_GB2312"/>
                  <w:color w:val="000000"/>
                  <w:kern w:val="0"/>
                  <w:sz w:val="18"/>
                </w:rPr>
                <w:t>中国教育集团</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6" w:history="1">
              <w:r w:rsidR="003E6529">
                <w:rPr>
                  <w:rFonts w:ascii="仿宋_GB2312" w:eastAsia="仿宋_GB2312" w:hAnsi="仿宋_GB2312"/>
                  <w:color w:val="000000"/>
                  <w:kern w:val="0"/>
                  <w:sz w:val="18"/>
                </w:rPr>
                <w:t>CEU</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2009-07</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借壳上市</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N/A</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N/A</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ATA</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7" w:history="1">
              <w:r w:rsidR="003E6529">
                <w:rPr>
                  <w:rFonts w:ascii="仿宋_GB2312" w:eastAsia="仿宋_GB2312" w:hAnsi="仿宋_GB2312"/>
                  <w:color w:val="000000"/>
                  <w:kern w:val="0"/>
                  <w:sz w:val="18"/>
                </w:rPr>
                <w:t>ATAI</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纳斯达克</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2008-01</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9.5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0.64</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68</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弘成教育</w:t>
            </w:r>
            <w:proofErr w:type="gramEnd"/>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8" w:history="1">
              <w:r w:rsidR="003E6529">
                <w:rPr>
                  <w:rFonts w:ascii="仿宋_GB2312" w:eastAsia="仿宋_GB2312" w:hAnsi="仿宋_GB2312"/>
                  <w:color w:val="000000"/>
                  <w:kern w:val="0"/>
                  <w:sz w:val="18"/>
                </w:rPr>
                <w:t>CEDU</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纳斯达克</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2007-12</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10</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0.682</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22</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双威教育</w:t>
            </w:r>
            <w:proofErr w:type="gramEnd"/>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59" w:history="1">
              <w:r w:rsidR="003E6529">
                <w:rPr>
                  <w:rFonts w:ascii="仿宋_GB2312" w:eastAsia="仿宋_GB2312" w:hAnsi="仿宋_GB2312"/>
                  <w:color w:val="000000"/>
                  <w:kern w:val="0"/>
                  <w:sz w:val="18"/>
                </w:rPr>
                <w:t>CAST</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纳斯达克</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2007-10</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借壳上市</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N/A</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N/A</w:t>
            </w:r>
          </w:p>
        </w:tc>
      </w:tr>
      <w:tr w:rsidR="00B878D1">
        <w:trPr>
          <w:trHeight w:val="312"/>
          <w:jc w:val="center"/>
        </w:trPr>
        <w:tc>
          <w:tcPr>
            <w:tcW w:w="9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878D1">
            <w:pPr>
              <w:rPr>
                <w:rFonts w:ascii="宋体" w:hAnsi="宋体"/>
                <w:sz w:val="24"/>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60" w:history="1">
              <w:r w:rsidR="003E6529">
                <w:rPr>
                  <w:rFonts w:ascii="仿宋_GB2312" w:eastAsia="仿宋_GB2312" w:hAnsi="仿宋_GB2312"/>
                  <w:color w:val="000000"/>
                  <w:kern w:val="0"/>
                  <w:sz w:val="18"/>
                </w:rPr>
                <w:t>诺亚舟</w:t>
              </w:r>
            </w:hyperlink>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B0134F">
            <w:pPr>
              <w:widowControl/>
              <w:autoSpaceDN w:val="0"/>
              <w:jc w:val="center"/>
              <w:rPr>
                <w:rFonts w:ascii="宋体" w:hAnsi="宋体"/>
                <w:sz w:val="24"/>
              </w:rPr>
            </w:pPr>
            <w:hyperlink r:id="rId61" w:history="1">
              <w:r w:rsidR="003E6529">
                <w:rPr>
                  <w:rFonts w:ascii="仿宋_GB2312" w:eastAsia="仿宋_GB2312" w:hAnsi="仿宋_GB2312"/>
                  <w:color w:val="000000"/>
                  <w:kern w:val="0"/>
                  <w:sz w:val="18"/>
                </w:rPr>
                <w:t>NED</w:t>
              </w:r>
            </w:hyperlink>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proofErr w:type="gramStart"/>
            <w:r>
              <w:rPr>
                <w:rFonts w:ascii="仿宋_GB2312" w:eastAsia="仿宋_GB2312" w:hAnsi="仿宋_GB2312"/>
                <w:kern w:val="0"/>
                <w:sz w:val="18"/>
              </w:rPr>
              <w:t>纽</w:t>
            </w:r>
            <w:proofErr w:type="gramEnd"/>
            <w:r>
              <w:rPr>
                <w:rFonts w:ascii="仿宋_GB2312" w:eastAsia="仿宋_GB2312" w:hAnsi="仿宋_GB2312"/>
                <w:kern w:val="0"/>
                <w:sz w:val="18"/>
              </w:rPr>
              <w:t>交所</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2007-10</w:t>
            </w:r>
          </w:p>
        </w:tc>
        <w:tc>
          <w:tcPr>
            <w:tcW w:w="1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14</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1.4</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8D1" w:rsidRDefault="003E6529">
            <w:pPr>
              <w:widowControl/>
              <w:autoSpaceDN w:val="0"/>
              <w:jc w:val="center"/>
              <w:rPr>
                <w:rFonts w:ascii="宋体" w:hAnsi="宋体"/>
                <w:sz w:val="24"/>
              </w:rPr>
            </w:pPr>
            <w:r>
              <w:rPr>
                <w:rFonts w:ascii="仿宋_GB2312" w:eastAsia="仿宋_GB2312" w:hAnsi="仿宋_GB2312"/>
                <w:kern w:val="0"/>
                <w:sz w:val="18"/>
              </w:rPr>
              <w:t>23</w:t>
            </w:r>
          </w:p>
        </w:tc>
      </w:tr>
    </w:tbl>
    <w:p w:rsidR="00B878D1" w:rsidRDefault="003E6529">
      <w:pPr>
        <w:autoSpaceDN w:val="0"/>
        <w:spacing w:beforeAutospacing="1" w:afterAutospacing="1"/>
        <w:rPr>
          <w:rFonts w:ascii="宋体" w:hAnsi="宋体"/>
          <w:sz w:val="24"/>
        </w:rPr>
      </w:pPr>
      <w:r>
        <w:rPr>
          <w:rFonts w:ascii="仿宋_GB2312" w:eastAsia="仿宋_GB2312" w:hAnsi="仿宋_GB2312"/>
          <w:sz w:val="24"/>
        </w:rPr>
        <w:t>附件3：</w:t>
      </w:r>
    </w:p>
    <w:p w:rsidR="00B878D1" w:rsidRDefault="003E6529">
      <w:pPr>
        <w:widowControl/>
        <w:autoSpaceDN w:val="0"/>
        <w:spacing w:beforeAutospacing="1" w:afterAutospacing="1"/>
        <w:jc w:val="center"/>
        <w:rPr>
          <w:rFonts w:ascii="宋体" w:hAnsi="宋体"/>
          <w:sz w:val="24"/>
        </w:rPr>
      </w:pPr>
      <w:r>
        <w:rPr>
          <w:rFonts w:ascii="仿宋_GB2312" w:eastAsia="仿宋_GB2312" w:hAnsi="仿宋_GB2312"/>
          <w:b/>
          <w:kern w:val="0"/>
          <w:sz w:val="24"/>
        </w:rPr>
        <w:t>教育行业财务评价标准值</w:t>
      </w:r>
    </w:p>
    <w:p w:rsidR="00B878D1" w:rsidRDefault="003E6529">
      <w:pPr>
        <w:widowControl/>
        <w:autoSpaceDN w:val="0"/>
        <w:spacing w:beforeAutospacing="1" w:afterAutospacing="1"/>
        <w:jc w:val="center"/>
        <w:rPr>
          <w:rFonts w:ascii="宋体" w:hAnsi="宋体"/>
          <w:sz w:val="24"/>
        </w:rPr>
      </w:pPr>
      <w:r>
        <w:rPr>
          <w:rFonts w:ascii="仿宋_GB2312" w:eastAsia="仿宋_GB2312" w:hAnsi="仿宋_GB2312"/>
          <w:kern w:val="0"/>
          <w:sz w:val="24"/>
        </w:rPr>
        <w:t>（以国标P82教育为该行业标准值）</w:t>
      </w:r>
    </w:p>
    <w:p w:rsidR="00B878D1" w:rsidRDefault="003E6529">
      <w:pPr>
        <w:autoSpaceDN w:val="0"/>
        <w:spacing w:beforeAutospacing="1" w:afterAutospacing="1"/>
        <w:rPr>
          <w:rFonts w:ascii="宋体" w:hAnsi="宋体"/>
          <w:sz w:val="24"/>
        </w:rPr>
      </w:pPr>
      <w:r>
        <w:rPr>
          <w:rFonts w:ascii="仿宋_GB2312" w:eastAsia="仿宋_GB2312" w:hAnsi="仿宋_GB2312"/>
          <w:sz w:val="18"/>
        </w:rPr>
        <w:t>全行业</w:t>
      </w:r>
    </w:p>
    <w:tbl>
      <w:tblPr>
        <w:tblW w:w="0" w:type="auto"/>
        <w:tblInd w:w="30" w:type="dxa"/>
        <w:tblBorders>
          <w:top w:val="single" w:sz="8" w:space="0" w:color="000000"/>
          <w:left w:val="single" w:sz="8" w:space="0" w:color="000000"/>
          <w:bottom w:val="single" w:sz="8" w:space="0" w:color="000000"/>
          <w:right w:val="single" w:sz="8" w:space="0" w:color="000000"/>
        </w:tblBorders>
        <w:tblLayout w:type="fixed"/>
        <w:tblCellMar>
          <w:left w:w="30" w:type="dxa"/>
          <w:right w:w="30" w:type="dxa"/>
        </w:tblCellMar>
        <w:tblLook w:val="0000" w:firstRow="0" w:lastRow="0" w:firstColumn="0" w:lastColumn="0" w:noHBand="0" w:noVBand="0"/>
      </w:tblPr>
      <w:tblGrid>
        <w:gridCol w:w="395"/>
        <w:gridCol w:w="2204"/>
        <w:gridCol w:w="1300"/>
        <w:gridCol w:w="1469"/>
        <w:gridCol w:w="1469"/>
        <w:gridCol w:w="1526"/>
      </w:tblGrid>
      <w:tr w:rsidR="00B878D1">
        <w:trPr>
          <w:trHeight w:val="284"/>
        </w:trPr>
        <w:tc>
          <w:tcPr>
            <w:tcW w:w="395" w:type="dxa"/>
            <w:tcBorders>
              <w:top w:val="single" w:sz="8"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2204"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指  标</w:t>
            </w:r>
          </w:p>
        </w:tc>
        <w:tc>
          <w:tcPr>
            <w:tcW w:w="130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较好</w:t>
            </w:r>
          </w:p>
        </w:tc>
        <w:tc>
          <w:tcPr>
            <w:tcW w:w="1469"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平均</w:t>
            </w:r>
          </w:p>
        </w:tc>
        <w:tc>
          <w:tcPr>
            <w:tcW w:w="1469"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警戒线</w:t>
            </w:r>
          </w:p>
        </w:tc>
        <w:tc>
          <w:tcPr>
            <w:tcW w:w="1526" w:type="dxa"/>
            <w:tcBorders>
              <w:top w:val="single" w:sz="8"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较差</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proofErr w:type="gramStart"/>
            <w:r>
              <w:rPr>
                <w:rFonts w:ascii="仿宋_GB2312" w:eastAsia="仿宋_GB2312" w:hAnsi="仿宋_GB2312"/>
                <w:b/>
                <w:kern w:val="0"/>
                <w:sz w:val="18"/>
              </w:rPr>
              <w:t>一</w:t>
            </w:r>
            <w:proofErr w:type="gramEnd"/>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b/>
                <w:kern w:val="0"/>
                <w:sz w:val="18"/>
              </w:rPr>
              <w:t>增长率指标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营业收入增长率（%）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33.14</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9.70</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4.80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-3.52</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2</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总资产增长率（%）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27.26</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14.30</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7.20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6.74</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二</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b/>
                <w:kern w:val="0"/>
                <w:sz w:val="18"/>
              </w:rPr>
              <w:t>盈利能力指标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3</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股本收益率（%）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17.40</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8.07</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4.00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2.31</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4</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毛利率（%）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37.22</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10.47</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5.20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-11.14</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5</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总资产收益率（%）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8.69</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4.30</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2.10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2.08</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三</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b/>
                <w:kern w:val="0"/>
                <w:sz w:val="18"/>
              </w:rPr>
              <w:t>债务风险指标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6</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资产负债率（%）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15.71</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33.39</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50.00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88.78</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7</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流动比率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2.32</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1.27</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0.60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1.02</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8</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proofErr w:type="gramStart"/>
            <w:r>
              <w:rPr>
                <w:rFonts w:ascii="仿宋_GB2312" w:eastAsia="仿宋_GB2312" w:hAnsi="仿宋_GB2312"/>
                <w:kern w:val="0"/>
                <w:sz w:val="18"/>
              </w:rPr>
              <w:t>息</w:t>
            </w:r>
            <w:proofErr w:type="gramEnd"/>
            <w:r>
              <w:rPr>
                <w:rFonts w:ascii="仿宋_GB2312" w:eastAsia="仿宋_GB2312" w:hAnsi="仿宋_GB2312"/>
                <w:kern w:val="0"/>
                <w:sz w:val="18"/>
              </w:rPr>
              <w:t>税前利润保障比率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44.41</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14.96</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7.50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3.58</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9</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速动比率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1.34</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0.78</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0.40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0.20</w:t>
            </w: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b/>
                <w:kern w:val="0"/>
                <w:sz w:val="18"/>
              </w:rPr>
              <w:t>四</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b/>
                <w:kern w:val="0"/>
                <w:sz w:val="18"/>
              </w:rPr>
              <w:t>周转率指标</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B878D1">
            <w:pPr>
              <w:autoSpaceDN w:val="0"/>
              <w:textAlignment w:val="top"/>
              <w:rPr>
                <w:rFonts w:ascii="宋体" w:hAnsi="宋体"/>
                <w:sz w:val="24"/>
              </w:rPr>
            </w:pPr>
          </w:p>
        </w:tc>
      </w:tr>
      <w:tr w:rsidR="00B878D1">
        <w:trPr>
          <w:trHeight w:val="284"/>
        </w:trPr>
        <w:tc>
          <w:tcPr>
            <w:tcW w:w="395"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10</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总资产周转率（次）</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0.37</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0.26</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0.20</w:t>
            </w:r>
          </w:p>
        </w:tc>
        <w:tc>
          <w:tcPr>
            <w:tcW w:w="1526"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0.14</w:t>
            </w:r>
          </w:p>
        </w:tc>
      </w:tr>
      <w:tr w:rsidR="00B878D1">
        <w:trPr>
          <w:trHeight w:val="284"/>
        </w:trPr>
        <w:tc>
          <w:tcPr>
            <w:tcW w:w="395" w:type="dxa"/>
            <w:tcBorders>
              <w:top w:val="single" w:sz="2" w:space="0" w:color="000000"/>
              <w:left w:val="single" w:sz="8" w:space="0" w:color="000000"/>
              <w:bottom w:val="single" w:sz="8"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11</w:t>
            </w:r>
          </w:p>
        </w:tc>
        <w:tc>
          <w:tcPr>
            <w:tcW w:w="22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rPr>
                <w:rFonts w:ascii="宋体" w:hAnsi="宋体"/>
                <w:sz w:val="24"/>
              </w:rPr>
            </w:pPr>
            <w:r>
              <w:rPr>
                <w:rFonts w:ascii="仿宋_GB2312" w:eastAsia="仿宋_GB2312" w:hAnsi="仿宋_GB2312"/>
                <w:kern w:val="0"/>
                <w:sz w:val="18"/>
              </w:rPr>
              <w:t>有形净资产周转率（次）</w:t>
            </w:r>
          </w:p>
        </w:tc>
        <w:tc>
          <w:tcPr>
            <w:tcW w:w="130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0.61</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0.42</w:t>
            </w:r>
          </w:p>
        </w:tc>
        <w:tc>
          <w:tcPr>
            <w:tcW w:w="1469"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0.30</w:t>
            </w:r>
          </w:p>
        </w:tc>
        <w:tc>
          <w:tcPr>
            <w:tcW w:w="1526" w:type="dxa"/>
            <w:tcBorders>
              <w:top w:val="single" w:sz="2" w:space="0" w:color="000000"/>
              <w:left w:val="single" w:sz="2" w:space="0" w:color="000000"/>
              <w:bottom w:val="single" w:sz="8" w:space="0" w:color="000000"/>
              <w:right w:val="single" w:sz="8" w:space="0" w:color="000000"/>
            </w:tcBorders>
            <w:tcMar>
              <w:top w:w="0" w:type="dxa"/>
              <w:left w:w="30" w:type="dxa"/>
              <w:bottom w:w="0" w:type="dxa"/>
              <w:right w:w="30" w:type="dxa"/>
            </w:tcMar>
          </w:tcPr>
          <w:p w:rsidR="00B878D1" w:rsidRDefault="003E6529">
            <w:pPr>
              <w:widowControl/>
              <w:autoSpaceDN w:val="0"/>
              <w:jc w:val="center"/>
              <w:rPr>
                <w:rFonts w:ascii="宋体" w:hAnsi="宋体"/>
                <w:sz w:val="24"/>
              </w:rPr>
            </w:pPr>
            <w:r>
              <w:rPr>
                <w:rFonts w:ascii="仿宋_GB2312" w:eastAsia="仿宋_GB2312" w:hAnsi="仿宋_GB2312"/>
                <w:kern w:val="0"/>
                <w:sz w:val="18"/>
              </w:rPr>
              <w:t>0.25</w:t>
            </w:r>
          </w:p>
        </w:tc>
      </w:tr>
    </w:tbl>
    <w:p w:rsidR="00B878D1" w:rsidRDefault="00B878D1"/>
    <w:sectPr w:rsidR="00B878D1">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仿宋_GB2312">
    <w:altName w:val="仿宋"/>
    <w:charset w:val="86"/>
    <w:family w:val="auto"/>
    <w:pitch w:val="default"/>
    <w:sig w:usb0="00000001" w:usb1="080E0000" w:usb2="00000000" w:usb3="00000000" w:csb0="00040000"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3E6529"/>
    <w:rsid w:val="008909DA"/>
    <w:rsid w:val="00B0134F"/>
    <w:rsid w:val="00B878D1"/>
    <w:rsid w:val="00F909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F6EE2A34-6BFF-407C-AB60-0C931F7C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Char"/>
    <w:qFormat/>
    <w:rsid w:val="008909D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4">
    <w:name w:val="footer"/>
    <w:basedOn w:val="a"/>
    <w:pPr>
      <w:tabs>
        <w:tab w:val="center" w:pos="4153"/>
        <w:tab w:val="right" w:pos="8306"/>
      </w:tabs>
      <w:snapToGrid w:val="0"/>
      <w:jc w:val="left"/>
    </w:pPr>
    <w:rPr>
      <w:sz w:val="18"/>
    </w:rPr>
  </w:style>
  <w:style w:type="paragraph" w:styleId="a5">
    <w:name w:val="Title"/>
    <w:basedOn w:val="a"/>
    <w:next w:val="a"/>
    <w:link w:val="Char"/>
    <w:qFormat/>
    <w:rsid w:val="008909DA"/>
    <w:pPr>
      <w:spacing w:before="240" w:after="60"/>
      <w:jc w:val="center"/>
      <w:outlineLvl w:val="0"/>
    </w:pPr>
    <w:rPr>
      <w:rFonts w:asciiTheme="majorHAnsi" w:hAnsiTheme="majorHAnsi" w:cstheme="majorBidi"/>
      <w:b/>
      <w:bCs/>
      <w:sz w:val="32"/>
      <w:szCs w:val="32"/>
    </w:rPr>
  </w:style>
  <w:style w:type="character" w:customStyle="1" w:styleId="Char">
    <w:name w:val="标题 Char"/>
    <w:basedOn w:val="a0"/>
    <w:link w:val="a5"/>
    <w:rsid w:val="008909DA"/>
    <w:rPr>
      <w:rFonts w:asciiTheme="majorHAnsi" w:hAnsiTheme="majorHAnsi" w:cstheme="majorBidi"/>
      <w:b/>
      <w:bCs/>
      <w:kern w:val="2"/>
      <w:sz w:val="32"/>
      <w:szCs w:val="32"/>
    </w:rPr>
  </w:style>
  <w:style w:type="character" w:customStyle="1" w:styleId="1Char">
    <w:name w:val="标题 1 Char"/>
    <w:basedOn w:val="a0"/>
    <w:link w:val="1"/>
    <w:rsid w:val="008909DA"/>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kaoshi.edu.sina.com.cn/college/c/10022.shtml" TargetMode="External"/><Relationship Id="rId18" Type="http://schemas.openxmlformats.org/officeDocument/2006/relationships/hyperlink" Target="http://kaoshi.edu.sina.com.cn/college/c/10248.shtml" TargetMode="External"/><Relationship Id="rId26" Type="http://schemas.openxmlformats.org/officeDocument/2006/relationships/hyperlink" Target="http://kaoshi.edu.sina.com.cn/college/c/10184.shtml" TargetMode="External"/><Relationship Id="rId39" Type="http://schemas.openxmlformats.org/officeDocument/2006/relationships/hyperlink" Target="http://kaoshi.edu.sina.com.cn/college/c/20002.shtml" TargetMode="External"/><Relationship Id="rId21" Type="http://schemas.openxmlformats.org/officeDocument/2006/relationships/hyperlink" Target="http://kaoshi.edu.sina.com.cn/college/c/10112.shtml" TargetMode="External"/><Relationship Id="rId34" Type="http://schemas.openxmlformats.org/officeDocument/2006/relationships/hyperlink" Target="http://kaoshi.edu.sina.com.cn/college/c/10755.shtml" TargetMode="External"/><Relationship Id="rId42" Type="http://schemas.openxmlformats.org/officeDocument/2006/relationships/hyperlink" Target="http://www.imeigu.com/XUE" TargetMode="External"/><Relationship Id="rId47" Type="http://schemas.openxmlformats.org/officeDocument/2006/relationships/hyperlink" Target="http://www.imeigu.com/GEDU" TargetMode="External"/><Relationship Id="rId50" Type="http://schemas.openxmlformats.org/officeDocument/2006/relationships/hyperlink" Target="http://www.imeigu.com/EDU" TargetMode="External"/><Relationship Id="rId55" Type="http://schemas.openxmlformats.org/officeDocument/2006/relationships/hyperlink" Target="http://www.imeigu.com/CEU" TargetMode="External"/><Relationship Id="rId63" Type="http://schemas.openxmlformats.org/officeDocument/2006/relationships/theme" Target="theme/theme1.xml"/><Relationship Id="rId7" Type="http://schemas.openxmlformats.org/officeDocument/2006/relationships/hyperlink" Target="http://kaoshi.edu.sina.com.cn/college/c/10007.shtml" TargetMode="External"/><Relationship Id="rId2" Type="http://schemas.openxmlformats.org/officeDocument/2006/relationships/settings" Target="settings.xml"/><Relationship Id="rId16" Type="http://schemas.openxmlformats.org/officeDocument/2006/relationships/hyperlink" Target="http://kaoshi.edu.sina.com.cn/college/c/10251.shtml" TargetMode="External"/><Relationship Id="rId29" Type="http://schemas.openxmlformats.org/officeDocument/2006/relationships/hyperlink" Target="http://kaoshi.edu.sina.com.cn/college/c/11902.shtml" TargetMode="External"/><Relationship Id="rId11" Type="http://schemas.openxmlformats.org/officeDocument/2006/relationships/hyperlink" Target="http://kaoshi.edu.sina.com.cn/college/c/50212.shtml" TargetMode="External"/><Relationship Id="rId24" Type="http://schemas.openxmlformats.org/officeDocument/2006/relationships/hyperlink" Target="http://kaoshi.edu.sina.com.cn/college/c/10151.shtml" TargetMode="External"/><Relationship Id="rId32" Type="http://schemas.openxmlformats.org/officeDocument/2006/relationships/hyperlink" Target="http://kaoshi.edu.sina.com.cn/college/c/10593.shtml" TargetMode="External"/><Relationship Id="rId37" Type="http://schemas.openxmlformats.org/officeDocument/2006/relationships/hyperlink" Target="http://kaoshi.edu.sina.com.cn/college/c/20034.shtml" TargetMode="External"/><Relationship Id="rId40" Type="http://schemas.openxmlformats.org/officeDocument/2006/relationships/hyperlink" Target="http://www.imeigu.com/XUE" TargetMode="External"/><Relationship Id="rId45" Type="http://schemas.openxmlformats.org/officeDocument/2006/relationships/hyperlink" Target="http://www.imeigu.com/XRS" TargetMode="External"/><Relationship Id="rId53" Type="http://schemas.openxmlformats.org/officeDocument/2006/relationships/hyperlink" Target="http://www.imeigu.com/DL" TargetMode="External"/><Relationship Id="rId58" Type="http://schemas.openxmlformats.org/officeDocument/2006/relationships/hyperlink" Target="http://www.imeigu.com/CEDU" TargetMode="External"/><Relationship Id="rId5" Type="http://schemas.openxmlformats.org/officeDocument/2006/relationships/hyperlink" Target="http://kaoshi.edu.sina.com.cn/college/c/10002.shtml" TargetMode="External"/><Relationship Id="rId61" Type="http://schemas.openxmlformats.org/officeDocument/2006/relationships/hyperlink" Target="http://www.imeigu.com/NED" TargetMode="External"/><Relationship Id="rId19" Type="http://schemas.openxmlformats.org/officeDocument/2006/relationships/hyperlink" Target="http://kaoshi.edu.sina.com.cn/college/c/10080.shtml" TargetMode="External"/><Relationship Id="rId14" Type="http://schemas.openxmlformats.org/officeDocument/2006/relationships/hyperlink" Target="http://kaoshi.edu.sina.com.cn/college/c/10026.shtml" TargetMode="External"/><Relationship Id="rId22" Type="http://schemas.openxmlformats.org/officeDocument/2006/relationships/hyperlink" Target="http://kaoshi.edu.sina.com.cn/college/c/10126.shtml" TargetMode="External"/><Relationship Id="rId27" Type="http://schemas.openxmlformats.org/officeDocument/2006/relationships/hyperlink" Target="http://kaoshi.edu.sina.com.cn/college/c/10285.shtml" TargetMode="External"/><Relationship Id="rId30" Type="http://schemas.openxmlformats.org/officeDocument/2006/relationships/hyperlink" Target="http://kaoshi.edu.sina.com.cn/college/c/11942.shtml" TargetMode="External"/><Relationship Id="rId35" Type="http://schemas.openxmlformats.org/officeDocument/2006/relationships/hyperlink" Target="http://kaoshi.edu.sina.com.cn/college/c/10589.shtml" TargetMode="External"/><Relationship Id="rId43" Type="http://schemas.openxmlformats.org/officeDocument/2006/relationships/hyperlink" Target="http://www.imeigu.com/XUE" TargetMode="External"/><Relationship Id="rId48" Type="http://schemas.openxmlformats.org/officeDocument/2006/relationships/hyperlink" Target="http://www.imeigu.com/GEDU" TargetMode="External"/><Relationship Id="rId56" Type="http://schemas.openxmlformats.org/officeDocument/2006/relationships/hyperlink" Target="http://www.imeigu.com/CEU" TargetMode="External"/><Relationship Id="rId8" Type="http://schemas.openxmlformats.org/officeDocument/2006/relationships/hyperlink" Target="http://kaoshi.edu.sina.com.cn/college/c/10006.shtml" TargetMode="External"/><Relationship Id="rId51" Type="http://schemas.openxmlformats.org/officeDocument/2006/relationships/hyperlink" Target="http://www.imeigu.com/AMBO" TargetMode="External"/><Relationship Id="rId3" Type="http://schemas.openxmlformats.org/officeDocument/2006/relationships/webSettings" Target="webSettings.xml"/><Relationship Id="rId12" Type="http://schemas.openxmlformats.org/officeDocument/2006/relationships/hyperlink" Target="http://kaoshi.edu.sina.com.cn/college/c/10043.shtml" TargetMode="External"/><Relationship Id="rId17" Type="http://schemas.openxmlformats.org/officeDocument/2006/relationships/hyperlink" Target="http://kaoshi.edu.sina.com.cn/college/c/10272.shtml" TargetMode="External"/><Relationship Id="rId25" Type="http://schemas.openxmlformats.org/officeDocument/2006/relationships/hyperlink" Target="http://kaoshi.edu.sina.com.cn/college/c/10200.shtml" TargetMode="External"/><Relationship Id="rId33" Type="http://schemas.openxmlformats.org/officeDocument/2006/relationships/hyperlink" Target="http://kaoshi.edu.sina.com.cn/college/c/10651.shtml" TargetMode="External"/><Relationship Id="rId38" Type="http://schemas.openxmlformats.org/officeDocument/2006/relationships/hyperlink" Target="http://kaoshi.edu.sina.com.cn/college/c/20036.shtml" TargetMode="External"/><Relationship Id="rId46" Type="http://schemas.openxmlformats.org/officeDocument/2006/relationships/hyperlink" Target="http://www.imeigu.com/XRS" TargetMode="External"/><Relationship Id="rId59" Type="http://schemas.openxmlformats.org/officeDocument/2006/relationships/hyperlink" Target="http://www.imeigu.com/CAST" TargetMode="External"/><Relationship Id="rId20" Type="http://schemas.openxmlformats.org/officeDocument/2006/relationships/hyperlink" Target="http://kaoshi.edu.sina.com.cn/college/c/10079.shtml" TargetMode="External"/><Relationship Id="rId41" Type="http://schemas.openxmlformats.org/officeDocument/2006/relationships/hyperlink" Target="http://www.imeigu.com/XUE" TargetMode="External"/><Relationship Id="rId54" Type="http://schemas.openxmlformats.org/officeDocument/2006/relationships/hyperlink" Target="http://www.imeigu.com/DL"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kaoshi.edu.sina.com.cn/college/c/10005.shtml" TargetMode="External"/><Relationship Id="rId15" Type="http://schemas.openxmlformats.org/officeDocument/2006/relationships/hyperlink" Target="http://kaoshi.edu.sina.com.cn/college/c/11903.shtml" TargetMode="External"/><Relationship Id="rId23" Type="http://schemas.openxmlformats.org/officeDocument/2006/relationships/hyperlink" Target="http://kaoshi.edu.sina.com.cn/college/c/10141.shtml" TargetMode="External"/><Relationship Id="rId28" Type="http://schemas.openxmlformats.org/officeDocument/2006/relationships/hyperlink" Target="http://kaoshi.edu.sina.com.cn/college/c/10386.shtml" TargetMode="External"/><Relationship Id="rId36" Type="http://schemas.openxmlformats.org/officeDocument/2006/relationships/hyperlink" Target="http://kaoshi.edu.sina.com.cn/college/c/10694.shtml" TargetMode="External"/><Relationship Id="rId49" Type="http://schemas.openxmlformats.org/officeDocument/2006/relationships/hyperlink" Target="http://www.imeigu.com/EDU" TargetMode="External"/><Relationship Id="rId57" Type="http://schemas.openxmlformats.org/officeDocument/2006/relationships/hyperlink" Target="http://www.imeigu.com/ATAI" TargetMode="External"/><Relationship Id="rId10" Type="http://schemas.openxmlformats.org/officeDocument/2006/relationships/hyperlink" Target="http://kaoshi.edu.sina.com.cn/college/c/11413.shtml" TargetMode="External"/><Relationship Id="rId31" Type="http://schemas.openxmlformats.org/officeDocument/2006/relationships/hyperlink" Target="http://kaoshi.edu.sina.com.cn/college/c/10574.shtml" TargetMode="External"/><Relationship Id="rId44" Type="http://schemas.openxmlformats.org/officeDocument/2006/relationships/hyperlink" Target="http://www.imeigu.com/XUE" TargetMode="External"/><Relationship Id="rId52" Type="http://schemas.openxmlformats.org/officeDocument/2006/relationships/hyperlink" Target="http://www.imeigu.com/AMBO" TargetMode="External"/><Relationship Id="rId60" Type="http://schemas.openxmlformats.org/officeDocument/2006/relationships/hyperlink" Target="http://www.imeigu.com/NED" TargetMode="External"/><Relationship Id="rId4" Type="http://schemas.openxmlformats.org/officeDocument/2006/relationships/image" Target="media/image1.png"/><Relationship Id="rId9" Type="http://schemas.openxmlformats.org/officeDocument/2006/relationships/hyperlink" Target="http://kaoshi.edu.sina.com.cn/college/c/10036.shtml" TargetMode="Externa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2124</Words>
  <Characters>12107</Characters>
  <Application>Microsoft Office Word</Application>
  <DocSecurity>0</DocSecurity>
  <PresentationFormat/>
  <Lines>100</Lines>
  <Paragraphs>28</Paragraphs>
  <Slides>0</Slides>
  <Notes>0</Notes>
  <HiddenSlides>0</HiddenSlides>
  <MMClips>0</MMClips>
  <ScaleCrop>false</ScaleCrop>
  <Manager/>
  <Company/>
  <LinksUpToDate>false</LinksUpToDate>
  <CharactersWithSpaces>14203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47.教育行业2014年政策及投向指引</dc:title>
  <dc:subject/>
  <dc:creator>1</dc:creator>
  <cp:keywords/>
  <dc:description/>
  <cp:lastModifiedBy>Yankun Zhang</cp:lastModifiedBy>
  <cp:revision>6</cp:revision>
  <dcterms:created xsi:type="dcterms:W3CDTF">2015-04-30T08:22:00Z</dcterms:created>
  <dcterms:modified xsi:type="dcterms:W3CDTF">2015-04-30T17:03:00Z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