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33A" w:rsidRDefault="00C9049E" w:rsidP="00BD5501">
      <w:pPr>
        <w:spacing w:line="360" w:lineRule="auto"/>
        <w:jc w:val="center"/>
        <w:rPr>
          <w:rFonts w:eastAsia="黑体"/>
          <w:bCs/>
          <w:color w:val="FF0000"/>
          <w:sz w:val="24"/>
        </w:rPr>
      </w:pPr>
      <w:bookmarkStart w:id="0" w:name="_GoBack"/>
      <w:bookmarkEnd w:id="0"/>
      <w:r w:rsidRPr="00DA633A">
        <w:rPr>
          <w:rFonts w:ascii="方正粗宋简体" w:eastAsia="方正粗宋简体" w:hint="eastAsia"/>
          <w:bCs/>
          <w:sz w:val="40"/>
        </w:rPr>
        <w:t>融资租赁业务的收益预测</w:t>
      </w:r>
    </w:p>
    <w:p w:rsidR="00C9049E" w:rsidRPr="00BD5501" w:rsidRDefault="00C9049E" w:rsidP="00E92C7E">
      <w:pPr>
        <w:spacing w:line="360" w:lineRule="auto"/>
        <w:jc w:val="center"/>
        <w:rPr>
          <w:rFonts w:eastAsia="黑体" w:hint="eastAsia"/>
          <w:bCs/>
          <w:color w:val="FF0000"/>
          <w:sz w:val="20"/>
        </w:rPr>
      </w:pPr>
      <w:r w:rsidRPr="00BD5501">
        <w:rPr>
          <w:rFonts w:eastAsia="仿宋_GB2312" w:hint="eastAsia"/>
          <w:bCs/>
          <w:sz w:val="24"/>
        </w:rPr>
        <w:t>融资性租赁公司内控指标体系设定方法探讨之一</w:t>
      </w:r>
    </w:p>
    <w:p w:rsidR="00C9049E" w:rsidRDefault="00C9049E" w:rsidP="00E92C7E">
      <w:pPr>
        <w:spacing w:line="360" w:lineRule="auto"/>
        <w:jc w:val="center"/>
        <w:rPr>
          <w:rFonts w:eastAsia="仿宋_GB2312"/>
          <w:bCs/>
          <w:sz w:val="36"/>
        </w:rPr>
      </w:pPr>
    </w:p>
    <w:p w:rsidR="00C9049E" w:rsidRDefault="00E92C7E" w:rsidP="00E92C7E">
      <w:pPr>
        <w:pStyle w:val="1"/>
        <w:rPr>
          <w:rFonts w:hint="eastAsia"/>
        </w:rPr>
      </w:pPr>
      <w:r>
        <w:rPr>
          <w:rFonts w:hint="eastAsia"/>
        </w:rPr>
        <w:t>一、</w:t>
      </w:r>
      <w:r w:rsidR="00C9049E">
        <w:rPr>
          <w:rFonts w:hint="eastAsia"/>
        </w:rPr>
        <w:t>收益预测的适用范围</w:t>
      </w:r>
    </w:p>
    <w:p w:rsidR="00C9049E" w:rsidRDefault="00C9049E" w:rsidP="00E92C7E">
      <w:pPr>
        <w:spacing w:line="360" w:lineRule="auto"/>
        <w:ind w:left="465"/>
        <w:jc w:val="center"/>
        <w:rPr>
          <w:rFonts w:eastAsia="黑体" w:hint="eastAsia"/>
          <w:bCs/>
          <w:sz w:val="28"/>
        </w:rPr>
      </w:pPr>
    </w:p>
    <w:p w:rsidR="00C9049E" w:rsidRDefault="00C9049E" w:rsidP="00E92C7E">
      <w:pPr>
        <w:spacing w:line="360" w:lineRule="auto"/>
        <w:ind w:left="465" w:firstLine="480"/>
        <w:rPr>
          <w:rFonts w:eastAsia="楷体_GB2312" w:hint="eastAsia"/>
          <w:bCs/>
          <w:sz w:val="24"/>
        </w:rPr>
      </w:pPr>
      <w:r>
        <w:rPr>
          <w:rFonts w:eastAsia="楷体_GB2312" w:hint="eastAsia"/>
          <w:bCs/>
          <w:sz w:val="24"/>
        </w:rPr>
        <w:t>融资性租赁公司内控指标体系的设定，是这类公司确保安全赢利的前提条件，也是业内人士普遍关切的课题。作者拟就这一课题的方方面面作一些探讨，旨在同大家交流，使这一指标体系的设定更加健全。</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本文的主题是融资租赁业务的收益预测。</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收益预测，是为了满足三个方面的需要。一是，用以作为是否受理某个所申请的融资租赁项目的量化依据之一；二是，用于考核已生效新合同的预期收益的规模和水平；三是，用以作为各业务部门以至全公司编制各会计期间预算时的重要依据。</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本文的讨论，以融资租赁合同为单位。由于所设定的考核指标是可以在诸合同间相互直接对比的，因此，诸合同的这些指标的</w:t>
      </w:r>
      <w:r w:rsidRPr="00A708FA">
        <w:rPr>
          <w:rFonts w:eastAsia="楷体_GB2312" w:hint="eastAsia"/>
          <w:bCs/>
          <w:sz w:val="24"/>
          <w:u w:val="single"/>
        </w:rPr>
        <w:t>简单迭加或其平均值</w:t>
      </w:r>
      <w:r>
        <w:rPr>
          <w:rFonts w:eastAsia="楷体_GB2312" w:hint="eastAsia"/>
          <w:bCs/>
          <w:sz w:val="24"/>
        </w:rPr>
        <w:t>，即可适用于整个项目、整个部门以及全公司。</w:t>
      </w:r>
    </w:p>
    <w:p w:rsidR="00C9049E" w:rsidRDefault="00C9049E" w:rsidP="00E92C7E">
      <w:pPr>
        <w:spacing w:line="360" w:lineRule="auto"/>
        <w:ind w:left="465" w:firstLine="480"/>
        <w:rPr>
          <w:rFonts w:eastAsia="楷体_GB2312" w:hint="eastAsia"/>
          <w:bCs/>
          <w:sz w:val="24"/>
        </w:rPr>
      </w:pPr>
    </w:p>
    <w:p w:rsidR="00C9049E" w:rsidRDefault="00E92C7E" w:rsidP="00E92C7E">
      <w:pPr>
        <w:pStyle w:val="1"/>
        <w:rPr>
          <w:rFonts w:hint="eastAsia"/>
        </w:rPr>
      </w:pPr>
      <w:r>
        <w:rPr>
          <w:rFonts w:hint="eastAsia"/>
        </w:rPr>
        <w:t>二、</w:t>
      </w:r>
      <w:r w:rsidR="00C9049E">
        <w:rPr>
          <w:rFonts w:hint="eastAsia"/>
        </w:rPr>
        <w:t>影响合同收益的因素说明</w:t>
      </w:r>
    </w:p>
    <w:p w:rsidR="00C9049E" w:rsidRDefault="00C9049E" w:rsidP="00E92C7E">
      <w:pPr>
        <w:spacing w:line="360" w:lineRule="auto"/>
        <w:ind w:left="465"/>
        <w:rPr>
          <w:rFonts w:eastAsia="黑体" w:hint="eastAsia"/>
          <w:bCs/>
          <w:sz w:val="24"/>
        </w:rPr>
      </w:pPr>
    </w:p>
    <w:p w:rsidR="00C9049E" w:rsidRDefault="00C9049E" w:rsidP="00E92C7E">
      <w:pPr>
        <w:spacing w:line="360" w:lineRule="auto"/>
        <w:ind w:left="465" w:firstLine="480"/>
        <w:rPr>
          <w:rFonts w:eastAsia="楷体_GB2312" w:hint="eastAsia"/>
          <w:bCs/>
          <w:sz w:val="24"/>
        </w:rPr>
      </w:pPr>
      <w:r>
        <w:rPr>
          <w:rFonts w:eastAsia="楷体_GB2312" w:hint="eastAsia"/>
          <w:bCs/>
          <w:sz w:val="24"/>
        </w:rPr>
        <w:t>就预测而言，影响合同收益的因素有：租赁融资额、租赁期限、每期月数、折合占用一年的资金、租金在各期期末还是期初支付、支付时是等额付租、等额还本还是依合同约定的时间和金额还本、租赁综合年利率、筹资综合年利率、营业费用率、营业税率和所得税率。</w:t>
      </w:r>
      <w:r w:rsidRPr="007A1904">
        <w:rPr>
          <w:rFonts w:eastAsia="楷体_GB2312" w:hint="eastAsia"/>
          <w:bCs/>
          <w:sz w:val="24"/>
          <w:u w:val="single"/>
        </w:rPr>
        <w:t>预测的前提条件是假设合同被严格履行</w:t>
      </w:r>
      <w:r>
        <w:rPr>
          <w:rFonts w:eastAsia="楷体_GB2312" w:hint="eastAsia"/>
          <w:bCs/>
          <w:sz w:val="24"/>
        </w:rPr>
        <w:t>。</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下面分别说明。</w:t>
      </w:r>
    </w:p>
    <w:p w:rsidR="00C9049E" w:rsidRDefault="00C9049E" w:rsidP="00E92C7E">
      <w:pPr>
        <w:spacing w:line="360" w:lineRule="auto"/>
        <w:ind w:left="465" w:firstLine="480"/>
        <w:rPr>
          <w:rFonts w:eastAsia="楷体_GB2312" w:hint="eastAsia"/>
          <w:bCs/>
          <w:sz w:val="24"/>
        </w:rPr>
      </w:pPr>
      <w:r>
        <w:rPr>
          <w:rFonts w:eastAsia="黑体" w:hint="eastAsia"/>
          <w:bCs/>
          <w:sz w:val="24"/>
        </w:rPr>
        <w:t>租赁融资额</w:t>
      </w:r>
      <w:r>
        <w:rPr>
          <w:rFonts w:eastAsia="楷体_GB2312" w:hint="eastAsia"/>
          <w:bCs/>
          <w:sz w:val="24"/>
        </w:rPr>
        <w:t>。在附表中，这一指标简称</w:t>
      </w:r>
      <w:r>
        <w:rPr>
          <w:rFonts w:eastAsia="楷体_GB2312" w:hint="eastAsia"/>
          <w:bCs/>
          <w:sz w:val="24"/>
        </w:rPr>
        <w:t xml:space="preserve"> </w:t>
      </w:r>
      <w:r>
        <w:rPr>
          <w:rFonts w:eastAsia="楷体_GB2312" w:hint="eastAsia"/>
          <w:bCs/>
          <w:sz w:val="24"/>
        </w:rPr>
        <w:t>“本金”。租赁融资额不一定是出租人为取得该租赁资产所实际支付的成本，在非全额支付的合同中，它会小于后者；而在有“打入成本”的收费名目的合同中，它又会大于后者。租赁融资额更不一定是承租人对该租赁资产的入帐价值。在多数情况下，它往往小于后者。租赁融资额是合同约定据以代入租金计算公式中的“现值”（</w:t>
      </w:r>
      <w:r>
        <w:rPr>
          <w:rFonts w:eastAsia="楷体_GB2312" w:hint="eastAsia"/>
          <w:bCs/>
          <w:sz w:val="24"/>
        </w:rPr>
        <w:t>present value</w:t>
      </w:r>
      <w:r>
        <w:rPr>
          <w:rFonts w:eastAsia="楷体_GB2312" w:hint="eastAsia"/>
          <w:bCs/>
          <w:sz w:val="24"/>
        </w:rPr>
        <w:t>）的金额。租赁融资额大致上接近于出租人在该合同项下的投放额。通常会认为，在同样的利率及税负条件下，收益与投放额成正比。然而，</w:t>
      </w:r>
      <w:r>
        <w:rPr>
          <w:rFonts w:eastAsia="楷体_GB2312" w:hint="eastAsia"/>
          <w:bCs/>
          <w:sz w:val="24"/>
        </w:rPr>
        <w:lastRenderedPageBreak/>
        <w:t>这是一种误解。直接影响收益的，首先是整个合同期间的资金占用规模，而并非是其数额仅仅等于期初占用资金额的租赁融资额。</w:t>
      </w:r>
    </w:p>
    <w:p w:rsidR="00C9049E" w:rsidRDefault="00C9049E" w:rsidP="00E92C7E">
      <w:pPr>
        <w:spacing w:line="360" w:lineRule="auto"/>
        <w:ind w:left="465" w:firstLine="480"/>
        <w:rPr>
          <w:rFonts w:eastAsia="楷体_GB2312" w:hint="eastAsia"/>
          <w:bCs/>
          <w:sz w:val="24"/>
        </w:rPr>
      </w:pPr>
      <w:r w:rsidRPr="00255C18">
        <w:rPr>
          <w:rFonts w:ascii="微软雅黑" w:eastAsia="微软雅黑" w:hAnsi="微软雅黑" w:hint="eastAsia"/>
          <w:bCs/>
          <w:color w:val="FF0000"/>
          <w:sz w:val="24"/>
        </w:rPr>
        <w:t>折合占用一年的资金</w:t>
      </w:r>
      <w:r>
        <w:rPr>
          <w:rFonts w:eastAsia="楷体_GB2312" w:hint="eastAsia"/>
          <w:bCs/>
          <w:sz w:val="24"/>
        </w:rPr>
        <w:t>。融资租赁合同的最常见的约定，是分期收回本金。而由于只有被占用的资金才能取得收益，因此，十分重要的是，要依据合同条件来核算被占用的资金量。又由于诸合同在本金回收的时间间隔上会有所不同，因此，对于各个期间占用的资金，应换算成为折合占用一年的资金，才使得诸合同的这一指标具有可比性。</w:t>
      </w:r>
    </w:p>
    <w:p w:rsidR="00C9049E" w:rsidRDefault="00C9049E" w:rsidP="00E92C7E">
      <w:pPr>
        <w:spacing w:line="360" w:lineRule="auto"/>
        <w:ind w:left="465" w:firstLine="480"/>
        <w:rPr>
          <w:rFonts w:ascii="仿宋_GB2312" w:eastAsia="仿宋_GB2312" w:hint="eastAsia"/>
          <w:bCs/>
          <w:sz w:val="24"/>
        </w:rPr>
      </w:pPr>
      <w:r w:rsidRPr="00D47E6C">
        <w:rPr>
          <w:rFonts w:ascii="仿宋_GB2312" w:eastAsia="仿宋_GB2312" w:hint="eastAsia"/>
          <w:bCs/>
          <w:sz w:val="24"/>
          <w:highlight w:val="yellow"/>
        </w:rPr>
        <w:t>各期折合占用一年的资金=该期期初的未收回本金余额÷ 12个月× 每期月数</w:t>
      </w:r>
    </w:p>
    <w:p w:rsidR="00C9049E" w:rsidRDefault="00C9049E" w:rsidP="00E92C7E">
      <w:pPr>
        <w:spacing w:line="360" w:lineRule="auto"/>
        <w:ind w:left="465" w:firstLine="480"/>
        <w:rPr>
          <w:rFonts w:eastAsia="楷体_GB2312" w:hint="eastAsia"/>
          <w:bCs/>
          <w:sz w:val="24"/>
        </w:rPr>
      </w:pPr>
      <w:r>
        <w:rPr>
          <w:rFonts w:eastAsia="黑体" w:hint="eastAsia"/>
          <w:bCs/>
          <w:sz w:val="24"/>
        </w:rPr>
        <w:t>租赁综合年利率</w:t>
      </w:r>
      <w:r>
        <w:rPr>
          <w:rFonts w:eastAsia="楷体_GB2312" w:hint="eastAsia"/>
          <w:bCs/>
          <w:sz w:val="24"/>
        </w:rPr>
        <w:t>。租赁利率同预期收益成正比这一点，是不言而喻的。这里要说的是，对于这一指标，我们可以有两种取值方法。一是，取融资租赁合同中所明确约定的数值。包括，某个绝对值，例如</w:t>
      </w:r>
      <w:r>
        <w:rPr>
          <w:rFonts w:eastAsia="楷体_GB2312" w:hint="eastAsia"/>
          <w:bCs/>
          <w:sz w:val="24"/>
        </w:rPr>
        <w:t>9.3125%</w:t>
      </w:r>
      <w:r>
        <w:rPr>
          <w:rFonts w:eastAsia="楷体_GB2312" w:hint="eastAsia"/>
          <w:bCs/>
          <w:sz w:val="24"/>
        </w:rPr>
        <w:t>；或者某个取值约定，例如，某个基准利率</w:t>
      </w:r>
      <w:r>
        <w:rPr>
          <w:rFonts w:eastAsia="楷体_GB2312" w:hint="eastAsia"/>
          <w:bCs/>
          <w:sz w:val="24"/>
        </w:rPr>
        <w:t>+</w:t>
      </w:r>
      <w:r>
        <w:rPr>
          <w:rFonts w:eastAsia="楷体_GB2312" w:hint="eastAsia"/>
          <w:bCs/>
          <w:sz w:val="24"/>
        </w:rPr>
        <w:t>某个附加系数，例如，美元三至五年期</w:t>
      </w:r>
      <w:r>
        <w:rPr>
          <w:rFonts w:eastAsia="楷体_GB2312" w:hint="eastAsia"/>
          <w:bCs/>
          <w:sz w:val="24"/>
        </w:rPr>
        <w:t>LIBOR+1.5%</w:t>
      </w:r>
      <w:r>
        <w:rPr>
          <w:rFonts w:eastAsia="楷体_GB2312" w:hint="eastAsia"/>
          <w:bCs/>
          <w:sz w:val="24"/>
        </w:rPr>
        <w:t>。按这样的取值所计算出来的各期租金，以及其中所含的本金和收益，将是同财务报表中相关科目的数据一致的和可对照的；二是，根据各该合同甚至项目的特定条件，将该合同项下的除租金而外的其它名目的收入，也都考虑在内，以其内部收益率为租赁综合年利率。显然，这样的数值在合同中是见不到的，据以计算出的各期“租金”的构成，也将与财务报表相关科目的数据不同。</w:t>
      </w:r>
    </w:p>
    <w:p w:rsidR="00C9049E" w:rsidRDefault="00C9049E" w:rsidP="00E92C7E">
      <w:pPr>
        <w:spacing w:line="360" w:lineRule="auto"/>
        <w:ind w:left="465" w:firstLine="480"/>
        <w:rPr>
          <w:rFonts w:eastAsia="楷体_GB2312" w:hint="eastAsia"/>
          <w:bCs/>
          <w:sz w:val="24"/>
        </w:rPr>
      </w:pPr>
      <w:r>
        <w:rPr>
          <w:rFonts w:eastAsia="黑体" w:hint="eastAsia"/>
          <w:bCs/>
          <w:sz w:val="24"/>
        </w:rPr>
        <w:t>筹资综合年利率</w:t>
      </w:r>
      <w:r>
        <w:rPr>
          <w:rFonts w:eastAsia="楷体_GB2312" w:hint="eastAsia"/>
          <w:bCs/>
          <w:sz w:val="24"/>
        </w:rPr>
        <w:t>。筹资利率同预期收益成反比，也是不言而喻的。同样地，该指标也可以有上面所说的两种取值方法。</w:t>
      </w:r>
    </w:p>
    <w:p w:rsidR="00C9049E" w:rsidRDefault="00C9049E" w:rsidP="00E92C7E">
      <w:pPr>
        <w:spacing w:line="360" w:lineRule="auto"/>
        <w:ind w:left="465" w:firstLine="480"/>
        <w:rPr>
          <w:rFonts w:eastAsia="楷体_GB2312" w:hint="eastAsia"/>
          <w:bCs/>
          <w:sz w:val="24"/>
        </w:rPr>
      </w:pPr>
      <w:r>
        <w:rPr>
          <w:rFonts w:eastAsia="黑体" w:hint="eastAsia"/>
          <w:bCs/>
          <w:sz w:val="24"/>
        </w:rPr>
        <w:t>营业费用率</w:t>
      </w:r>
      <w:r>
        <w:rPr>
          <w:rFonts w:eastAsia="楷体_GB2312" w:hint="eastAsia"/>
          <w:bCs/>
          <w:sz w:val="24"/>
        </w:rPr>
        <w:t>。营业费用有直接费用和间接费用之别。但是，要严格加以区分并作出预测，是难以做到的。至多是，在权衡某合同条件的可否接受，以及在预测各已生效合同的收益时，采用直接费用；而在作全公司的预算时，则应包括公司的全部费用。这一指标的取值，可以考虑采用本公司历年来的经验数据。当然，即使如此，仍会有一个难点，即，如果通过营业费用率来计算，则以何者为基数？以租赁融资额为基数有所不妥，因为未考虑合同的期限长短。从理论上说，合同期限越长，经营成本越高。本文中是以折合占用一年的资金为基数的。但是，在特殊的合同条件下，这一取值方法也有缺陷。对此，有待识者指正。</w:t>
      </w:r>
    </w:p>
    <w:p w:rsidR="00C9049E" w:rsidRDefault="00C9049E" w:rsidP="00E92C7E">
      <w:pPr>
        <w:spacing w:line="360" w:lineRule="auto"/>
        <w:ind w:left="465" w:firstLine="480"/>
        <w:rPr>
          <w:rFonts w:eastAsia="楷体_GB2312" w:hint="eastAsia"/>
          <w:bCs/>
          <w:sz w:val="24"/>
        </w:rPr>
      </w:pPr>
      <w:r>
        <w:rPr>
          <w:rFonts w:eastAsia="黑体" w:hint="eastAsia"/>
          <w:bCs/>
          <w:sz w:val="24"/>
        </w:rPr>
        <w:t>营业税</w:t>
      </w:r>
      <w:r>
        <w:rPr>
          <w:rFonts w:eastAsia="楷体_GB2312" w:hint="eastAsia"/>
          <w:bCs/>
          <w:sz w:val="24"/>
        </w:rPr>
        <w:t>。依据我国现行的税法，融资租赁合同的营业税率，自</w:t>
      </w:r>
      <w:r>
        <w:rPr>
          <w:rFonts w:eastAsia="楷体_GB2312" w:hint="eastAsia"/>
          <w:bCs/>
          <w:sz w:val="24"/>
        </w:rPr>
        <w:t>2003</w:t>
      </w:r>
      <w:r>
        <w:rPr>
          <w:rFonts w:eastAsia="楷体_GB2312" w:hint="eastAsia"/>
          <w:bCs/>
          <w:sz w:val="24"/>
        </w:rPr>
        <w:t>年起是</w:t>
      </w:r>
      <w:r>
        <w:rPr>
          <w:rFonts w:eastAsia="楷体_GB2312" w:hint="eastAsia"/>
          <w:bCs/>
          <w:sz w:val="24"/>
        </w:rPr>
        <w:t>5%</w:t>
      </w:r>
      <w:r>
        <w:rPr>
          <w:rFonts w:eastAsia="楷体_GB2312" w:hint="eastAsia"/>
          <w:bCs/>
          <w:sz w:val="24"/>
        </w:rPr>
        <w:t>，其税基是租金中所含的收益。如果用的是境外借入资金，则其税基是租金中所含的收益扣除借款利息后的余额。</w:t>
      </w:r>
    </w:p>
    <w:p w:rsidR="00C9049E" w:rsidRDefault="00C9049E" w:rsidP="00E92C7E">
      <w:pPr>
        <w:spacing w:line="360" w:lineRule="auto"/>
        <w:ind w:left="465" w:firstLine="480"/>
        <w:rPr>
          <w:rFonts w:eastAsia="楷体_GB2312" w:hint="eastAsia"/>
          <w:bCs/>
          <w:sz w:val="24"/>
        </w:rPr>
      </w:pPr>
      <w:r w:rsidRPr="0048485B">
        <w:rPr>
          <w:rFonts w:eastAsia="黑体" w:hint="eastAsia"/>
          <w:bCs/>
          <w:sz w:val="24"/>
          <w:highlight w:val="yellow"/>
        </w:rPr>
        <w:t>所得税</w:t>
      </w:r>
      <w:r w:rsidRPr="0048485B">
        <w:rPr>
          <w:rFonts w:eastAsia="楷体_GB2312" w:hint="eastAsia"/>
          <w:bCs/>
          <w:sz w:val="24"/>
          <w:highlight w:val="yellow"/>
        </w:rPr>
        <w:t>。融资性租赁公司的所得税待遇，无异于其它工商企业，都是当期利润的</w:t>
      </w:r>
      <w:r w:rsidRPr="0048485B">
        <w:rPr>
          <w:rFonts w:eastAsia="楷体_GB2312" w:hint="eastAsia"/>
          <w:bCs/>
          <w:sz w:val="24"/>
          <w:highlight w:val="yellow"/>
        </w:rPr>
        <w:t>33%</w:t>
      </w:r>
      <w:r w:rsidRPr="0048485B">
        <w:rPr>
          <w:rFonts w:eastAsia="楷体_GB2312" w:hint="eastAsia"/>
          <w:bCs/>
          <w:sz w:val="24"/>
          <w:highlight w:val="yellow"/>
        </w:rPr>
        <w:t>。</w:t>
      </w:r>
    </w:p>
    <w:p w:rsidR="00C9049E" w:rsidRDefault="00C9049E" w:rsidP="00E92C7E">
      <w:pPr>
        <w:spacing w:line="360" w:lineRule="auto"/>
        <w:ind w:left="465" w:firstLine="480"/>
        <w:rPr>
          <w:rFonts w:eastAsia="楷体_GB2312" w:hint="eastAsia"/>
          <w:bCs/>
          <w:sz w:val="24"/>
        </w:rPr>
      </w:pPr>
      <w:r>
        <w:rPr>
          <w:rFonts w:eastAsia="黑体" w:hint="eastAsia"/>
          <w:bCs/>
          <w:sz w:val="24"/>
        </w:rPr>
        <w:t>所得税前收益</w:t>
      </w:r>
      <w:r>
        <w:rPr>
          <w:rFonts w:eastAsia="楷体_GB2312" w:hint="eastAsia"/>
          <w:bCs/>
          <w:sz w:val="24"/>
        </w:rPr>
        <w:t>。这一指标相当于利润表上的营业收入减去营业支出和营业税之后的余额。</w:t>
      </w:r>
    </w:p>
    <w:p w:rsidR="00C9049E" w:rsidRDefault="00C9049E" w:rsidP="00E92C7E">
      <w:pPr>
        <w:spacing w:line="360" w:lineRule="auto"/>
        <w:ind w:left="465" w:firstLine="480"/>
        <w:rPr>
          <w:rFonts w:eastAsia="楷体_GB2312" w:hint="eastAsia"/>
          <w:bCs/>
          <w:sz w:val="24"/>
        </w:rPr>
      </w:pPr>
      <w:r>
        <w:rPr>
          <w:rFonts w:eastAsia="黑体" w:hint="eastAsia"/>
          <w:bCs/>
          <w:sz w:val="24"/>
        </w:rPr>
        <w:lastRenderedPageBreak/>
        <w:t>所得税后收益</w:t>
      </w:r>
      <w:r>
        <w:rPr>
          <w:rFonts w:eastAsia="楷体_GB2312" w:hint="eastAsia"/>
          <w:bCs/>
          <w:sz w:val="24"/>
        </w:rPr>
        <w:t>。这是所得税前收益扣除所得税之后的余额，相当于利润表上的不考虑营业外收支的利润总额。</w:t>
      </w:r>
    </w:p>
    <w:p w:rsidR="00C9049E" w:rsidRDefault="00C9049E" w:rsidP="00E92C7E">
      <w:pPr>
        <w:spacing w:line="360" w:lineRule="auto"/>
        <w:ind w:left="465" w:firstLine="480"/>
        <w:rPr>
          <w:rFonts w:eastAsia="楷体_GB2312" w:hint="eastAsia"/>
          <w:bCs/>
          <w:sz w:val="24"/>
        </w:rPr>
      </w:pPr>
      <w:r>
        <w:rPr>
          <w:rFonts w:eastAsia="黑体" w:hint="eastAsia"/>
          <w:bCs/>
          <w:sz w:val="24"/>
        </w:rPr>
        <w:t>收益净现值</w:t>
      </w:r>
      <w:r>
        <w:rPr>
          <w:rFonts w:eastAsia="楷体_GB2312" w:hint="eastAsia"/>
          <w:bCs/>
          <w:sz w:val="24"/>
        </w:rPr>
        <w:t>。上述两个指标虽然可以同财务报表的数据相互印证，但是无法在诸合同间作横向对比，因为没有考虑时间价值。以资金成本为折现率的收益净现值则可以弥补上述缺陷，从而既可以在诸合同间作横向对比，又可以相互累加而得出各部门以至全公司的这一指标。本指标反映该合同、该项目、各部门以至全公司预期税后收益的绝对规模。</w:t>
      </w:r>
    </w:p>
    <w:p w:rsidR="00C9049E" w:rsidRDefault="00C9049E" w:rsidP="00E92C7E">
      <w:pPr>
        <w:spacing w:line="360" w:lineRule="auto"/>
        <w:ind w:left="465" w:firstLine="480"/>
        <w:rPr>
          <w:rFonts w:eastAsia="楷体_GB2312" w:hint="eastAsia"/>
          <w:bCs/>
          <w:sz w:val="24"/>
        </w:rPr>
      </w:pPr>
      <w:r>
        <w:rPr>
          <w:rFonts w:eastAsia="黑体" w:hint="eastAsia"/>
          <w:bCs/>
          <w:sz w:val="24"/>
        </w:rPr>
        <w:t>资金年净收益率</w:t>
      </w:r>
      <w:r>
        <w:rPr>
          <w:rFonts w:eastAsia="楷体_GB2312" w:hint="eastAsia"/>
          <w:bCs/>
          <w:sz w:val="24"/>
        </w:rPr>
        <w:t>。这是所得税后收益折现值同折合占用一年资金的比值。这一指标可以反映预期税后收益的水平。诸合同这一指标的平均值可以构成各项目、各部门以至全公司的这一指标。</w:t>
      </w:r>
    </w:p>
    <w:p w:rsidR="00C9049E" w:rsidRDefault="00C9049E" w:rsidP="00E92C7E">
      <w:pPr>
        <w:spacing w:line="360" w:lineRule="auto"/>
        <w:ind w:left="465" w:firstLine="480"/>
        <w:rPr>
          <w:rFonts w:eastAsia="楷体_GB2312" w:hint="eastAsia"/>
          <w:bCs/>
          <w:sz w:val="24"/>
        </w:rPr>
      </w:pPr>
      <w:r w:rsidRPr="0028674A">
        <w:rPr>
          <w:rFonts w:eastAsia="楷体_GB2312" w:hint="eastAsia"/>
          <w:bCs/>
          <w:sz w:val="24"/>
          <w:highlight w:val="yellow"/>
        </w:rPr>
        <w:t>作者认为，可以用所得税后收益净现值和资金年净收益率，作为衡量预期收益的规模和水平的指标。</w:t>
      </w:r>
    </w:p>
    <w:p w:rsidR="00C9049E" w:rsidRDefault="00C9049E" w:rsidP="00E92C7E">
      <w:pPr>
        <w:spacing w:line="360" w:lineRule="auto"/>
        <w:rPr>
          <w:rFonts w:eastAsia="楷体_GB2312" w:hint="eastAsia"/>
          <w:bCs/>
          <w:sz w:val="24"/>
        </w:rPr>
      </w:pPr>
    </w:p>
    <w:p w:rsidR="00C9049E" w:rsidRDefault="007F0C88" w:rsidP="007F0C88">
      <w:pPr>
        <w:pStyle w:val="1"/>
        <w:rPr>
          <w:rFonts w:hint="eastAsia"/>
        </w:rPr>
      </w:pPr>
      <w:r>
        <w:rPr>
          <w:rFonts w:hint="eastAsia"/>
        </w:rPr>
        <w:t>三、</w:t>
      </w:r>
      <w:r w:rsidR="00C9049E">
        <w:rPr>
          <w:rFonts w:hint="eastAsia"/>
        </w:rPr>
        <w:t>各种条件下融资租赁合同收益对比</w:t>
      </w: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850"/>
        <w:rPr>
          <w:rFonts w:eastAsia="楷体_GB2312" w:hint="eastAsia"/>
          <w:bCs/>
          <w:sz w:val="24"/>
        </w:rPr>
      </w:pPr>
      <w:r>
        <w:rPr>
          <w:rFonts w:eastAsia="楷体_GB2312" w:hint="eastAsia"/>
          <w:bCs/>
          <w:sz w:val="24"/>
        </w:rPr>
        <w:t>下面，用</w:t>
      </w:r>
      <w:r>
        <w:rPr>
          <w:rFonts w:eastAsia="楷体_GB2312" w:hint="eastAsia"/>
          <w:bCs/>
          <w:sz w:val="24"/>
        </w:rPr>
        <w:t>16</w:t>
      </w:r>
      <w:r>
        <w:rPr>
          <w:rFonts w:eastAsia="楷体_GB2312" w:hint="eastAsia"/>
          <w:bCs/>
          <w:sz w:val="24"/>
        </w:rPr>
        <w:t>个附表来对比诸因素对预期收益的影响。</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b/>
        <w:t>A1</w:t>
      </w:r>
      <w:r>
        <w:rPr>
          <w:rFonts w:eastAsia="楷体_GB2312" w:hint="eastAsia"/>
          <w:bCs/>
          <w:sz w:val="24"/>
        </w:rPr>
        <w:t>的条件是租赁期限</w:t>
      </w:r>
      <w:r>
        <w:rPr>
          <w:rFonts w:eastAsia="楷体_GB2312" w:hint="eastAsia"/>
          <w:bCs/>
          <w:sz w:val="24"/>
        </w:rPr>
        <w:t>48</w:t>
      </w:r>
      <w:r>
        <w:rPr>
          <w:rFonts w:eastAsia="楷体_GB2312" w:hint="eastAsia"/>
          <w:bCs/>
          <w:sz w:val="24"/>
        </w:rPr>
        <w:t>个月，每期</w:t>
      </w:r>
      <w:r>
        <w:rPr>
          <w:rFonts w:eastAsia="楷体_GB2312" w:hint="eastAsia"/>
          <w:bCs/>
          <w:sz w:val="24"/>
        </w:rPr>
        <w:t>3</w:t>
      </w:r>
      <w:r>
        <w:rPr>
          <w:rFonts w:eastAsia="楷体_GB2312" w:hint="eastAsia"/>
          <w:bCs/>
          <w:sz w:val="24"/>
        </w:rPr>
        <w:t>个月，租金等额后付，在营业费用率是折合占用一年资金的</w:t>
      </w:r>
      <w:r>
        <w:rPr>
          <w:rFonts w:eastAsia="楷体_GB2312" w:hint="eastAsia"/>
          <w:bCs/>
          <w:sz w:val="24"/>
        </w:rPr>
        <w:t>0.5%</w:t>
      </w:r>
      <w:r>
        <w:rPr>
          <w:rFonts w:eastAsia="楷体_GB2312" w:hint="eastAsia"/>
          <w:bCs/>
          <w:sz w:val="24"/>
        </w:rPr>
        <w:t>和筹资年利率是</w:t>
      </w:r>
      <w:r>
        <w:rPr>
          <w:rFonts w:eastAsia="楷体_GB2312" w:hint="eastAsia"/>
          <w:bCs/>
          <w:sz w:val="24"/>
        </w:rPr>
        <w:t>7%</w:t>
      </w:r>
      <w:r>
        <w:rPr>
          <w:rFonts w:eastAsia="楷体_GB2312" w:hint="eastAsia"/>
          <w:bCs/>
          <w:sz w:val="24"/>
        </w:rPr>
        <w:t>的条件下，为了使得所得税后资金年净收益率达到</w:t>
      </w:r>
      <w:r>
        <w:rPr>
          <w:rFonts w:eastAsia="楷体_GB2312" w:hint="eastAsia"/>
          <w:bCs/>
          <w:sz w:val="24"/>
        </w:rPr>
        <w:t>1%</w:t>
      </w:r>
      <w:r>
        <w:rPr>
          <w:rFonts w:eastAsia="楷体_GB2312" w:hint="eastAsia"/>
          <w:bCs/>
          <w:sz w:val="24"/>
        </w:rPr>
        <w:t>，租赁综合年利率必须不小于</w:t>
      </w:r>
      <w:r>
        <w:rPr>
          <w:rFonts w:eastAsia="楷体_GB2312" w:hint="eastAsia"/>
          <w:bCs/>
          <w:sz w:val="24"/>
        </w:rPr>
        <w:t>9.63945276%</w:t>
      </w:r>
      <w:r>
        <w:rPr>
          <w:rFonts w:eastAsia="楷体_GB2312" w:hint="eastAsia"/>
          <w:bCs/>
          <w:sz w:val="24"/>
        </w:rPr>
        <w:t>。换句话说，为了净赚这个</w:t>
      </w:r>
      <w:r>
        <w:rPr>
          <w:rFonts w:eastAsia="楷体_GB2312" w:hint="eastAsia"/>
          <w:bCs/>
          <w:sz w:val="24"/>
        </w:rPr>
        <w:t>1%</w:t>
      </w:r>
      <w:r>
        <w:rPr>
          <w:rFonts w:eastAsia="楷体_GB2312" w:hint="eastAsia"/>
          <w:bCs/>
          <w:sz w:val="24"/>
        </w:rPr>
        <w:t>，租赁综合年利率同筹资综合年利率之差（隐含利差）不得小于</w:t>
      </w:r>
      <w:r>
        <w:rPr>
          <w:rFonts w:eastAsia="楷体_GB2312" w:hint="eastAsia"/>
          <w:bCs/>
          <w:sz w:val="24"/>
        </w:rPr>
        <w:t>2.63945276%</w:t>
      </w:r>
      <w:r>
        <w:rPr>
          <w:rFonts w:eastAsia="楷体_GB2312" w:hint="eastAsia"/>
          <w:bCs/>
          <w:sz w:val="24"/>
        </w:rPr>
        <w:t>。</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A2</w:t>
      </w:r>
      <w:r>
        <w:rPr>
          <w:rFonts w:eastAsia="楷体_GB2312" w:hint="eastAsia"/>
          <w:bCs/>
          <w:sz w:val="24"/>
        </w:rPr>
        <w:t>的条件同表</w:t>
      </w:r>
      <w:r>
        <w:rPr>
          <w:rFonts w:eastAsia="楷体_GB2312" w:hint="eastAsia"/>
          <w:bCs/>
          <w:sz w:val="24"/>
        </w:rPr>
        <w:t>A1</w:t>
      </w:r>
      <w:r>
        <w:rPr>
          <w:rFonts w:eastAsia="楷体_GB2312" w:hint="eastAsia"/>
          <w:bCs/>
          <w:sz w:val="24"/>
        </w:rPr>
        <w:t>的唯一差别，是期初本金不同，前者是</w:t>
      </w:r>
      <w:r>
        <w:rPr>
          <w:rFonts w:eastAsia="楷体_GB2312" w:hint="eastAsia"/>
          <w:bCs/>
          <w:sz w:val="24"/>
        </w:rPr>
        <w:t>4,000,000.00</w:t>
      </w:r>
      <w:r>
        <w:rPr>
          <w:rFonts w:eastAsia="楷体_GB2312" w:hint="eastAsia"/>
          <w:bCs/>
          <w:sz w:val="24"/>
        </w:rPr>
        <w:t>，是后者</w:t>
      </w:r>
      <w:r>
        <w:rPr>
          <w:rFonts w:eastAsia="楷体_GB2312" w:hint="eastAsia"/>
          <w:bCs/>
          <w:sz w:val="24"/>
        </w:rPr>
        <w:t>800,000.00</w:t>
      </w:r>
      <w:r>
        <w:rPr>
          <w:rFonts w:eastAsia="楷体_GB2312" w:hint="eastAsia"/>
          <w:bCs/>
          <w:sz w:val="24"/>
        </w:rPr>
        <w:t>的</w:t>
      </w:r>
      <w:r>
        <w:rPr>
          <w:rFonts w:eastAsia="楷体_GB2312" w:hint="eastAsia"/>
          <w:bCs/>
          <w:sz w:val="24"/>
        </w:rPr>
        <w:t>5</w:t>
      </w:r>
      <w:r>
        <w:rPr>
          <w:rFonts w:eastAsia="楷体_GB2312" w:hint="eastAsia"/>
          <w:bCs/>
          <w:sz w:val="24"/>
        </w:rPr>
        <w:t>倍。结果是，全部以绝对值反映的指标，前者都是后者的</w:t>
      </w:r>
      <w:r>
        <w:rPr>
          <w:rFonts w:eastAsia="楷体_GB2312" w:hint="eastAsia"/>
          <w:bCs/>
          <w:sz w:val="24"/>
        </w:rPr>
        <w:t>5</w:t>
      </w:r>
      <w:r>
        <w:rPr>
          <w:rFonts w:eastAsia="楷体_GB2312" w:hint="eastAsia"/>
          <w:bCs/>
          <w:sz w:val="24"/>
        </w:rPr>
        <w:t>倍。说明收益规模前者是后者的</w:t>
      </w:r>
      <w:r>
        <w:rPr>
          <w:rFonts w:eastAsia="楷体_GB2312" w:hint="eastAsia"/>
          <w:bCs/>
          <w:sz w:val="24"/>
        </w:rPr>
        <w:t>5</w:t>
      </w:r>
      <w:r>
        <w:rPr>
          <w:rFonts w:eastAsia="楷体_GB2312" w:hint="eastAsia"/>
          <w:bCs/>
          <w:sz w:val="24"/>
        </w:rPr>
        <w:t>倍；而所得税后资金年净收益率，则两者完全相同，都是</w:t>
      </w:r>
      <w:r>
        <w:rPr>
          <w:rFonts w:eastAsia="楷体_GB2312" w:hint="eastAsia"/>
          <w:bCs/>
          <w:sz w:val="24"/>
        </w:rPr>
        <w:t>1%</w:t>
      </w:r>
      <w:r>
        <w:rPr>
          <w:rFonts w:eastAsia="楷体_GB2312" w:hint="eastAsia"/>
          <w:bCs/>
          <w:sz w:val="24"/>
        </w:rPr>
        <w:t>。说明就成本同收益的关系（收益水平）而言，两者是完全一样的。由此可见，收益水平同租赁融资额的大小无关。</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A3</w:t>
      </w:r>
      <w:r>
        <w:rPr>
          <w:rFonts w:eastAsia="楷体_GB2312" w:hint="eastAsia"/>
          <w:bCs/>
          <w:sz w:val="24"/>
        </w:rPr>
        <w:t>的条件同表</w:t>
      </w:r>
      <w:r>
        <w:rPr>
          <w:rFonts w:eastAsia="楷体_GB2312" w:hint="eastAsia"/>
          <w:bCs/>
          <w:sz w:val="24"/>
        </w:rPr>
        <w:t>A1</w:t>
      </w:r>
      <w:r>
        <w:rPr>
          <w:rFonts w:eastAsia="楷体_GB2312" w:hint="eastAsia"/>
          <w:bCs/>
          <w:sz w:val="24"/>
        </w:rPr>
        <w:t>的差别之一，是筹资综合利率不同。前者是</w:t>
      </w:r>
      <w:r>
        <w:rPr>
          <w:rFonts w:eastAsia="楷体_GB2312" w:hint="eastAsia"/>
          <w:bCs/>
          <w:sz w:val="24"/>
        </w:rPr>
        <w:t>7.5%</w:t>
      </w:r>
      <w:r>
        <w:rPr>
          <w:rFonts w:eastAsia="楷体_GB2312" w:hint="eastAsia"/>
          <w:bCs/>
          <w:sz w:val="24"/>
        </w:rPr>
        <w:t>，后者是</w:t>
      </w:r>
      <w:r>
        <w:rPr>
          <w:rFonts w:eastAsia="楷体_GB2312" w:hint="eastAsia"/>
          <w:bCs/>
          <w:sz w:val="24"/>
        </w:rPr>
        <w:t>7%</w:t>
      </w:r>
      <w:r>
        <w:rPr>
          <w:rFonts w:eastAsia="楷体_GB2312" w:hint="eastAsia"/>
          <w:bCs/>
          <w:sz w:val="24"/>
        </w:rPr>
        <w:t>。相差</w:t>
      </w:r>
      <w:r>
        <w:rPr>
          <w:rFonts w:eastAsia="楷体_GB2312" w:hint="eastAsia"/>
          <w:bCs/>
          <w:sz w:val="24"/>
        </w:rPr>
        <w:t>0.5%</w:t>
      </w:r>
      <w:r>
        <w:rPr>
          <w:rFonts w:eastAsia="楷体_GB2312" w:hint="eastAsia"/>
          <w:bCs/>
          <w:sz w:val="24"/>
        </w:rPr>
        <w:t>。在这样的条件下，为了保持</w:t>
      </w:r>
      <w:r>
        <w:rPr>
          <w:rFonts w:eastAsia="楷体_GB2312" w:hint="eastAsia"/>
          <w:bCs/>
          <w:sz w:val="24"/>
        </w:rPr>
        <w:t>1%</w:t>
      </w:r>
      <w:r>
        <w:rPr>
          <w:rFonts w:eastAsia="楷体_GB2312" w:hint="eastAsia"/>
          <w:bCs/>
          <w:sz w:val="24"/>
        </w:rPr>
        <w:t>的所得税后资金年净收益率，前者的租赁综合利率为</w:t>
      </w:r>
      <w:r>
        <w:rPr>
          <w:rFonts w:eastAsia="楷体_GB2312" w:hint="eastAsia"/>
          <w:bCs/>
          <w:sz w:val="24"/>
        </w:rPr>
        <w:t>10.17875668%</w:t>
      </w:r>
      <w:r>
        <w:rPr>
          <w:rFonts w:eastAsia="楷体_GB2312" w:hint="eastAsia"/>
          <w:bCs/>
          <w:sz w:val="24"/>
        </w:rPr>
        <w:t>。也就是说，为了弥补筹资成本</w:t>
      </w:r>
      <w:r>
        <w:rPr>
          <w:rFonts w:eastAsia="楷体_GB2312" w:hint="eastAsia"/>
          <w:bCs/>
          <w:sz w:val="24"/>
        </w:rPr>
        <w:t>0.5%</w:t>
      </w:r>
      <w:r>
        <w:rPr>
          <w:rFonts w:eastAsia="楷体_GB2312" w:hint="eastAsia"/>
          <w:bCs/>
          <w:sz w:val="24"/>
        </w:rPr>
        <w:t>的增长，租赁利率必须相应地提高</w:t>
      </w:r>
      <w:r>
        <w:rPr>
          <w:rFonts w:eastAsia="楷体_GB2312" w:hint="eastAsia"/>
          <w:bCs/>
          <w:sz w:val="24"/>
        </w:rPr>
        <w:t>0.53930392%</w:t>
      </w:r>
      <w:r>
        <w:rPr>
          <w:rFonts w:eastAsia="楷体_GB2312" w:hint="eastAsia"/>
          <w:bCs/>
          <w:sz w:val="24"/>
        </w:rPr>
        <w:t>。</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A4</w:t>
      </w:r>
      <w:r>
        <w:rPr>
          <w:rFonts w:eastAsia="楷体_GB2312" w:hint="eastAsia"/>
          <w:bCs/>
          <w:sz w:val="24"/>
        </w:rPr>
        <w:t>的条件同表</w:t>
      </w:r>
      <w:r>
        <w:rPr>
          <w:rFonts w:eastAsia="楷体_GB2312" w:hint="eastAsia"/>
          <w:bCs/>
          <w:sz w:val="24"/>
        </w:rPr>
        <w:t>A1</w:t>
      </w:r>
      <w:r>
        <w:rPr>
          <w:rFonts w:eastAsia="楷体_GB2312" w:hint="eastAsia"/>
          <w:bCs/>
          <w:sz w:val="24"/>
        </w:rPr>
        <w:t>的差别之一，也是筹资综合利率不同。前者是</w:t>
      </w:r>
      <w:r>
        <w:rPr>
          <w:rFonts w:eastAsia="楷体_GB2312" w:hint="eastAsia"/>
          <w:bCs/>
          <w:sz w:val="24"/>
        </w:rPr>
        <w:t>6.5%</w:t>
      </w:r>
      <w:r>
        <w:rPr>
          <w:rFonts w:eastAsia="楷体_GB2312" w:hint="eastAsia"/>
          <w:bCs/>
          <w:sz w:val="24"/>
        </w:rPr>
        <w:t>，后者是</w:t>
      </w:r>
      <w:r>
        <w:rPr>
          <w:rFonts w:eastAsia="楷体_GB2312" w:hint="eastAsia"/>
          <w:bCs/>
          <w:sz w:val="24"/>
        </w:rPr>
        <w:t>7%</w:t>
      </w:r>
      <w:r>
        <w:rPr>
          <w:rFonts w:eastAsia="楷体_GB2312" w:hint="eastAsia"/>
          <w:bCs/>
          <w:sz w:val="24"/>
        </w:rPr>
        <w:t>。相差</w:t>
      </w:r>
      <w:r>
        <w:rPr>
          <w:rFonts w:eastAsia="楷体_GB2312" w:hint="eastAsia"/>
          <w:bCs/>
          <w:sz w:val="24"/>
        </w:rPr>
        <w:t>0.5%</w:t>
      </w:r>
      <w:r>
        <w:rPr>
          <w:rFonts w:eastAsia="楷体_GB2312" w:hint="eastAsia"/>
          <w:bCs/>
          <w:sz w:val="24"/>
        </w:rPr>
        <w:t>。在这样的条件下，为了保持</w:t>
      </w:r>
      <w:r>
        <w:rPr>
          <w:rFonts w:eastAsia="楷体_GB2312" w:hint="eastAsia"/>
          <w:bCs/>
          <w:sz w:val="24"/>
        </w:rPr>
        <w:t>1%</w:t>
      </w:r>
      <w:r>
        <w:rPr>
          <w:rFonts w:eastAsia="楷体_GB2312" w:hint="eastAsia"/>
          <w:bCs/>
          <w:sz w:val="24"/>
        </w:rPr>
        <w:t>的所得税后资金年净收益率，前者的租</w:t>
      </w:r>
      <w:r>
        <w:rPr>
          <w:rFonts w:eastAsia="楷体_GB2312" w:hint="eastAsia"/>
          <w:bCs/>
          <w:sz w:val="24"/>
        </w:rPr>
        <w:lastRenderedPageBreak/>
        <w:t>赁综合利率为</w:t>
      </w:r>
      <w:r>
        <w:rPr>
          <w:rFonts w:eastAsia="楷体_GB2312" w:hint="eastAsia"/>
          <w:bCs/>
          <w:sz w:val="24"/>
        </w:rPr>
        <w:t>9.10022764%</w:t>
      </w:r>
      <w:r>
        <w:rPr>
          <w:rFonts w:eastAsia="楷体_GB2312" w:hint="eastAsia"/>
          <w:bCs/>
          <w:sz w:val="24"/>
        </w:rPr>
        <w:t>。也就是说，由于筹资成本节约</w:t>
      </w:r>
      <w:r>
        <w:rPr>
          <w:rFonts w:eastAsia="楷体_GB2312" w:hint="eastAsia"/>
          <w:bCs/>
          <w:sz w:val="24"/>
        </w:rPr>
        <w:t>0.5%</w:t>
      </w:r>
      <w:r>
        <w:rPr>
          <w:rFonts w:eastAsia="楷体_GB2312" w:hint="eastAsia"/>
          <w:bCs/>
          <w:sz w:val="24"/>
        </w:rPr>
        <w:t>，租赁利率得以相应地下降</w:t>
      </w:r>
      <w:r>
        <w:rPr>
          <w:rFonts w:eastAsia="楷体_GB2312" w:hint="eastAsia"/>
          <w:bCs/>
          <w:sz w:val="24"/>
        </w:rPr>
        <w:t>0.53922512%</w:t>
      </w:r>
      <w:r>
        <w:rPr>
          <w:rFonts w:eastAsia="楷体_GB2312" w:hint="eastAsia"/>
          <w:bCs/>
          <w:sz w:val="24"/>
        </w:rPr>
        <w:t>。这里我们看到，在筹资利率变动幅度相同的情况下，这里租赁利率下降的幅度小于表</w:t>
      </w:r>
      <w:r>
        <w:rPr>
          <w:rFonts w:eastAsia="楷体_GB2312" w:hint="eastAsia"/>
          <w:bCs/>
          <w:sz w:val="24"/>
        </w:rPr>
        <w:t>A3</w:t>
      </w:r>
      <w:r>
        <w:rPr>
          <w:rFonts w:eastAsia="楷体_GB2312" w:hint="eastAsia"/>
          <w:bCs/>
          <w:sz w:val="24"/>
        </w:rPr>
        <w:t>中租赁利率提高的幅度。</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对比表</w:t>
      </w:r>
      <w:r>
        <w:rPr>
          <w:rFonts w:eastAsia="楷体_GB2312" w:hint="eastAsia"/>
          <w:bCs/>
          <w:sz w:val="24"/>
        </w:rPr>
        <w:t>A4</w:t>
      </w:r>
      <w:r>
        <w:rPr>
          <w:rFonts w:eastAsia="楷体_GB2312" w:hint="eastAsia"/>
          <w:bCs/>
          <w:sz w:val="24"/>
        </w:rPr>
        <w:t>、表</w:t>
      </w:r>
      <w:r>
        <w:rPr>
          <w:rFonts w:eastAsia="楷体_GB2312" w:hint="eastAsia"/>
          <w:bCs/>
          <w:sz w:val="24"/>
        </w:rPr>
        <w:t>A1</w:t>
      </w:r>
      <w:r>
        <w:rPr>
          <w:rFonts w:eastAsia="楷体_GB2312" w:hint="eastAsia"/>
          <w:bCs/>
          <w:sz w:val="24"/>
        </w:rPr>
        <w:t>和表</w:t>
      </w:r>
      <w:r>
        <w:rPr>
          <w:rFonts w:eastAsia="楷体_GB2312" w:hint="eastAsia"/>
          <w:bCs/>
          <w:sz w:val="24"/>
        </w:rPr>
        <w:t>A3</w:t>
      </w:r>
      <w:r>
        <w:rPr>
          <w:rFonts w:eastAsia="楷体_GB2312" w:hint="eastAsia"/>
          <w:bCs/>
          <w:sz w:val="24"/>
        </w:rPr>
        <w:t>，唯一的差别是租赁综合年利率不同，分别为</w:t>
      </w:r>
      <w:r>
        <w:rPr>
          <w:rFonts w:eastAsia="楷体_GB2312" w:hint="eastAsia"/>
          <w:bCs/>
          <w:sz w:val="24"/>
        </w:rPr>
        <w:t>9.1002%</w:t>
      </w:r>
      <w:r>
        <w:rPr>
          <w:rFonts w:eastAsia="楷体_GB2312" w:hint="eastAsia"/>
          <w:bCs/>
          <w:sz w:val="24"/>
        </w:rPr>
        <w:t>、</w:t>
      </w:r>
      <w:r>
        <w:rPr>
          <w:rFonts w:eastAsia="楷体_GB2312" w:hint="eastAsia"/>
          <w:bCs/>
          <w:sz w:val="24"/>
        </w:rPr>
        <w:t>9.6395%</w:t>
      </w:r>
      <w:r>
        <w:rPr>
          <w:rFonts w:eastAsia="楷体_GB2312" w:hint="eastAsia"/>
          <w:bCs/>
          <w:sz w:val="24"/>
        </w:rPr>
        <w:t>和</w:t>
      </w:r>
      <w:r>
        <w:rPr>
          <w:rFonts w:eastAsia="楷体_GB2312" w:hint="eastAsia"/>
          <w:bCs/>
          <w:sz w:val="24"/>
        </w:rPr>
        <w:t>10.1788%</w:t>
      </w:r>
      <w:r>
        <w:rPr>
          <w:rFonts w:eastAsia="楷体_GB2312" w:hint="eastAsia"/>
          <w:bCs/>
          <w:sz w:val="24"/>
        </w:rPr>
        <w:t>。因此，折合占用一年资金也不同，分别为</w:t>
      </w:r>
      <w:r>
        <w:rPr>
          <w:rFonts w:eastAsia="楷体_GB2312" w:hint="eastAsia"/>
          <w:bCs/>
          <w:sz w:val="24"/>
        </w:rPr>
        <w:t>1,795,399.85</w:t>
      </w:r>
      <w:r>
        <w:rPr>
          <w:rFonts w:eastAsia="楷体_GB2312" w:hint="eastAsia"/>
          <w:bCs/>
          <w:sz w:val="24"/>
        </w:rPr>
        <w:t>、</w:t>
      </w:r>
      <w:r>
        <w:rPr>
          <w:rFonts w:eastAsia="楷体_GB2312" w:hint="eastAsia"/>
          <w:bCs/>
          <w:sz w:val="24"/>
        </w:rPr>
        <w:t>1,800,959.61</w:t>
      </w:r>
      <w:r>
        <w:rPr>
          <w:rFonts w:eastAsia="楷体_GB2312" w:hint="eastAsia"/>
          <w:bCs/>
          <w:sz w:val="24"/>
        </w:rPr>
        <w:t>和</w:t>
      </w:r>
      <w:r>
        <w:rPr>
          <w:rFonts w:eastAsia="楷体_GB2312" w:hint="eastAsia"/>
          <w:bCs/>
          <w:sz w:val="24"/>
        </w:rPr>
        <w:t>1,806,508.42</w:t>
      </w:r>
      <w:r>
        <w:rPr>
          <w:rFonts w:eastAsia="楷体_GB2312" w:hint="eastAsia"/>
          <w:bCs/>
          <w:sz w:val="24"/>
        </w:rPr>
        <w:t>。这表明，在租赁期限、每期月数和租金本支付方式相同的情况下，租赁综合年利率越高，资金占用越多。</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A5</w:t>
      </w:r>
      <w:r>
        <w:rPr>
          <w:rFonts w:eastAsia="楷体_GB2312" w:hint="eastAsia"/>
          <w:bCs/>
          <w:sz w:val="24"/>
        </w:rPr>
        <w:t>表明，当着租赁综合利率不得高于</w:t>
      </w:r>
      <w:r>
        <w:rPr>
          <w:rFonts w:eastAsia="楷体_GB2312" w:hint="eastAsia"/>
          <w:bCs/>
          <w:sz w:val="24"/>
        </w:rPr>
        <w:t>9.3125%</w:t>
      </w:r>
      <w:r>
        <w:rPr>
          <w:rFonts w:eastAsia="楷体_GB2312" w:hint="eastAsia"/>
          <w:bCs/>
          <w:sz w:val="24"/>
        </w:rPr>
        <w:t>，而筹资综合利率又无法低于</w:t>
      </w:r>
      <w:r>
        <w:rPr>
          <w:rFonts w:eastAsia="楷体_GB2312" w:hint="eastAsia"/>
          <w:bCs/>
          <w:sz w:val="24"/>
        </w:rPr>
        <w:t>7%</w:t>
      </w:r>
      <w:r>
        <w:rPr>
          <w:rFonts w:eastAsia="楷体_GB2312" w:hint="eastAsia"/>
          <w:bCs/>
          <w:sz w:val="24"/>
        </w:rPr>
        <w:t>，其它条件均同于</w:t>
      </w:r>
      <w:r>
        <w:rPr>
          <w:rFonts w:eastAsia="楷体_GB2312" w:hint="eastAsia"/>
          <w:bCs/>
          <w:sz w:val="24"/>
        </w:rPr>
        <w:t>A1</w:t>
      </w:r>
      <w:r>
        <w:rPr>
          <w:rFonts w:eastAsia="楷体_GB2312" w:hint="eastAsia"/>
          <w:bCs/>
          <w:sz w:val="24"/>
        </w:rPr>
        <w:t>时，除非营业费用率降至</w:t>
      </w:r>
      <w:r>
        <w:rPr>
          <w:rFonts w:eastAsia="楷体_GB2312" w:hint="eastAsia"/>
          <w:bCs/>
          <w:sz w:val="24"/>
        </w:rPr>
        <w:t>0.18955476%</w:t>
      </w:r>
      <w:r>
        <w:rPr>
          <w:rFonts w:eastAsia="楷体_GB2312" w:hint="eastAsia"/>
          <w:bCs/>
          <w:sz w:val="24"/>
        </w:rPr>
        <w:t>，否则所得税后资金年净收益率无法保持在</w:t>
      </w:r>
      <w:r>
        <w:rPr>
          <w:rFonts w:eastAsia="楷体_GB2312" w:hint="eastAsia"/>
          <w:bCs/>
          <w:sz w:val="24"/>
        </w:rPr>
        <w:t>1%</w:t>
      </w:r>
      <w:r>
        <w:rPr>
          <w:rFonts w:eastAsia="楷体_GB2312" w:hint="eastAsia"/>
          <w:bCs/>
          <w:sz w:val="24"/>
        </w:rPr>
        <w:t>的水平上。</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A6</w:t>
      </w:r>
      <w:r>
        <w:rPr>
          <w:rFonts w:eastAsia="楷体_GB2312" w:hint="eastAsia"/>
          <w:bCs/>
          <w:sz w:val="24"/>
        </w:rPr>
        <w:t>同表</w:t>
      </w:r>
      <w:r>
        <w:rPr>
          <w:rFonts w:eastAsia="楷体_GB2312" w:hint="eastAsia"/>
          <w:bCs/>
          <w:sz w:val="24"/>
        </w:rPr>
        <w:t>A1</w:t>
      </w:r>
      <w:r>
        <w:rPr>
          <w:rFonts w:eastAsia="楷体_GB2312" w:hint="eastAsia"/>
          <w:bCs/>
          <w:sz w:val="24"/>
        </w:rPr>
        <w:t>的唯一差别，在于营业费用率为</w:t>
      </w:r>
      <w:r>
        <w:rPr>
          <w:rFonts w:eastAsia="楷体_GB2312" w:hint="eastAsia"/>
          <w:bCs/>
          <w:sz w:val="24"/>
        </w:rPr>
        <w:t>1%</w:t>
      </w:r>
      <w:r>
        <w:rPr>
          <w:rFonts w:eastAsia="楷体_GB2312" w:hint="eastAsia"/>
          <w:bCs/>
          <w:sz w:val="24"/>
        </w:rPr>
        <w:t>。也就是说，做不到</w:t>
      </w:r>
      <w:r>
        <w:rPr>
          <w:rFonts w:eastAsia="楷体_GB2312" w:hint="eastAsia"/>
          <w:bCs/>
          <w:sz w:val="24"/>
        </w:rPr>
        <w:t>0.5%</w:t>
      </w:r>
      <w:r>
        <w:rPr>
          <w:rFonts w:eastAsia="楷体_GB2312" w:hint="eastAsia"/>
          <w:bCs/>
          <w:sz w:val="24"/>
        </w:rPr>
        <w:t>的低经营成本。结果是，所得税后收益净现值以及所得税后资金年净收益率都是后者的</w:t>
      </w:r>
      <w:r>
        <w:rPr>
          <w:rFonts w:eastAsia="楷体_GB2312" w:hint="eastAsia"/>
          <w:bCs/>
          <w:sz w:val="24"/>
        </w:rPr>
        <w:t>69.8337%</w:t>
      </w:r>
      <w:r>
        <w:rPr>
          <w:rFonts w:eastAsia="楷体_GB2312" w:hint="eastAsia"/>
          <w:bCs/>
          <w:sz w:val="24"/>
        </w:rPr>
        <w:t>。这同时也说明，预期收益的变动幅度小于营业费用率的变动幅度。</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A7</w:t>
      </w:r>
      <w:r>
        <w:rPr>
          <w:rFonts w:eastAsia="楷体_GB2312" w:hint="eastAsia"/>
          <w:bCs/>
          <w:sz w:val="24"/>
        </w:rPr>
        <w:t>表明，在其它条件同表</w:t>
      </w:r>
      <w:r>
        <w:rPr>
          <w:rFonts w:eastAsia="楷体_GB2312" w:hint="eastAsia"/>
          <w:bCs/>
          <w:sz w:val="24"/>
        </w:rPr>
        <w:t>A1</w:t>
      </w:r>
      <w:r>
        <w:rPr>
          <w:rFonts w:eastAsia="楷体_GB2312" w:hint="eastAsia"/>
          <w:bCs/>
          <w:sz w:val="24"/>
        </w:rPr>
        <w:t>完全相同的情况下，如果租赁综合年利率降至</w:t>
      </w:r>
      <w:r>
        <w:rPr>
          <w:rFonts w:eastAsia="楷体_GB2312" w:hint="eastAsia"/>
          <w:bCs/>
          <w:sz w:val="24"/>
        </w:rPr>
        <w:t>7.85790254%</w:t>
      </w:r>
      <w:r>
        <w:rPr>
          <w:rFonts w:eastAsia="楷体_GB2312" w:hint="eastAsia"/>
          <w:bCs/>
          <w:sz w:val="24"/>
        </w:rPr>
        <w:t>，即，仅仅比筹资综合年利率高</w:t>
      </w:r>
      <w:r>
        <w:rPr>
          <w:rFonts w:eastAsia="楷体_GB2312" w:hint="eastAsia"/>
          <w:bCs/>
          <w:sz w:val="24"/>
        </w:rPr>
        <w:t>0.85790254%</w:t>
      </w:r>
      <w:r>
        <w:rPr>
          <w:rFonts w:eastAsia="楷体_GB2312" w:hint="eastAsia"/>
          <w:bCs/>
          <w:sz w:val="24"/>
        </w:rPr>
        <w:t>时，所得税前收益为零。我们不妨称该利率为保本利率。从本表中还可见，由于营业税以租金中所含收益为税基，而在融资租赁合同中，租金中所含的收益是各期递减的、导致营业税的逐期下降；又由于营业费用以各期折合占用一年资金为基数，而各期租金中所含本金的递增导致这一基数以及营业费用的递减，因此，所得税前收益是各期递增的。在本例中，是由前</w:t>
      </w:r>
      <w:r>
        <w:rPr>
          <w:rFonts w:eastAsia="楷体_GB2312" w:hint="eastAsia"/>
          <w:bCs/>
          <w:sz w:val="24"/>
        </w:rPr>
        <w:t>8</w:t>
      </w:r>
      <w:r>
        <w:rPr>
          <w:rFonts w:eastAsia="楷体_GB2312" w:hint="eastAsia"/>
          <w:bCs/>
          <w:sz w:val="24"/>
        </w:rPr>
        <w:t>期的负值到后</w:t>
      </w:r>
      <w:r>
        <w:rPr>
          <w:rFonts w:eastAsia="楷体_GB2312" w:hint="eastAsia"/>
          <w:bCs/>
          <w:sz w:val="24"/>
        </w:rPr>
        <w:t>8</w:t>
      </w:r>
      <w:r>
        <w:rPr>
          <w:rFonts w:eastAsia="楷体_GB2312" w:hint="eastAsia"/>
          <w:bCs/>
          <w:sz w:val="24"/>
        </w:rPr>
        <w:t>期的正值，从第</w:t>
      </w:r>
      <w:r>
        <w:rPr>
          <w:rFonts w:eastAsia="楷体_GB2312" w:hint="eastAsia"/>
          <w:bCs/>
          <w:sz w:val="24"/>
        </w:rPr>
        <w:t>1</w:t>
      </w:r>
      <w:r>
        <w:rPr>
          <w:rFonts w:eastAsia="楷体_GB2312" w:hint="eastAsia"/>
          <w:bCs/>
          <w:sz w:val="24"/>
        </w:rPr>
        <w:t>期的</w:t>
      </w:r>
      <w:r>
        <w:rPr>
          <w:rFonts w:eastAsia="楷体_GB2312" w:hint="eastAsia"/>
          <w:bCs/>
          <w:sz w:val="24"/>
        </w:rPr>
        <w:t>-791.02</w:t>
      </w:r>
      <w:r>
        <w:rPr>
          <w:rFonts w:eastAsia="楷体_GB2312" w:hint="eastAsia"/>
          <w:bCs/>
          <w:sz w:val="24"/>
        </w:rPr>
        <w:t>到第</w:t>
      </w:r>
      <w:r>
        <w:rPr>
          <w:rFonts w:eastAsia="楷体_GB2312" w:hint="eastAsia"/>
          <w:bCs/>
          <w:sz w:val="24"/>
        </w:rPr>
        <w:t>16</w:t>
      </w:r>
      <w:r>
        <w:rPr>
          <w:rFonts w:eastAsia="楷体_GB2312" w:hint="eastAsia"/>
          <w:bCs/>
          <w:sz w:val="24"/>
        </w:rPr>
        <w:t>期的</w:t>
      </w:r>
      <w:r>
        <w:rPr>
          <w:rFonts w:eastAsia="楷体_GB2312" w:hint="eastAsia"/>
          <w:bCs/>
          <w:sz w:val="24"/>
        </w:rPr>
        <w:t>866.14</w:t>
      </w:r>
      <w:r>
        <w:rPr>
          <w:rFonts w:eastAsia="楷体_GB2312" w:hint="eastAsia"/>
          <w:bCs/>
          <w:sz w:val="24"/>
        </w:rPr>
        <w:t>。</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A8</w:t>
      </w:r>
      <w:r>
        <w:rPr>
          <w:rFonts w:eastAsia="楷体_GB2312" w:hint="eastAsia"/>
          <w:bCs/>
          <w:sz w:val="24"/>
        </w:rPr>
        <w:t>同表</w:t>
      </w:r>
      <w:r>
        <w:rPr>
          <w:rFonts w:eastAsia="楷体_GB2312" w:hint="eastAsia"/>
          <w:bCs/>
          <w:sz w:val="24"/>
        </w:rPr>
        <w:t>A1</w:t>
      </w:r>
      <w:r>
        <w:rPr>
          <w:rFonts w:eastAsia="楷体_GB2312" w:hint="eastAsia"/>
          <w:bCs/>
          <w:sz w:val="24"/>
        </w:rPr>
        <w:t>的唯一差别，在于每期月数不同，前者是</w:t>
      </w:r>
      <w:r>
        <w:rPr>
          <w:rFonts w:eastAsia="楷体_GB2312" w:hint="eastAsia"/>
          <w:bCs/>
          <w:sz w:val="24"/>
        </w:rPr>
        <w:t>6</w:t>
      </w:r>
      <w:r>
        <w:rPr>
          <w:rFonts w:eastAsia="楷体_GB2312" w:hint="eastAsia"/>
          <w:bCs/>
          <w:sz w:val="24"/>
        </w:rPr>
        <w:t>个月，后者是</w:t>
      </w:r>
      <w:r>
        <w:rPr>
          <w:rFonts w:eastAsia="楷体_GB2312" w:hint="eastAsia"/>
          <w:bCs/>
          <w:sz w:val="24"/>
        </w:rPr>
        <w:t>3</w:t>
      </w:r>
      <w:r>
        <w:rPr>
          <w:rFonts w:eastAsia="楷体_GB2312" w:hint="eastAsia"/>
          <w:bCs/>
          <w:sz w:val="24"/>
        </w:rPr>
        <w:t>个月。结果是，前者的所得税后收益净现值为</w:t>
      </w:r>
      <w:r>
        <w:rPr>
          <w:rFonts w:eastAsia="楷体_GB2312" w:hint="eastAsia"/>
          <w:bCs/>
          <w:sz w:val="24"/>
        </w:rPr>
        <w:t>18,786.29</w:t>
      </w:r>
      <w:r>
        <w:rPr>
          <w:rFonts w:eastAsia="楷体_GB2312" w:hint="eastAsia"/>
          <w:bCs/>
          <w:sz w:val="24"/>
        </w:rPr>
        <w:t>，略大于后者的</w:t>
      </w:r>
      <w:r>
        <w:rPr>
          <w:rFonts w:eastAsia="楷体_GB2312" w:hint="eastAsia"/>
          <w:bCs/>
          <w:sz w:val="24"/>
        </w:rPr>
        <w:t>18,009.60</w:t>
      </w:r>
      <w:r>
        <w:rPr>
          <w:rFonts w:eastAsia="楷体_GB2312" w:hint="eastAsia"/>
          <w:bCs/>
          <w:sz w:val="24"/>
        </w:rPr>
        <w:t>，而前者的资金年净收益率则是</w:t>
      </w:r>
      <w:r>
        <w:rPr>
          <w:rFonts w:eastAsia="楷体_GB2312" w:hint="eastAsia"/>
          <w:bCs/>
          <w:sz w:val="24"/>
        </w:rPr>
        <w:t>0.98947368%</w:t>
      </w:r>
      <w:r>
        <w:rPr>
          <w:rFonts w:eastAsia="楷体_GB2312" w:hint="eastAsia"/>
          <w:bCs/>
          <w:sz w:val="24"/>
        </w:rPr>
        <w:t>，略小于后者的</w:t>
      </w:r>
      <w:r>
        <w:rPr>
          <w:rFonts w:eastAsia="楷体_GB2312" w:hint="eastAsia"/>
          <w:bCs/>
          <w:sz w:val="24"/>
        </w:rPr>
        <w:t>1%</w:t>
      </w:r>
      <w:r>
        <w:rPr>
          <w:rFonts w:eastAsia="楷体_GB2312" w:hint="eastAsia"/>
          <w:bCs/>
          <w:sz w:val="24"/>
        </w:rPr>
        <w:t>。这里，我们看到了一个似乎矛盾的现象。在收益规模较大的情况下，收益水平反而小了。其原因在于折合占用一年的资金不同，前者是</w:t>
      </w:r>
      <w:r>
        <w:rPr>
          <w:rFonts w:eastAsia="楷体_GB2312" w:hint="eastAsia"/>
          <w:bCs/>
          <w:sz w:val="24"/>
        </w:rPr>
        <w:t>1,898,614.29</w:t>
      </w:r>
      <w:r>
        <w:rPr>
          <w:rFonts w:eastAsia="楷体_GB2312" w:hint="eastAsia"/>
          <w:bCs/>
          <w:sz w:val="24"/>
        </w:rPr>
        <w:t>，高于后者的</w:t>
      </w:r>
      <w:r>
        <w:rPr>
          <w:rFonts w:eastAsia="楷体_GB2312" w:hint="eastAsia"/>
          <w:bCs/>
          <w:sz w:val="24"/>
        </w:rPr>
        <w:t>1,800,959.61</w:t>
      </w:r>
      <w:r>
        <w:rPr>
          <w:rFonts w:eastAsia="楷体_GB2312" w:hint="eastAsia"/>
          <w:bCs/>
          <w:sz w:val="24"/>
        </w:rPr>
        <w:t>。这表明，在其它条件相同的情况下，每期月数越多，资金占用也越多。</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A9</w:t>
      </w:r>
      <w:r>
        <w:rPr>
          <w:rFonts w:eastAsia="楷体_GB2312" w:hint="eastAsia"/>
          <w:bCs/>
          <w:sz w:val="24"/>
        </w:rPr>
        <w:t>同表</w:t>
      </w:r>
      <w:r>
        <w:rPr>
          <w:rFonts w:eastAsia="楷体_GB2312" w:hint="eastAsia"/>
          <w:bCs/>
          <w:sz w:val="24"/>
        </w:rPr>
        <w:t>A1</w:t>
      </w:r>
      <w:r>
        <w:rPr>
          <w:rFonts w:eastAsia="楷体_GB2312" w:hint="eastAsia"/>
          <w:bCs/>
          <w:sz w:val="24"/>
        </w:rPr>
        <w:t>的唯一差别，在于租赁期限不同，前者是</w:t>
      </w:r>
      <w:r>
        <w:rPr>
          <w:rFonts w:eastAsia="楷体_GB2312" w:hint="eastAsia"/>
          <w:bCs/>
          <w:sz w:val="24"/>
        </w:rPr>
        <w:t>60</w:t>
      </w:r>
      <w:r>
        <w:rPr>
          <w:rFonts w:eastAsia="楷体_GB2312" w:hint="eastAsia"/>
          <w:bCs/>
          <w:sz w:val="24"/>
        </w:rPr>
        <w:t>个月，后者是</w:t>
      </w:r>
      <w:r>
        <w:rPr>
          <w:rFonts w:eastAsia="楷体_GB2312" w:hint="eastAsia"/>
          <w:bCs/>
          <w:sz w:val="24"/>
        </w:rPr>
        <w:t>48</w:t>
      </w:r>
      <w:r>
        <w:rPr>
          <w:rFonts w:eastAsia="楷体_GB2312" w:hint="eastAsia"/>
          <w:bCs/>
          <w:sz w:val="24"/>
        </w:rPr>
        <w:t>个月。结果是，前者的所得税后收益净现值为</w:t>
      </w:r>
      <w:r>
        <w:rPr>
          <w:rFonts w:eastAsia="楷体_GB2312" w:hint="eastAsia"/>
          <w:bCs/>
          <w:sz w:val="24"/>
        </w:rPr>
        <w:t>22,053.44</w:t>
      </w:r>
      <w:r>
        <w:rPr>
          <w:rFonts w:eastAsia="楷体_GB2312" w:hint="eastAsia"/>
          <w:bCs/>
          <w:sz w:val="24"/>
        </w:rPr>
        <w:t>，明显大于后者的</w:t>
      </w:r>
      <w:r>
        <w:rPr>
          <w:rFonts w:eastAsia="楷体_GB2312" w:hint="eastAsia"/>
          <w:bCs/>
          <w:sz w:val="24"/>
        </w:rPr>
        <w:t>18,009.60</w:t>
      </w:r>
      <w:r>
        <w:rPr>
          <w:rFonts w:eastAsia="楷体_GB2312" w:hint="eastAsia"/>
          <w:bCs/>
          <w:sz w:val="24"/>
        </w:rPr>
        <w:t>，而前者的资金年净收益率则是</w:t>
      </w:r>
      <w:r>
        <w:rPr>
          <w:rFonts w:eastAsia="楷体_GB2312" w:hint="eastAsia"/>
          <w:bCs/>
          <w:sz w:val="24"/>
        </w:rPr>
        <w:t>0.97678473%</w:t>
      </w:r>
      <w:r>
        <w:rPr>
          <w:rFonts w:eastAsia="楷体_GB2312" w:hint="eastAsia"/>
          <w:bCs/>
          <w:sz w:val="24"/>
        </w:rPr>
        <w:t>，也是小于后者的</w:t>
      </w:r>
      <w:r>
        <w:rPr>
          <w:rFonts w:eastAsia="楷体_GB2312" w:hint="eastAsia"/>
          <w:bCs/>
          <w:sz w:val="24"/>
        </w:rPr>
        <w:t>1%</w:t>
      </w:r>
      <w:r>
        <w:rPr>
          <w:rFonts w:eastAsia="楷体_GB2312" w:hint="eastAsia"/>
          <w:bCs/>
          <w:sz w:val="24"/>
        </w:rPr>
        <w:t>。其原因也在于折合占用一年的资金不同，前者是</w:t>
      </w:r>
      <w:r>
        <w:rPr>
          <w:rFonts w:eastAsia="楷体_GB2312" w:hint="eastAsia"/>
          <w:bCs/>
          <w:sz w:val="24"/>
        </w:rPr>
        <w:t>2,257,758.49</w:t>
      </w:r>
      <w:r>
        <w:rPr>
          <w:rFonts w:eastAsia="楷体_GB2312" w:hint="eastAsia"/>
          <w:bCs/>
          <w:sz w:val="24"/>
        </w:rPr>
        <w:t>，高于后者的</w:t>
      </w:r>
      <w:r>
        <w:rPr>
          <w:rFonts w:eastAsia="楷体_GB2312" w:hint="eastAsia"/>
          <w:bCs/>
          <w:sz w:val="24"/>
        </w:rPr>
        <w:t>1,800,959.61</w:t>
      </w:r>
      <w:r>
        <w:rPr>
          <w:rFonts w:eastAsia="楷体_GB2312" w:hint="eastAsia"/>
          <w:bCs/>
          <w:sz w:val="24"/>
        </w:rPr>
        <w:t>。这表明，在其它条件相同的情况下，租赁期限越长，资金占用也越多。拿各个指标对比则可见，租赁期限前者是后者</w:t>
      </w:r>
      <w:r>
        <w:rPr>
          <w:rFonts w:eastAsia="楷体_GB2312" w:hint="eastAsia"/>
          <w:bCs/>
          <w:sz w:val="24"/>
        </w:rPr>
        <w:lastRenderedPageBreak/>
        <w:t>的</w:t>
      </w:r>
      <w:r>
        <w:rPr>
          <w:rFonts w:eastAsia="楷体_GB2312" w:hint="eastAsia"/>
          <w:bCs/>
          <w:sz w:val="24"/>
        </w:rPr>
        <w:t>1.25</w:t>
      </w:r>
      <w:r>
        <w:rPr>
          <w:rFonts w:eastAsia="楷体_GB2312" w:hint="eastAsia"/>
          <w:bCs/>
          <w:sz w:val="24"/>
        </w:rPr>
        <w:t>倍，折合占用一年资金前者是后者的</w:t>
      </w:r>
      <w:r>
        <w:rPr>
          <w:rFonts w:eastAsia="楷体_GB2312" w:hint="eastAsia"/>
          <w:bCs/>
          <w:sz w:val="24"/>
        </w:rPr>
        <w:t>1.2536</w:t>
      </w:r>
      <w:r>
        <w:rPr>
          <w:rFonts w:eastAsia="楷体_GB2312" w:hint="eastAsia"/>
          <w:bCs/>
          <w:sz w:val="24"/>
        </w:rPr>
        <w:t>倍，而所得税后收益净现值则前者仅为后者的</w:t>
      </w:r>
      <w:r>
        <w:rPr>
          <w:rFonts w:eastAsia="楷体_GB2312" w:hint="eastAsia"/>
          <w:bCs/>
          <w:sz w:val="24"/>
        </w:rPr>
        <w:t>1.2245</w:t>
      </w:r>
      <w:r>
        <w:rPr>
          <w:rFonts w:eastAsia="楷体_GB2312" w:hint="eastAsia"/>
          <w:bCs/>
          <w:sz w:val="24"/>
        </w:rPr>
        <w:t>倍。</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A10</w:t>
      </w:r>
      <w:r>
        <w:rPr>
          <w:rFonts w:eastAsia="楷体_GB2312" w:hint="eastAsia"/>
          <w:bCs/>
          <w:sz w:val="24"/>
        </w:rPr>
        <w:t>同表</w:t>
      </w:r>
      <w:r>
        <w:rPr>
          <w:rFonts w:eastAsia="楷体_GB2312" w:hint="eastAsia"/>
          <w:bCs/>
          <w:sz w:val="24"/>
        </w:rPr>
        <w:t>A9</w:t>
      </w:r>
      <w:r>
        <w:rPr>
          <w:rFonts w:eastAsia="楷体_GB2312" w:hint="eastAsia"/>
          <w:bCs/>
          <w:sz w:val="24"/>
        </w:rPr>
        <w:t>的唯一差别，在于前者每期是</w:t>
      </w:r>
      <w:r>
        <w:rPr>
          <w:rFonts w:eastAsia="楷体_GB2312" w:hint="eastAsia"/>
          <w:bCs/>
          <w:sz w:val="24"/>
        </w:rPr>
        <w:t>6</w:t>
      </w:r>
      <w:r>
        <w:rPr>
          <w:rFonts w:eastAsia="楷体_GB2312" w:hint="eastAsia"/>
          <w:bCs/>
          <w:sz w:val="24"/>
        </w:rPr>
        <w:t>个月，后者每期是</w:t>
      </w:r>
      <w:r>
        <w:rPr>
          <w:rFonts w:eastAsia="楷体_GB2312" w:hint="eastAsia"/>
          <w:bCs/>
          <w:sz w:val="24"/>
        </w:rPr>
        <w:t>3</w:t>
      </w:r>
      <w:r>
        <w:rPr>
          <w:rFonts w:eastAsia="楷体_GB2312" w:hint="eastAsia"/>
          <w:bCs/>
          <w:sz w:val="24"/>
        </w:rPr>
        <w:t>个月。结果是，尽管前者的所得税后收益净现值为</w:t>
      </w:r>
      <w:r>
        <w:rPr>
          <w:rFonts w:eastAsia="楷体_GB2312" w:hint="eastAsia"/>
          <w:bCs/>
          <w:sz w:val="24"/>
        </w:rPr>
        <w:t>22,763.37</w:t>
      </w:r>
      <w:r>
        <w:rPr>
          <w:rFonts w:eastAsia="楷体_GB2312" w:hint="eastAsia"/>
          <w:bCs/>
          <w:sz w:val="24"/>
        </w:rPr>
        <w:t>大于后者的</w:t>
      </w:r>
      <w:r>
        <w:rPr>
          <w:rFonts w:eastAsia="楷体_GB2312" w:hint="eastAsia"/>
          <w:bCs/>
          <w:sz w:val="24"/>
        </w:rPr>
        <w:t>22,053.44</w:t>
      </w:r>
      <w:r>
        <w:rPr>
          <w:rFonts w:eastAsia="楷体_GB2312" w:hint="eastAsia"/>
          <w:bCs/>
          <w:sz w:val="24"/>
        </w:rPr>
        <w:t>，然而由于前者折合占用一年资金为</w:t>
      </w:r>
      <w:r>
        <w:rPr>
          <w:rFonts w:eastAsia="楷体_GB2312" w:hint="eastAsia"/>
          <w:bCs/>
          <w:sz w:val="24"/>
        </w:rPr>
        <w:t>2,354,760.59</w:t>
      </w:r>
      <w:r>
        <w:rPr>
          <w:rFonts w:eastAsia="楷体_GB2312" w:hint="eastAsia"/>
          <w:bCs/>
          <w:sz w:val="24"/>
        </w:rPr>
        <w:t>，大于后者的</w:t>
      </w:r>
      <w:r>
        <w:rPr>
          <w:rFonts w:eastAsia="楷体_GB2312" w:hint="eastAsia"/>
          <w:bCs/>
          <w:sz w:val="24"/>
        </w:rPr>
        <w:t>2,257,758.49</w:t>
      </w:r>
      <w:r>
        <w:rPr>
          <w:rFonts w:eastAsia="楷体_GB2312" w:hint="eastAsia"/>
          <w:bCs/>
          <w:sz w:val="24"/>
        </w:rPr>
        <w:t>，使得前者的资金年净收益率为</w:t>
      </w:r>
      <w:r>
        <w:rPr>
          <w:rFonts w:eastAsia="楷体_GB2312" w:hint="eastAsia"/>
          <w:bCs/>
          <w:sz w:val="24"/>
        </w:rPr>
        <w:t>0.96669587%</w:t>
      </w:r>
      <w:r>
        <w:rPr>
          <w:rFonts w:eastAsia="楷体_GB2312" w:hint="eastAsia"/>
          <w:bCs/>
          <w:sz w:val="24"/>
        </w:rPr>
        <w:t>，小于后者的</w:t>
      </w:r>
      <w:r>
        <w:rPr>
          <w:rFonts w:eastAsia="楷体_GB2312" w:hint="eastAsia"/>
          <w:bCs/>
          <w:sz w:val="24"/>
        </w:rPr>
        <w:t>0.97678473%</w:t>
      </w:r>
      <w:r>
        <w:rPr>
          <w:rFonts w:eastAsia="楷体_GB2312" w:hint="eastAsia"/>
          <w:bCs/>
          <w:sz w:val="24"/>
        </w:rPr>
        <w:t>。</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B1</w:t>
      </w:r>
      <w:r>
        <w:rPr>
          <w:rFonts w:eastAsia="楷体_GB2312" w:hint="eastAsia"/>
          <w:bCs/>
          <w:sz w:val="24"/>
        </w:rPr>
        <w:t>同表</w:t>
      </w:r>
      <w:r>
        <w:rPr>
          <w:rFonts w:eastAsia="楷体_GB2312" w:hint="eastAsia"/>
          <w:bCs/>
          <w:sz w:val="24"/>
        </w:rPr>
        <w:t>A1</w:t>
      </w:r>
      <w:r>
        <w:rPr>
          <w:rFonts w:eastAsia="楷体_GB2312" w:hint="eastAsia"/>
          <w:bCs/>
          <w:sz w:val="24"/>
        </w:rPr>
        <w:t>的唯一差别，在于前者是等额还本，后者是等额付租。结果是，虽然前者的所得税后收益净现值为</w:t>
      </w:r>
      <w:r>
        <w:rPr>
          <w:rFonts w:eastAsia="楷体_GB2312" w:hint="eastAsia"/>
          <w:bCs/>
          <w:sz w:val="24"/>
        </w:rPr>
        <w:t>17,358.59</w:t>
      </w:r>
      <w:r>
        <w:rPr>
          <w:rFonts w:eastAsia="楷体_GB2312" w:hint="eastAsia"/>
          <w:bCs/>
          <w:sz w:val="24"/>
        </w:rPr>
        <w:t>，小于后者的</w:t>
      </w:r>
      <w:r>
        <w:rPr>
          <w:rFonts w:eastAsia="楷体_GB2312" w:hint="eastAsia"/>
          <w:bCs/>
          <w:sz w:val="24"/>
        </w:rPr>
        <w:t>18,009.60</w:t>
      </w:r>
      <w:r>
        <w:rPr>
          <w:rFonts w:eastAsia="楷体_GB2312" w:hint="eastAsia"/>
          <w:bCs/>
          <w:sz w:val="24"/>
        </w:rPr>
        <w:t>，但是前者的资金年净收益率却是</w:t>
      </w:r>
      <w:r>
        <w:rPr>
          <w:rFonts w:eastAsia="楷体_GB2312" w:hint="eastAsia"/>
          <w:bCs/>
          <w:sz w:val="24"/>
        </w:rPr>
        <w:t>1.02109372%</w:t>
      </w:r>
      <w:r>
        <w:rPr>
          <w:rFonts w:eastAsia="楷体_GB2312" w:hint="eastAsia"/>
          <w:bCs/>
          <w:sz w:val="24"/>
        </w:rPr>
        <w:t>，大于后者的</w:t>
      </w:r>
      <w:r>
        <w:rPr>
          <w:rFonts w:eastAsia="楷体_GB2312" w:hint="eastAsia"/>
          <w:bCs/>
          <w:sz w:val="24"/>
        </w:rPr>
        <w:t>1%</w:t>
      </w:r>
      <w:r>
        <w:rPr>
          <w:rFonts w:eastAsia="楷体_GB2312" w:hint="eastAsia"/>
          <w:bCs/>
          <w:sz w:val="24"/>
        </w:rPr>
        <w:t>。其原因也在于折合占用一年的资金不同，前者是</w:t>
      </w:r>
      <w:r>
        <w:rPr>
          <w:rFonts w:eastAsia="楷体_GB2312" w:hint="eastAsia"/>
          <w:bCs/>
          <w:sz w:val="24"/>
        </w:rPr>
        <w:t>1,700,000.00</w:t>
      </w:r>
      <w:r>
        <w:rPr>
          <w:rFonts w:eastAsia="楷体_GB2312" w:hint="eastAsia"/>
          <w:bCs/>
          <w:sz w:val="24"/>
        </w:rPr>
        <w:t>，低于后者的</w:t>
      </w:r>
      <w:r>
        <w:rPr>
          <w:rFonts w:eastAsia="楷体_GB2312" w:hint="eastAsia"/>
          <w:bCs/>
          <w:sz w:val="24"/>
        </w:rPr>
        <w:t>1,800,959.61</w:t>
      </w:r>
      <w:r>
        <w:rPr>
          <w:rFonts w:eastAsia="楷体_GB2312" w:hint="eastAsia"/>
          <w:bCs/>
          <w:sz w:val="24"/>
        </w:rPr>
        <w:t>。这表明，在其它条件相同的情况下，等额还本时的资金占用小于等额付租时的资金占用。</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B2</w:t>
      </w:r>
      <w:r>
        <w:rPr>
          <w:rFonts w:eastAsia="楷体_GB2312" w:hint="eastAsia"/>
          <w:bCs/>
          <w:sz w:val="24"/>
        </w:rPr>
        <w:t>表明，如果是等额还本，则在其它条件与表</w:t>
      </w:r>
      <w:r>
        <w:rPr>
          <w:rFonts w:eastAsia="楷体_GB2312" w:hint="eastAsia"/>
          <w:bCs/>
          <w:sz w:val="24"/>
        </w:rPr>
        <w:t>A1</w:t>
      </w:r>
      <w:r>
        <w:rPr>
          <w:rFonts w:eastAsia="楷体_GB2312" w:hint="eastAsia"/>
          <w:bCs/>
          <w:sz w:val="24"/>
        </w:rPr>
        <w:t>相同的情况下，为了达到</w:t>
      </w:r>
      <w:r>
        <w:rPr>
          <w:rFonts w:eastAsia="楷体_GB2312" w:hint="eastAsia"/>
          <w:bCs/>
          <w:sz w:val="24"/>
        </w:rPr>
        <w:t>1%</w:t>
      </w:r>
      <w:r>
        <w:rPr>
          <w:rFonts w:eastAsia="楷体_GB2312" w:hint="eastAsia"/>
          <w:bCs/>
          <w:sz w:val="24"/>
        </w:rPr>
        <w:t>的资金年净收益率，租赁综合年利率只需</w:t>
      </w:r>
      <w:r>
        <w:rPr>
          <w:rFonts w:eastAsia="楷体_GB2312" w:hint="eastAsia"/>
          <w:bCs/>
          <w:sz w:val="24"/>
        </w:rPr>
        <w:t>9.60326153%</w:t>
      </w:r>
      <w:r>
        <w:rPr>
          <w:rFonts w:eastAsia="楷体_GB2312" w:hint="eastAsia"/>
          <w:bCs/>
          <w:sz w:val="24"/>
        </w:rPr>
        <w:t>，小于表</w:t>
      </w:r>
      <w:r>
        <w:rPr>
          <w:rFonts w:eastAsia="楷体_GB2312" w:hint="eastAsia"/>
          <w:bCs/>
          <w:sz w:val="24"/>
        </w:rPr>
        <w:t>A1</w:t>
      </w:r>
      <w:r>
        <w:rPr>
          <w:rFonts w:eastAsia="楷体_GB2312" w:hint="eastAsia"/>
          <w:bCs/>
          <w:sz w:val="24"/>
        </w:rPr>
        <w:t>的</w:t>
      </w:r>
      <w:r>
        <w:rPr>
          <w:rFonts w:eastAsia="楷体_GB2312" w:hint="eastAsia"/>
          <w:bCs/>
          <w:sz w:val="24"/>
        </w:rPr>
        <w:t>9.63945276%</w:t>
      </w:r>
      <w:r>
        <w:rPr>
          <w:rFonts w:eastAsia="楷体_GB2312" w:hint="eastAsia"/>
          <w:bCs/>
          <w:sz w:val="24"/>
        </w:rPr>
        <w:t>。</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B3</w:t>
      </w:r>
      <w:r>
        <w:rPr>
          <w:rFonts w:eastAsia="楷体_GB2312" w:hint="eastAsia"/>
          <w:bCs/>
          <w:sz w:val="24"/>
        </w:rPr>
        <w:t>同表</w:t>
      </w:r>
      <w:r>
        <w:rPr>
          <w:rFonts w:eastAsia="楷体_GB2312" w:hint="eastAsia"/>
          <w:bCs/>
          <w:sz w:val="24"/>
        </w:rPr>
        <w:t>B1</w:t>
      </w:r>
      <w:r>
        <w:rPr>
          <w:rFonts w:eastAsia="楷体_GB2312" w:hint="eastAsia"/>
          <w:bCs/>
          <w:sz w:val="24"/>
        </w:rPr>
        <w:t>的唯一差别，在于不是等额还本，而是在第</w:t>
      </w:r>
      <w:r>
        <w:rPr>
          <w:rFonts w:eastAsia="楷体_GB2312" w:hint="eastAsia"/>
          <w:bCs/>
          <w:sz w:val="24"/>
        </w:rPr>
        <w:t>2</w:t>
      </w:r>
      <w:r>
        <w:rPr>
          <w:rFonts w:eastAsia="楷体_GB2312" w:hint="eastAsia"/>
          <w:bCs/>
          <w:sz w:val="24"/>
        </w:rPr>
        <w:t>、</w:t>
      </w:r>
      <w:r>
        <w:rPr>
          <w:rFonts w:eastAsia="楷体_GB2312" w:hint="eastAsia"/>
          <w:bCs/>
          <w:sz w:val="24"/>
        </w:rPr>
        <w:t>3</w:t>
      </w:r>
      <w:r>
        <w:rPr>
          <w:rFonts w:eastAsia="楷体_GB2312" w:hint="eastAsia"/>
          <w:bCs/>
          <w:sz w:val="24"/>
        </w:rPr>
        <w:t>年末各还</w:t>
      </w:r>
      <w:r>
        <w:rPr>
          <w:rFonts w:eastAsia="楷体_GB2312" w:hint="eastAsia"/>
          <w:bCs/>
          <w:sz w:val="24"/>
        </w:rPr>
        <w:t>200,000.00</w:t>
      </w:r>
      <w:r>
        <w:rPr>
          <w:rFonts w:eastAsia="楷体_GB2312" w:hint="eastAsia"/>
          <w:bCs/>
          <w:sz w:val="24"/>
        </w:rPr>
        <w:t>，在第</w:t>
      </w:r>
      <w:r>
        <w:rPr>
          <w:rFonts w:eastAsia="楷体_GB2312" w:hint="eastAsia"/>
          <w:bCs/>
          <w:sz w:val="24"/>
        </w:rPr>
        <w:t>4</w:t>
      </w:r>
      <w:r>
        <w:rPr>
          <w:rFonts w:eastAsia="楷体_GB2312" w:hint="eastAsia"/>
          <w:bCs/>
          <w:sz w:val="24"/>
        </w:rPr>
        <w:t>年末还</w:t>
      </w:r>
      <w:r>
        <w:rPr>
          <w:rFonts w:eastAsia="楷体_GB2312" w:hint="eastAsia"/>
          <w:bCs/>
          <w:sz w:val="24"/>
        </w:rPr>
        <w:t>400,000.00</w:t>
      </w:r>
      <w:r>
        <w:rPr>
          <w:rFonts w:eastAsia="楷体_GB2312" w:hint="eastAsia"/>
          <w:bCs/>
          <w:sz w:val="24"/>
        </w:rPr>
        <w:t>。结果是，虽然前者的所得税后收益净现值为</w:t>
      </w:r>
      <w:r>
        <w:rPr>
          <w:rFonts w:eastAsia="楷体_GB2312" w:hint="eastAsia"/>
          <w:bCs/>
          <w:sz w:val="24"/>
        </w:rPr>
        <w:t>25,456.04</w:t>
      </w:r>
      <w:r>
        <w:rPr>
          <w:rFonts w:eastAsia="楷体_GB2312" w:hint="eastAsia"/>
          <w:bCs/>
          <w:sz w:val="24"/>
        </w:rPr>
        <w:t>，明显大于后者的</w:t>
      </w:r>
      <w:r>
        <w:rPr>
          <w:rFonts w:eastAsia="楷体_GB2312" w:hint="eastAsia"/>
          <w:bCs/>
          <w:sz w:val="24"/>
        </w:rPr>
        <w:t>17,358.59</w:t>
      </w:r>
      <w:r>
        <w:rPr>
          <w:rFonts w:eastAsia="楷体_GB2312" w:hint="eastAsia"/>
          <w:bCs/>
          <w:sz w:val="24"/>
        </w:rPr>
        <w:t>，但是前者的资金年净收益率却是</w:t>
      </w:r>
      <w:r>
        <w:rPr>
          <w:rFonts w:eastAsia="楷体_GB2312" w:hint="eastAsia"/>
          <w:bCs/>
          <w:sz w:val="24"/>
        </w:rPr>
        <w:t>0.97907827%</w:t>
      </w:r>
      <w:r>
        <w:rPr>
          <w:rFonts w:eastAsia="楷体_GB2312" w:hint="eastAsia"/>
          <w:bCs/>
          <w:sz w:val="24"/>
        </w:rPr>
        <w:t>，小于后者的</w:t>
      </w:r>
      <w:r>
        <w:rPr>
          <w:rFonts w:eastAsia="楷体_GB2312" w:hint="eastAsia"/>
          <w:bCs/>
          <w:sz w:val="24"/>
        </w:rPr>
        <w:t>1.02109372%</w:t>
      </w:r>
      <w:r>
        <w:rPr>
          <w:rFonts w:eastAsia="楷体_GB2312" w:hint="eastAsia"/>
          <w:bCs/>
          <w:sz w:val="24"/>
        </w:rPr>
        <w:t>。其原因也在于折合占用一年的资金不同，前者是</w:t>
      </w:r>
      <w:r>
        <w:rPr>
          <w:rFonts w:eastAsia="楷体_GB2312" w:hint="eastAsia"/>
          <w:bCs/>
          <w:sz w:val="24"/>
        </w:rPr>
        <w:t>2,600,000.00</w:t>
      </w:r>
      <w:r>
        <w:rPr>
          <w:rFonts w:eastAsia="楷体_GB2312" w:hint="eastAsia"/>
          <w:bCs/>
          <w:sz w:val="24"/>
        </w:rPr>
        <w:t>，远远大于后者的</w:t>
      </w:r>
      <w:r>
        <w:rPr>
          <w:rFonts w:eastAsia="楷体_GB2312" w:hint="eastAsia"/>
          <w:bCs/>
          <w:sz w:val="24"/>
        </w:rPr>
        <w:t>1,700,000.00</w:t>
      </w:r>
      <w:r>
        <w:rPr>
          <w:rFonts w:eastAsia="楷体_GB2312" w:hint="eastAsia"/>
          <w:bCs/>
          <w:sz w:val="24"/>
        </w:rPr>
        <w:t>。</w:t>
      </w:r>
    </w:p>
    <w:p w:rsidR="00C9049E" w:rsidRDefault="00C9049E" w:rsidP="00E92C7E">
      <w:pPr>
        <w:spacing w:line="360" w:lineRule="auto"/>
        <w:ind w:left="465" w:firstLine="480"/>
        <w:rPr>
          <w:rFonts w:eastAsia="楷体_GB2312" w:hint="eastAsia"/>
          <w:bCs/>
          <w:sz w:val="24"/>
        </w:rPr>
      </w:pPr>
      <w:r>
        <w:rPr>
          <w:rFonts w:eastAsia="楷体_GB2312" w:hint="eastAsia"/>
          <w:bCs/>
          <w:sz w:val="24"/>
        </w:rPr>
        <w:t>表</w:t>
      </w:r>
      <w:r>
        <w:rPr>
          <w:rFonts w:eastAsia="楷体_GB2312" w:hint="eastAsia"/>
          <w:bCs/>
          <w:sz w:val="24"/>
        </w:rPr>
        <w:t>B4</w:t>
      </w:r>
      <w:r>
        <w:rPr>
          <w:rFonts w:eastAsia="楷体_GB2312" w:hint="eastAsia"/>
          <w:bCs/>
          <w:sz w:val="24"/>
        </w:rPr>
        <w:t>同表</w:t>
      </w:r>
      <w:r>
        <w:rPr>
          <w:rFonts w:eastAsia="楷体_GB2312" w:hint="eastAsia"/>
          <w:bCs/>
          <w:sz w:val="24"/>
        </w:rPr>
        <w:t>B3</w:t>
      </w:r>
      <w:r>
        <w:rPr>
          <w:rFonts w:eastAsia="楷体_GB2312" w:hint="eastAsia"/>
          <w:bCs/>
          <w:sz w:val="24"/>
        </w:rPr>
        <w:t>的唯一差别，在于营业费用不是按占用资金的</w:t>
      </w:r>
      <w:r>
        <w:rPr>
          <w:rFonts w:eastAsia="楷体_GB2312" w:hint="eastAsia"/>
          <w:bCs/>
          <w:sz w:val="24"/>
        </w:rPr>
        <w:t>0.5%</w:t>
      </w:r>
      <w:r>
        <w:rPr>
          <w:rFonts w:eastAsia="楷体_GB2312" w:hint="eastAsia"/>
          <w:bCs/>
          <w:sz w:val="24"/>
        </w:rPr>
        <w:t>计算，不是表</w:t>
      </w:r>
      <w:r>
        <w:rPr>
          <w:rFonts w:eastAsia="楷体_GB2312" w:hint="eastAsia"/>
          <w:bCs/>
          <w:sz w:val="24"/>
        </w:rPr>
        <w:t>B3</w:t>
      </w:r>
      <w:r>
        <w:rPr>
          <w:rFonts w:eastAsia="楷体_GB2312" w:hint="eastAsia"/>
          <w:bCs/>
          <w:sz w:val="24"/>
        </w:rPr>
        <w:t>中的</w:t>
      </w:r>
      <w:r>
        <w:rPr>
          <w:rFonts w:eastAsia="楷体_GB2312" w:hint="eastAsia"/>
          <w:bCs/>
          <w:sz w:val="24"/>
        </w:rPr>
        <w:t>13,000.00</w:t>
      </w:r>
      <w:r>
        <w:rPr>
          <w:rFonts w:eastAsia="楷体_GB2312" w:hint="eastAsia"/>
          <w:bCs/>
          <w:sz w:val="24"/>
        </w:rPr>
        <w:t>，而是取表</w:t>
      </w:r>
      <w:r>
        <w:rPr>
          <w:rFonts w:eastAsia="楷体_GB2312" w:hint="eastAsia"/>
          <w:bCs/>
          <w:sz w:val="24"/>
        </w:rPr>
        <w:t>A1</w:t>
      </w:r>
      <w:r>
        <w:rPr>
          <w:rFonts w:eastAsia="楷体_GB2312" w:hint="eastAsia"/>
          <w:bCs/>
          <w:sz w:val="24"/>
        </w:rPr>
        <w:t>中的数值</w:t>
      </w:r>
      <w:r>
        <w:rPr>
          <w:rFonts w:eastAsia="楷体_GB2312" w:hint="eastAsia"/>
          <w:bCs/>
          <w:sz w:val="24"/>
        </w:rPr>
        <w:t>9,004.80</w:t>
      </w:r>
      <w:r>
        <w:rPr>
          <w:rFonts w:eastAsia="楷体_GB2312" w:hint="eastAsia"/>
          <w:bCs/>
          <w:sz w:val="24"/>
        </w:rPr>
        <w:t>。结果是，所得税后收益净现值和资金年净收益率分别提高到</w:t>
      </w:r>
      <w:r>
        <w:rPr>
          <w:rFonts w:eastAsia="楷体_GB2312" w:hint="eastAsia"/>
          <w:bCs/>
          <w:sz w:val="24"/>
        </w:rPr>
        <w:t>27,702.35</w:t>
      </w:r>
      <w:r>
        <w:rPr>
          <w:rFonts w:eastAsia="楷体_GB2312" w:hint="eastAsia"/>
          <w:bCs/>
          <w:sz w:val="24"/>
        </w:rPr>
        <w:t>和</w:t>
      </w:r>
      <w:r>
        <w:rPr>
          <w:rFonts w:eastAsia="楷体_GB2312" w:hint="eastAsia"/>
          <w:bCs/>
          <w:sz w:val="24"/>
        </w:rPr>
        <w:t>1.06547488%</w:t>
      </w:r>
      <w:r>
        <w:rPr>
          <w:rFonts w:eastAsia="楷体_GB2312" w:hint="eastAsia"/>
          <w:bCs/>
          <w:sz w:val="24"/>
        </w:rPr>
        <w:t>。显然，在同样的租赁期限内，若无其它原因，营业费用不应由于还本时间的早晚而有明显的差别。由此再次说明，在收益预测中。营业费用的定值，还需认真斟酌。</w:t>
      </w:r>
    </w:p>
    <w:p w:rsidR="00C9049E" w:rsidRDefault="00C9049E" w:rsidP="00E92C7E">
      <w:pPr>
        <w:spacing w:line="360" w:lineRule="auto"/>
        <w:ind w:left="465" w:firstLine="480"/>
        <w:rPr>
          <w:rFonts w:eastAsia="楷体_GB2312" w:hint="eastAsia"/>
          <w:bCs/>
          <w:sz w:val="24"/>
        </w:rPr>
      </w:pPr>
    </w:p>
    <w:p w:rsidR="00C9049E" w:rsidRDefault="00C9049E" w:rsidP="005E3F94">
      <w:pPr>
        <w:pStyle w:val="1"/>
        <w:rPr>
          <w:rFonts w:hint="eastAsia"/>
        </w:rPr>
      </w:pPr>
      <w:r>
        <w:rPr>
          <w:rFonts w:hint="eastAsia"/>
        </w:rPr>
        <w:t>四、上述指标的运用</w:t>
      </w: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firstLine="480"/>
        <w:rPr>
          <w:rFonts w:eastAsia="楷体_GB2312" w:hint="eastAsia"/>
          <w:bCs/>
          <w:sz w:val="24"/>
        </w:rPr>
      </w:pPr>
      <w:r>
        <w:rPr>
          <w:rFonts w:eastAsia="楷体_GB2312" w:hint="eastAsia"/>
          <w:bCs/>
          <w:sz w:val="24"/>
        </w:rPr>
        <w:t>作者认为，上述指标或许可以作如下的具体运用。</w:t>
      </w:r>
    </w:p>
    <w:p w:rsidR="00C9049E" w:rsidRDefault="00C9049E" w:rsidP="00E92C7E">
      <w:pPr>
        <w:numPr>
          <w:ilvl w:val="0"/>
          <w:numId w:val="12"/>
        </w:numPr>
        <w:spacing w:line="360" w:lineRule="auto"/>
        <w:rPr>
          <w:rFonts w:eastAsia="楷体_GB2312" w:hint="eastAsia"/>
          <w:bCs/>
          <w:sz w:val="24"/>
        </w:rPr>
      </w:pPr>
      <w:r>
        <w:rPr>
          <w:rFonts w:eastAsia="楷体_GB2312" w:hint="eastAsia"/>
          <w:bCs/>
          <w:sz w:val="24"/>
        </w:rPr>
        <w:t>在从量化指标的角度确定某个所申请的租赁项目是否可受理时，可以看两个指标：一是规模控制。即，看其折合占用一年资金的数额。各年各个新项目的这一数额之和，应不大于该部门或全公司该年可新占用的资金总额；二是赢利要求。即，看其资金年净收益率。这个指标应不低于本公司规定的标准。</w:t>
      </w:r>
    </w:p>
    <w:p w:rsidR="00C9049E" w:rsidRDefault="00C9049E" w:rsidP="00E92C7E">
      <w:pPr>
        <w:numPr>
          <w:ilvl w:val="0"/>
          <w:numId w:val="12"/>
        </w:numPr>
        <w:spacing w:line="360" w:lineRule="auto"/>
        <w:rPr>
          <w:rFonts w:eastAsia="楷体_GB2312" w:hint="eastAsia"/>
          <w:bCs/>
          <w:sz w:val="24"/>
        </w:rPr>
      </w:pPr>
      <w:r>
        <w:rPr>
          <w:rFonts w:eastAsia="楷体_GB2312" w:hint="eastAsia"/>
          <w:bCs/>
          <w:sz w:val="24"/>
        </w:rPr>
        <w:lastRenderedPageBreak/>
        <w:t>在编制各部门和全公司的年度预算时，可以采用表</w:t>
      </w:r>
      <w:r>
        <w:rPr>
          <w:rFonts w:eastAsia="楷体_GB2312" w:hint="eastAsia"/>
          <w:bCs/>
          <w:sz w:val="24"/>
        </w:rPr>
        <w:t>C1</w:t>
      </w:r>
      <w:r>
        <w:rPr>
          <w:rFonts w:eastAsia="楷体_GB2312" w:hint="eastAsia"/>
          <w:bCs/>
          <w:sz w:val="24"/>
        </w:rPr>
        <w:t>的各年小计的相关数字。例如，年初、年末占用资金数额、预期的流入和流出金额、以及所得税前税后收益。</w:t>
      </w:r>
    </w:p>
    <w:p w:rsidR="00C9049E" w:rsidRDefault="00C9049E" w:rsidP="00E92C7E">
      <w:pPr>
        <w:numPr>
          <w:ilvl w:val="0"/>
          <w:numId w:val="12"/>
        </w:numPr>
        <w:spacing w:line="360" w:lineRule="auto"/>
        <w:rPr>
          <w:rFonts w:eastAsia="楷体_GB2312" w:hint="eastAsia"/>
          <w:bCs/>
          <w:sz w:val="24"/>
        </w:rPr>
      </w:pPr>
      <w:r>
        <w:rPr>
          <w:rFonts w:eastAsia="楷体_GB2312" w:hint="eastAsia"/>
          <w:bCs/>
          <w:sz w:val="24"/>
        </w:rPr>
        <w:t>在考核新项目开发业绩时，可以采用各承办人、各业务部门该年已生效合同的折合占用一年资金的合计值以及资金年净收益率的平均值。</w:t>
      </w:r>
    </w:p>
    <w:p w:rsidR="00C9049E" w:rsidRDefault="00C9049E" w:rsidP="00E92C7E">
      <w:pPr>
        <w:spacing w:line="360" w:lineRule="auto"/>
        <w:ind w:left="945"/>
        <w:rPr>
          <w:rFonts w:eastAsia="楷体_GB2312" w:hint="eastAsia"/>
          <w:bCs/>
          <w:sz w:val="24"/>
        </w:rPr>
      </w:pPr>
      <w:r>
        <w:rPr>
          <w:rFonts w:eastAsia="楷体_GB2312" w:hint="eastAsia"/>
          <w:bCs/>
          <w:sz w:val="24"/>
        </w:rPr>
        <w:t>此外，还要作两点说明。</w:t>
      </w:r>
    </w:p>
    <w:p w:rsidR="00C9049E" w:rsidRDefault="00C9049E" w:rsidP="00E92C7E">
      <w:pPr>
        <w:numPr>
          <w:ilvl w:val="0"/>
          <w:numId w:val="13"/>
        </w:numPr>
        <w:spacing w:line="360" w:lineRule="auto"/>
        <w:rPr>
          <w:rFonts w:eastAsia="楷体_GB2312" w:hint="eastAsia"/>
          <w:bCs/>
          <w:sz w:val="24"/>
        </w:rPr>
      </w:pPr>
      <w:r>
        <w:rPr>
          <w:rFonts w:eastAsia="楷体_GB2312" w:hint="eastAsia"/>
          <w:bCs/>
          <w:sz w:val="24"/>
        </w:rPr>
        <w:t>筹资综合年利率对于业务部门和承办人来说，是公司下达的指标之一。公司确定这一指标时的主要依据，是资金部门的信息和预测。一旦这一指标确定，则可同时用于考核这两大部门。对于业务部门来说，是据以预测新项目的收益和据以考核履行中的合同的应得收益；对于资金部门来说，则是用于同该部门实际发生的筹资成本作比较，从而考核其业绩。</w:t>
      </w:r>
    </w:p>
    <w:p w:rsidR="00C9049E" w:rsidRDefault="00C9049E" w:rsidP="00E92C7E">
      <w:pPr>
        <w:numPr>
          <w:ilvl w:val="0"/>
          <w:numId w:val="13"/>
        </w:numPr>
        <w:spacing w:line="360" w:lineRule="auto"/>
        <w:rPr>
          <w:rFonts w:eastAsia="楷体_GB2312" w:hint="eastAsia"/>
          <w:bCs/>
          <w:sz w:val="24"/>
        </w:rPr>
      </w:pPr>
      <w:r>
        <w:rPr>
          <w:rFonts w:eastAsia="楷体_GB2312" w:hint="eastAsia"/>
          <w:bCs/>
          <w:sz w:val="24"/>
        </w:rPr>
        <w:t>资金年净收益率也是公司下达的一个重要指标。公司确定这一指标的依据，是董事会依据资金市场的平均利润率、融资租赁市场的平均收益率和股东的赢利要求而作出的决定。就后者而言，在符合资本充足率不得低于</w:t>
      </w:r>
      <w:r>
        <w:rPr>
          <w:rFonts w:eastAsia="楷体_GB2312" w:hint="eastAsia"/>
          <w:bCs/>
          <w:sz w:val="24"/>
        </w:rPr>
        <w:t>10%</w:t>
      </w:r>
      <w:r>
        <w:rPr>
          <w:rFonts w:eastAsia="楷体_GB2312" w:hint="eastAsia"/>
          <w:bCs/>
          <w:sz w:val="24"/>
        </w:rPr>
        <w:t>的规定和最大限度运用资金的情况下，可以得出资金年净收益率的指标。例如，假设所有者权益是</w:t>
      </w:r>
      <w:r>
        <w:rPr>
          <w:rFonts w:eastAsia="楷体_GB2312"/>
          <w:bCs/>
          <w:sz w:val="24"/>
        </w:rPr>
        <w:t>5</w:t>
      </w:r>
      <w:r>
        <w:rPr>
          <w:rFonts w:eastAsia="楷体_GB2312" w:hint="eastAsia"/>
          <w:bCs/>
          <w:sz w:val="24"/>
        </w:rPr>
        <w:t>00,000,000,00</w:t>
      </w:r>
      <w:r>
        <w:rPr>
          <w:rFonts w:eastAsia="楷体_GB2312" w:hint="eastAsia"/>
          <w:bCs/>
          <w:sz w:val="24"/>
        </w:rPr>
        <w:t>，则年可运用资金的最大是</w:t>
      </w:r>
      <w:r>
        <w:rPr>
          <w:rFonts w:eastAsia="楷体_GB2312" w:hint="eastAsia"/>
          <w:bCs/>
          <w:sz w:val="24"/>
        </w:rPr>
        <w:t>5,000,000,000.00</w:t>
      </w:r>
      <w:r>
        <w:rPr>
          <w:rFonts w:eastAsia="楷体_GB2312" w:hint="eastAsia"/>
          <w:bCs/>
          <w:sz w:val="24"/>
        </w:rPr>
        <w:t>。如果股东要求的资本税后利润率是</w:t>
      </w:r>
      <w:r>
        <w:rPr>
          <w:rFonts w:eastAsia="楷体_GB2312" w:hint="eastAsia"/>
          <w:bCs/>
          <w:sz w:val="24"/>
        </w:rPr>
        <w:t>10%</w:t>
      </w:r>
      <w:r>
        <w:rPr>
          <w:rFonts w:eastAsia="楷体_GB2312" w:hint="eastAsia"/>
          <w:bCs/>
          <w:sz w:val="24"/>
        </w:rPr>
        <w:t>，即，</w:t>
      </w:r>
      <w:r>
        <w:rPr>
          <w:rFonts w:eastAsia="楷体_GB2312" w:hint="eastAsia"/>
          <w:bCs/>
          <w:sz w:val="24"/>
        </w:rPr>
        <w:t>50,000,000.00</w:t>
      </w:r>
      <w:r>
        <w:rPr>
          <w:rFonts w:eastAsia="楷体_GB2312" w:hint="eastAsia"/>
          <w:bCs/>
          <w:sz w:val="24"/>
        </w:rPr>
        <w:t>，则按照表</w:t>
      </w:r>
      <w:r>
        <w:rPr>
          <w:rFonts w:eastAsia="楷体_GB2312" w:hint="eastAsia"/>
          <w:bCs/>
          <w:sz w:val="24"/>
        </w:rPr>
        <w:t>C2</w:t>
      </w:r>
      <w:r>
        <w:rPr>
          <w:rFonts w:eastAsia="楷体_GB2312" w:hint="eastAsia"/>
          <w:bCs/>
          <w:sz w:val="24"/>
        </w:rPr>
        <w:t>的条件，这一赢利要求可以予以满足。这时，公司的以</w:t>
      </w:r>
      <w:r>
        <w:rPr>
          <w:rFonts w:eastAsia="楷体_GB2312" w:hint="eastAsia"/>
          <w:bCs/>
          <w:sz w:val="24"/>
        </w:rPr>
        <w:t>7%</w:t>
      </w:r>
      <w:r>
        <w:rPr>
          <w:rFonts w:eastAsia="楷体_GB2312" w:hint="eastAsia"/>
          <w:bCs/>
          <w:sz w:val="24"/>
        </w:rPr>
        <w:t>为折现率所计算出的资金年净收益率指标就将是</w:t>
      </w:r>
      <w:r>
        <w:rPr>
          <w:rFonts w:eastAsia="楷体_GB2312" w:hint="eastAsia"/>
          <w:bCs/>
          <w:sz w:val="24"/>
        </w:rPr>
        <w:t>0.8430%</w:t>
      </w:r>
      <w:r>
        <w:rPr>
          <w:rFonts w:eastAsia="楷体_GB2312" w:hint="eastAsia"/>
          <w:bCs/>
          <w:sz w:val="24"/>
        </w:rPr>
        <w:t>。</w:t>
      </w:r>
    </w:p>
    <w:p w:rsidR="00C9049E" w:rsidRDefault="00C9049E" w:rsidP="00E92C7E">
      <w:pPr>
        <w:spacing w:line="360" w:lineRule="auto"/>
        <w:rPr>
          <w:rFonts w:eastAsia="楷体_GB2312" w:hint="eastAsia"/>
          <w:bCs/>
          <w:sz w:val="24"/>
        </w:rPr>
      </w:pPr>
    </w:p>
    <w:p w:rsidR="00C9049E" w:rsidRDefault="00C9049E" w:rsidP="00E92C7E">
      <w:pPr>
        <w:spacing w:line="360" w:lineRule="auto"/>
        <w:rPr>
          <w:rFonts w:eastAsia="黑体"/>
          <w:bCs/>
          <w:sz w:val="28"/>
        </w:rPr>
        <w:sectPr w:rsidR="00C9049E">
          <w:footerReference w:type="even" r:id="rId7"/>
          <w:footerReference w:type="default" r:id="rId8"/>
          <w:pgSz w:w="11907" w:h="16840" w:code="9"/>
          <w:pgMar w:top="1134" w:right="1134" w:bottom="1134" w:left="1134" w:header="851" w:footer="992" w:gutter="0"/>
          <w:cols w:space="425"/>
          <w:docGrid w:linePitch="312"/>
        </w:sectPr>
      </w:pPr>
      <w:r>
        <w:rPr>
          <w:rFonts w:eastAsia="楷体_GB2312" w:hint="eastAsia"/>
          <w:bCs/>
          <w:sz w:val="24"/>
        </w:rPr>
        <w:t xml:space="preserve">                                                                </w:t>
      </w:r>
      <w:r>
        <w:rPr>
          <w:rFonts w:eastAsia="黑体" w:hint="eastAsia"/>
          <w:bCs/>
          <w:sz w:val="28"/>
        </w:rPr>
        <w:t xml:space="preserve"> </w:t>
      </w:r>
      <w:r>
        <w:rPr>
          <w:rFonts w:eastAsia="黑体" w:hint="eastAsia"/>
          <w:bCs/>
          <w:sz w:val="28"/>
        </w:rPr>
        <w:t>裘</w:t>
      </w:r>
      <w:r>
        <w:rPr>
          <w:rFonts w:eastAsia="黑体" w:hint="eastAsia"/>
          <w:bCs/>
          <w:sz w:val="28"/>
        </w:rPr>
        <w:t xml:space="preserve"> </w:t>
      </w:r>
      <w:r>
        <w:rPr>
          <w:rFonts w:eastAsia="黑体" w:hint="eastAsia"/>
          <w:bCs/>
          <w:sz w:val="28"/>
        </w:rPr>
        <w:t>企</w:t>
      </w:r>
      <w:r>
        <w:rPr>
          <w:rFonts w:eastAsia="黑体" w:hint="eastAsia"/>
          <w:bCs/>
          <w:sz w:val="28"/>
        </w:rPr>
        <w:t xml:space="preserve"> </w:t>
      </w:r>
      <w:r>
        <w:rPr>
          <w:rFonts w:eastAsia="黑体" w:hint="eastAsia"/>
          <w:bCs/>
          <w:sz w:val="28"/>
        </w:rPr>
        <w:t>阳</w:t>
      </w:r>
    </w:p>
    <w:p w:rsidR="00C9049E" w:rsidRDefault="00C9049E" w:rsidP="00E92C7E">
      <w:pPr>
        <w:spacing w:line="360" w:lineRule="auto"/>
        <w:ind w:left="465"/>
        <w:rPr>
          <w:rFonts w:eastAsia="楷体_GB2312"/>
          <w:bCs/>
          <w:sz w:val="24"/>
        </w:rPr>
      </w:pPr>
    </w:p>
    <w:p w:rsidR="00C9049E" w:rsidRDefault="00C9049E" w:rsidP="00E92C7E">
      <w:pPr>
        <w:spacing w:line="360" w:lineRule="auto"/>
        <w:ind w:left="465"/>
        <w:rPr>
          <w:rFonts w:eastAsia="楷体_GB2312"/>
          <w:bCs/>
          <w:sz w:val="24"/>
        </w:rPr>
      </w:pPr>
    </w:p>
    <w:p w:rsidR="00C9049E" w:rsidRDefault="00C9049E" w:rsidP="00E92C7E">
      <w:pPr>
        <w:spacing w:line="360" w:lineRule="auto"/>
        <w:ind w:left="465"/>
        <w:rPr>
          <w:rFonts w:eastAsia="楷体_GB2312"/>
          <w:bCs/>
          <w:sz w:val="24"/>
        </w:rPr>
      </w:pPr>
    </w:p>
    <w:p w:rsidR="00C9049E" w:rsidRDefault="00C9049E" w:rsidP="00E92C7E">
      <w:pPr>
        <w:spacing w:line="360" w:lineRule="auto"/>
        <w:ind w:left="465"/>
        <w:rPr>
          <w:rFonts w:eastAsia="楷体_GB2312" w:hint="eastAsia"/>
          <w:bCs/>
          <w:sz w:val="24"/>
        </w:rPr>
      </w:pPr>
    </w:p>
    <w:tbl>
      <w:tblPr>
        <w:tblW w:w="0" w:type="auto"/>
        <w:tblInd w:w="-180" w:type="dxa"/>
        <w:tblLayout w:type="fixed"/>
        <w:tblCellMar>
          <w:left w:w="30" w:type="dxa"/>
          <w:right w:w="30" w:type="dxa"/>
        </w:tblCellMar>
        <w:tblLook w:val="0000" w:firstRow="0" w:lastRow="0" w:firstColumn="0" w:lastColumn="0" w:noHBand="0" w:noVBand="0"/>
      </w:tblPr>
      <w:tblGrid>
        <w:gridCol w:w="630"/>
        <w:gridCol w:w="1365"/>
        <w:gridCol w:w="315"/>
        <w:gridCol w:w="476"/>
        <w:gridCol w:w="1414"/>
        <w:gridCol w:w="1183"/>
        <w:gridCol w:w="917"/>
        <w:gridCol w:w="735"/>
        <w:gridCol w:w="1027"/>
        <w:gridCol w:w="1073"/>
        <w:gridCol w:w="1470"/>
        <w:gridCol w:w="1124"/>
        <w:gridCol w:w="1186"/>
        <w:gridCol w:w="1540"/>
      </w:tblGrid>
      <w:tr w:rsidR="00C9049E">
        <w:tblPrEx>
          <w:tblCellMar>
            <w:top w:w="0" w:type="dxa"/>
            <w:bottom w:w="0" w:type="dxa"/>
          </w:tblCellMar>
        </w:tblPrEx>
        <w:trPr>
          <w:cantSplit/>
          <w:trHeight w:val="1853"/>
        </w:trPr>
        <w:tc>
          <w:tcPr>
            <w:tcW w:w="14455" w:type="dxa"/>
            <w:gridSpan w:val="14"/>
            <w:tcBorders>
              <w:top w:val="nil"/>
              <w:bottom w:val="single" w:sz="12" w:space="0" w:color="auto"/>
            </w:tcBorders>
          </w:tcPr>
          <w:p w:rsidR="00C9049E" w:rsidRPr="00E00ECB" w:rsidRDefault="00C9049E" w:rsidP="005E3F94">
            <w:pPr>
              <w:pStyle w:val="1"/>
              <w:rPr>
                <w:rFonts w:hint="eastAsia"/>
              </w:rPr>
            </w:pPr>
          </w:p>
          <w:p w:rsidR="00C9049E" w:rsidRPr="00E00ECB" w:rsidRDefault="00C9049E" w:rsidP="005E3F94">
            <w:pPr>
              <w:pStyle w:val="1"/>
              <w:rPr>
                <w:rFonts w:ascii="宋体"/>
              </w:rPr>
            </w:pPr>
            <w:r w:rsidRPr="00E00ECB">
              <w:rPr>
                <w:rFonts w:hint="eastAsia"/>
              </w:rPr>
              <w:t>各种条件下的融资租赁合同收益对比</w:t>
            </w:r>
          </w:p>
        </w:tc>
      </w:tr>
      <w:tr w:rsidR="00C9049E">
        <w:tblPrEx>
          <w:tblCellMar>
            <w:top w:w="0" w:type="dxa"/>
            <w:bottom w:w="0" w:type="dxa"/>
          </w:tblCellMar>
        </w:tblPrEx>
        <w:trPr>
          <w:trHeight w:val="418"/>
        </w:trPr>
        <w:tc>
          <w:tcPr>
            <w:tcW w:w="630" w:type="dxa"/>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表号</w:t>
            </w:r>
          </w:p>
        </w:tc>
        <w:tc>
          <w:tcPr>
            <w:tcW w:w="136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w:t>
            </w:r>
            <w:r>
              <w:rPr>
                <w:rFonts w:eastAsia="黑体"/>
                <w:bCs/>
                <w:color w:val="000000"/>
                <w:sz w:val="18"/>
              </w:rPr>
              <w:t xml:space="preserve">  </w:t>
            </w:r>
            <w:r>
              <w:rPr>
                <w:rFonts w:ascii="黑体" w:eastAsia="黑体" w:hint="eastAsia"/>
                <w:bCs/>
                <w:color w:val="000000"/>
                <w:sz w:val="18"/>
              </w:rPr>
              <w:t>金</w:t>
            </w:r>
          </w:p>
        </w:tc>
        <w:tc>
          <w:tcPr>
            <w:tcW w:w="31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期数</w:t>
            </w:r>
          </w:p>
        </w:tc>
        <w:tc>
          <w:tcPr>
            <w:tcW w:w="476"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每期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月数</w:t>
            </w:r>
          </w:p>
        </w:tc>
        <w:tc>
          <w:tcPr>
            <w:tcW w:w="1414"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租赁</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18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917"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费用率</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筹资</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027"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07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收益净现值</w:t>
            </w:r>
          </w:p>
        </w:tc>
        <w:tc>
          <w:tcPr>
            <w:tcW w:w="147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资金年净</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收益率</w:t>
            </w:r>
          </w:p>
        </w:tc>
        <w:tc>
          <w:tcPr>
            <w:tcW w:w="1124"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186"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收益净现值</w:t>
            </w:r>
          </w:p>
        </w:tc>
        <w:tc>
          <w:tcPr>
            <w:tcW w:w="154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资金年净</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收益率</w:t>
            </w:r>
          </w:p>
        </w:tc>
      </w:tr>
      <w:tr w:rsidR="00C9049E">
        <w:tblPrEx>
          <w:tblCellMar>
            <w:top w:w="0" w:type="dxa"/>
            <w:bottom w:w="0" w:type="dxa"/>
          </w:tblCellMar>
        </w:tblPrEx>
        <w:trPr>
          <w:trHeight w:val="269"/>
        </w:trPr>
        <w:tc>
          <w:tcPr>
            <w:tcW w:w="630" w:type="dxa"/>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A1 </w:t>
            </w:r>
          </w:p>
        </w:tc>
        <w:tc>
          <w:tcPr>
            <w:tcW w:w="136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1,800,959.61 </w:t>
            </w:r>
          </w:p>
        </w:tc>
        <w:tc>
          <w:tcPr>
            <w:tcW w:w="917"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w:t>
            </w:r>
            <w:r>
              <w:rPr>
                <w:rFonts w:eastAsia="黑体" w:hint="eastAsia"/>
                <w:bCs/>
                <w:color w:val="000000"/>
              </w:rPr>
              <w:t>000</w:t>
            </w:r>
            <w:r>
              <w:rPr>
                <w:rFonts w:eastAsia="黑体"/>
                <w:bCs/>
                <w:color w:val="000000"/>
              </w:rPr>
              <w:t>%</w:t>
            </w:r>
          </w:p>
        </w:tc>
        <w:tc>
          <w:tcPr>
            <w:tcW w:w="73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31,763.14 </w:t>
            </w:r>
          </w:p>
        </w:tc>
        <w:tc>
          <w:tcPr>
            <w:tcW w:w="1073"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26,879.99 </w:t>
            </w:r>
          </w:p>
        </w:tc>
        <w:tc>
          <w:tcPr>
            <w:tcW w:w="147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1.49253732%</w:t>
            </w:r>
          </w:p>
        </w:tc>
        <w:tc>
          <w:tcPr>
            <w:tcW w:w="1124"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21,281.31 </w:t>
            </w:r>
          </w:p>
        </w:tc>
        <w:tc>
          <w:tcPr>
            <w:tcW w:w="1186"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18,009.60 </w:t>
            </w:r>
          </w:p>
        </w:tc>
        <w:tc>
          <w:tcPr>
            <w:tcW w:w="1540" w:type="dxa"/>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1.00000000%</w:t>
            </w:r>
          </w:p>
        </w:tc>
      </w:tr>
      <w:tr w:rsidR="00C9049E">
        <w:tblPrEx>
          <w:tblCellMar>
            <w:top w:w="0" w:type="dxa"/>
            <w:bottom w:w="0" w:type="dxa"/>
          </w:tblCellMar>
        </w:tblPrEx>
        <w:trPr>
          <w:trHeight w:val="269"/>
        </w:trPr>
        <w:tc>
          <w:tcPr>
            <w:tcW w:w="630"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A2 </w:t>
            </w:r>
          </w:p>
        </w:tc>
        <w:tc>
          <w:tcPr>
            <w:tcW w:w="136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4,000,000.00 </w:t>
            </w:r>
          </w:p>
        </w:tc>
        <w:tc>
          <w:tcPr>
            <w:tcW w:w="31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9,004,798.07 </w:t>
            </w:r>
          </w:p>
        </w:tc>
        <w:tc>
          <w:tcPr>
            <w:tcW w:w="91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w:t>
            </w:r>
            <w:r>
              <w:rPr>
                <w:rFonts w:eastAsia="黑体" w:hint="eastAsia"/>
                <w:bCs/>
                <w:color w:val="000000"/>
              </w:rPr>
              <w:t>000</w:t>
            </w:r>
            <w:r>
              <w:rPr>
                <w:rFonts w:eastAsia="黑体"/>
                <w:bCs/>
                <w:color w:val="000000"/>
              </w:rPr>
              <w:t>%</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158,815.71 </w:t>
            </w:r>
          </w:p>
        </w:tc>
        <w:tc>
          <w:tcPr>
            <w:tcW w:w="107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134,399.97 </w:t>
            </w:r>
          </w:p>
        </w:tc>
        <w:tc>
          <w:tcPr>
            <w:tcW w:w="14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1.49253732%</w:t>
            </w:r>
          </w:p>
        </w:tc>
        <w:tc>
          <w:tcPr>
            <w:tcW w:w="112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106,406.53 </w:t>
            </w:r>
          </w:p>
        </w:tc>
        <w:tc>
          <w:tcPr>
            <w:tcW w:w="118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90,047.98 </w:t>
            </w:r>
          </w:p>
        </w:tc>
        <w:tc>
          <w:tcPr>
            <w:tcW w:w="154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1.00000000%</w:t>
            </w:r>
          </w:p>
        </w:tc>
      </w:tr>
      <w:tr w:rsidR="00C9049E">
        <w:tblPrEx>
          <w:tblCellMar>
            <w:top w:w="0" w:type="dxa"/>
            <w:bottom w:w="0" w:type="dxa"/>
          </w:tblCellMar>
        </w:tblPrEx>
        <w:trPr>
          <w:trHeight w:val="269"/>
        </w:trPr>
        <w:tc>
          <w:tcPr>
            <w:tcW w:w="630"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A3 </w:t>
            </w:r>
          </w:p>
        </w:tc>
        <w:tc>
          <w:tcPr>
            <w:tcW w:w="136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10.17875668%</w:t>
            </w:r>
          </w:p>
        </w:tc>
        <w:tc>
          <w:tcPr>
            <w:tcW w:w="11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1,806,508.42 </w:t>
            </w:r>
          </w:p>
        </w:tc>
        <w:tc>
          <w:tcPr>
            <w:tcW w:w="91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w:t>
            </w:r>
            <w:r>
              <w:rPr>
                <w:rFonts w:eastAsia="黑体" w:hint="eastAsia"/>
                <w:bCs/>
                <w:color w:val="000000"/>
              </w:rPr>
              <w:t>000</w:t>
            </w:r>
            <w:r>
              <w:rPr>
                <w:rFonts w:eastAsia="黑体"/>
                <w:bCs/>
                <w:color w:val="000000"/>
              </w:rPr>
              <w:t>%</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7.5%</w:t>
            </w:r>
          </w:p>
        </w:tc>
        <w:tc>
          <w:tcPr>
            <w:tcW w:w="102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32,241.06 </w:t>
            </w:r>
          </w:p>
        </w:tc>
        <w:tc>
          <w:tcPr>
            <w:tcW w:w="107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26,962.81 </w:t>
            </w:r>
          </w:p>
        </w:tc>
        <w:tc>
          <w:tcPr>
            <w:tcW w:w="14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1.49253732%</w:t>
            </w:r>
          </w:p>
        </w:tc>
        <w:tc>
          <w:tcPr>
            <w:tcW w:w="112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21,601.51 </w:t>
            </w:r>
          </w:p>
        </w:tc>
        <w:tc>
          <w:tcPr>
            <w:tcW w:w="118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18,065.08 </w:t>
            </w:r>
          </w:p>
        </w:tc>
        <w:tc>
          <w:tcPr>
            <w:tcW w:w="154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1.00000000%</w:t>
            </w:r>
          </w:p>
        </w:tc>
      </w:tr>
      <w:tr w:rsidR="00C9049E">
        <w:tblPrEx>
          <w:tblCellMar>
            <w:top w:w="0" w:type="dxa"/>
            <w:bottom w:w="0" w:type="dxa"/>
          </w:tblCellMar>
        </w:tblPrEx>
        <w:trPr>
          <w:trHeight w:val="269"/>
        </w:trPr>
        <w:tc>
          <w:tcPr>
            <w:tcW w:w="630"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A4 </w:t>
            </w:r>
          </w:p>
        </w:tc>
        <w:tc>
          <w:tcPr>
            <w:tcW w:w="136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9.10022764%</w:t>
            </w:r>
          </w:p>
        </w:tc>
        <w:tc>
          <w:tcPr>
            <w:tcW w:w="11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1,795,399.85 </w:t>
            </w:r>
          </w:p>
        </w:tc>
        <w:tc>
          <w:tcPr>
            <w:tcW w:w="91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w:t>
            </w:r>
            <w:r>
              <w:rPr>
                <w:rFonts w:eastAsia="黑体" w:hint="eastAsia"/>
                <w:bCs/>
                <w:color w:val="000000"/>
              </w:rPr>
              <w:t>000</w:t>
            </w:r>
            <w:r>
              <w:rPr>
                <w:rFonts w:eastAsia="黑体"/>
                <w:bCs/>
                <w:color w:val="000000"/>
              </w:rPr>
              <w:t>%</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6.5%</w:t>
            </w:r>
          </w:p>
        </w:tc>
        <w:tc>
          <w:tcPr>
            <w:tcW w:w="102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31,291.17 </w:t>
            </w:r>
          </w:p>
        </w:tc>
        <w:tc>
          <w:tcPr>
            <w:tcW w:w="107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26,797.01 </w:t>
            </w:r>
          </w:p>
        </w:tc>
        <w:tc>
          <w:tcPr>
            <w:tcW w:w="14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1.49253732%</w:t>
            </w:r>
          </w:p>
        </w:tc>
        <w:tc>
          <w:tcPr>
            <w:tcW w:w="112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20,965.08 </w:t>
            </w:r>
          </w:p>
        </w:tc>
        <w:tc>
          <w:tcPr>
            <w:tcW w:w="118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17,954.00 </w:t>
            </w:r>
          </w:p>
        </w:tc>
        <w:tc>
          <w:tcPr>
            <w:tcW w:w="154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1.00000000%</w:t>
            </w:r>
          </w:p>
        </w:tc>
      </w:tr>
      <w:tr w:rsidR="00C9049E">
        <w:tblPrEx>
          <w:tblCellMar>
            <w:top w:w="0" w:type="dxa"/>
            <w:bottom w:w="0" w:type="dxa"/>
          </w:tblCellMar>
        </w:tblPrEx>
        <w:trPr>
          <w:trHeight w:val="269"/>
        </w:trPr>
        <w:tc>
          <w:tcPr>
            <w:tcW w:w="630"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A5 </w:t>
            </w:r>
          </w:p>
        </w:tc>
        <w:tc>
          <w:tcPr>
            <w:tcW w:w="136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9.31250000%</w:t>
            </w:r>
          </w:p>
        </w:tc>
        <w:tc>
          <w:tcPr>
            <w:tcW w:w="11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1,797,589.91 </w:t>
            </w:r>
          </w:p>
        </w:tc>
        <w:tc>
          <w:tcPr>
            <w:tcW w:w="91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0.1896%</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31,468.54 </w:t>
            </w:r>
          </w:p>
        </w:tc>
        <w:tc>
          <w:tcPr>
            <w:tcW w:w="107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26,829.70 </w:t>
            </w:r>
          </w:p>
        </w:tc>
        <w:tc>
          <w:tcPr>
            <w:tcW w:w="14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1.49253732%</w:t>
            </w:r>
          </w:p>
        </w:tc>
        <w:tc>
          <w:tcPr>
            <w:tcW w:w="112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21,083.92 </w:t>
            </w:r>
          </w:p>
        </w:tc>
        <w:tc>
          <w:tcPr>
            <w:tcW w:w="118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17,975.90 </w:t>
            </w:r>
          </w:p>
        </w:tc>
        <w:tc>
          <w:tcPr>
            <w:tcW w:w="154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1.00000000%</w:t>
            </w:r>
          </w:p>
        </w:tc>
      </w:tr>
      <w:tr w:rsidR="00C9049E">
        <w:tblPrEx>
          <w:tblCellMar>
            <w:top w:w="0" w:type="dxa"/>
            <w:bottom w:w="0" w:type="dxa"/>
          </w:tblCellMar>
        </w:tblPrEx>
        <w:trPr>
          <w:trHeight w:val="254"/>
        </w:trPr>
        <w:tc>
          <w:tcPr>
            <w:tcW w:w="630"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A6 </w:t>
            </w:r>
          </w:p>
        </w:tc>
        <w:tc>
          <w:tcPr>
            <w:tcW w:w="136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1,800,959.61 </w:t>
            </w:r>
          </w:p>
        </w:tc>
        <w:tc>
          <w:tcPr>
            <w:tcW w:w="91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1.0000%</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22,758.34 </w:t>
            </w:r>
          </w:p>
        </w:tc>
        <w:tc>
          <w:tcPr>
            <w:tcW w:w="107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18,771.30 </w:t>
            </w:r>
          </w:p>
        </w:tc>
        <w:tc>
          <w:tcPr>
            <w:tcW w:w="14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1.04229442%</w:t>
            </w:r>
          </w:p>
        </w:tc>
        <w:tc>
          <w:tcPr>
            <w:tcW w:w="112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15,248.09 </w:t>
            </w:r>
          </w:p>
        </w:tc>
        <w:tc>
          <w:tcPr>
            <w:tcW w:w="118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12,576.77 </w:t>
            </w:r>
          </w:p>
        </w:tc>
        <w:tc>
          <w:tcPr>
            <w:tcW w:w="154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0.69833726%</w:t>
            </w:r>
          </w:p>
        </w:tc>
      </w:tr>
      <w:tr w:rsidR="00C9049E">
        <w:tblPrEx>
          <w:tblCellMar>
            <w:top w:w="0" w:type="dxa"/>
            <w:bottom w:w="0" w:type="dxa"/>
          </w:tblCellMar>
        </w:tblPrEx>
        <w:trPr>
          <w:trHeight w:val="273"/>
        </w:trPr>
        <w:tc>
          <w:tcPr>
            <w:tcW w:w="630" w:type="dxa"/>
            <w:tcBorders>
              <w:top w:val="single" w:sz="6"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A7 </w:t>
            </w:r>
          </w:p>
        </w:tc>
        <w:tc>
          <w:tcPr>
            <w:tcW w:w="136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7.85790524%</w:t>
            </w:r>
          </w:p>
        </w:tc>
        <w:tc>
          <w:tcPr>
            <w:tcW w:w="118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1,782,547.03 </w:t>
            </w:r>
          </w:p>
        </w:tc>
        <w:tc>
          <w:tcPr>
            <w:tcW w:w="917"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0.00</w:t>
            </w:r>
          </w:p>
        </w:tc>
        <w:tc>
          <w:tcPr>
            <w:tcW w:w="107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0.00   </w:t>
            </w:r>
          </w:p>
        </w:tc>
        <w:tc>
          <w:tcPr>
            <w:tcW w:w="147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0.00000000%</w:t>
            </w:r>
          </w:p>
        </w:tc>
        <w:tc>
          <w:tcPr>
            <w:tcW w:w="1124"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0.00   </w:t>
            </w:r>
          </w:p>
        </w:tc>
        <w:tc>
          <w:tcPr>
            <w:tcW w:w="1186"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0.00   </w:t>
            </w:r>
          </w:p>
        </w:tc>
        <w:tc>
          <w:tcPr>
            <w:tcW w:w="1540" w:type="dxa"/>
            <w:tcBorders>
              <w:top w:val="single" w:sz="6"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0.00000000%</w:t>
            </w:r>
          </w:p>
        </w:tc>
      </w:tr>
      <w:tr w:rsidR="00C9049E">
        <w:tblPrEx>
          <w:tblCellMar>
            <w:top w:w="0" w:type="dxa"/>
            <w:bottom w:w="0" w:type="dxa"/>
          </w:tblCellMar>
        </w:tblPrEx>
        <w:trPr>
          <w:trHeight w:val="295"/>
        </w:trPr>
        <w:tc>
          <w:tcPr>
            <w:tcW w:w="630" w:type="dxa"/>
            <w:tcBorders>
              <w:top w:val="single" w:sz="4"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A8 </w:t>
            </w:r>
          </w:p>
        </w:tc>
        <w:tc>
          <w:tcPr>
            <w:tcW w:w="1365"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8</w:t>
            </w:r>
          </w:p>
        </w:tc>
        <w:tc>
          <w:tcPr>
            <w:tcW w:w="476"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6</w:t>
            </w:r>
          </w:p>
        </w:tc>
        <w:tc>
          <w:tcPr>
            <w:tcW w:w="1414"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1,898,614.29 </w:t>
            </w:r>
          </w:p>
        </w:tc>
        <w:tc>
          <w:tcPr>
            <w:tcW w:w="917"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33,321.62 </w:t>
            </w:r>
          </w:p>
        </w:tc>
        <w:tc>
          <w:tcPr>
            <w:tcW w:w="1073"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28,039.24 </w:t>
            </w:r>
          </w:p>
        </w:tc>
        <w:tc>
          <w:tcPr>
            <w:tcW w:w="147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1.47682640%</w:t>
            </w:r>
          </w:p>
        </w:tc>
        <w:tc>
          <w:tcPr>
            <w:tcW w:w="1124"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22,325.48 </w:t>
            </w:r>
          </w:p>
        </w:tc>
        <w:tc>
          <w:tcPr>
            <w:tcW w:w="1186"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18,786.29 </w:t>
            </w:r>
          </w:p>
        </w:tc>
        <w:tc>
          <w:tcPr>
            <w:tcW w:w="1540" w:type="dxa"/>
            <w:tcBorders>
              <w:top w:val="single" w:sz="4"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0.98947368%</w:t>
            </w:r>
          </w:p>
        </w:tc>
      </w:tr>
      <w:tr w:rsidR="00C9049E">
        <w:tblPrEx>
          <w:tblCellMar>
            <w:top w:w="0" w:type="dxa"/>
            <w:bottom w:w="0" w:type="dxa"/>
          </w:tblCellMar>
        </w:tblPrEx>
        <w:trPr>
          <w:trHeight w:val="153"/>
        </w:trPr>
        <w:tc>
          <w:tcPr>
            <w:tcW w:w="630"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A9 </w:t>
            </w:r>
          </w:p>
        </w:tc>
        <w:tc>
          <w:tcPr>
            <w:tcW w:w="136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20</w:t>
            </w:r>
          </w:p>
        </w:tc>
        <w:tc>
          <w:tcPr>
            <w:tcW w:w="47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2,257,758.49 </w:t>
            </w:r>
          </w:p>
        </w:tc>
        <w:tc>
          <w:tcPr>
            <w:tcW w:w="91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40,405.40 </w:t>
            </w:r>
          </w:p>
        </w:tc>
        <w:tc>
          <w:tcPr>
            <w:tcW w:w="107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32,915.58 </w:t>
            </w:r>
          </w:p>
        </w:tc>
        <w:tc>
          <w:tcPr>
            <w:tcW w:w="14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1.45788765%</w:t>
            </w:r>
          </w:p>
        </w:tc>
        <w:tc>
          <w:tcPr>
            <w:tcW w:w="112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27,071.62 </w:t>
            </w:r>
          </w:p>
        </w:tc>
        <w:tc>
          <w:tcPr>
            <w:tcW w:w="1186"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22,053.44 </w:t>
            </w:r>
          </w:p>
        </w:tc>
        <w:tc>
          <w:tcPr>
            <w:tcW w:w="154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0.97678473%</w:t>
            </w:r>
          </w:p>
        </w:tc>
      </w:tr>
      <w:tr w:rsidR="00C9049E">
        <w:tblPrEx>
          <w:tblCellMar>
            <w:top w:w="0" w:type="dxa"/>
            <w:bottom w:w="0" w:type="dxa"/>
          </w:tblCellMar>
        </w:tblPrEx>
        <w:trPr>
          <w:cantSplit/>
          <w:trHeight w:val="230"/>
        </w:trPr>
        <w:tc>
          <w:tcPr>
            <w:tcW w:w="630" w:type="dxa"/>
            <w:tcBorders>
              <w:top w:val="single" w:sz="6"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 xml:space="preserve"> A10 </w:t>
            </w:r>
          </w:p>
        </w:tc>
        <w:tc>
          <w:tcPr>
            <w:tcW w:w="136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10</w:t>
            </w:r>
          </w:p>
        </w:tc>
        <w:tc>
          <w:tcPr>
            <w:tcW w:w="476"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6</w:t>
            </w:r>
          </w:p>
        </w:tc>
        <w:tc>
          <w:tcPr>
            <w:tcW w:w="1414"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2,354,760.59 </w:t>
            </w:r>
          </w:p>
        </w:tc>
        <w:tc>
          <w:tcPr>
            <w:tcW w:w="917"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41,931.99 </w:t>
            </w:r>
          </w:p>
        </w:tc>
        <w:tc>
          <w:tcPr>
            <w:tcW w:w="107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33,975.18 </w:t>
            </w:r>
          </w:p>
        </w:tc>
        <w:tc>
          <w:tcPr>
            <w:tcW w:w="147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1.44282966%</w:t>
            </w:r>
          </w:p>
        </w:tc>
        <w:tc>
          <w:tcPr>
            <w:tcW w:w="1124"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28,094.43 </w:t>
            </w:r>
          </w:p>
        </w:tc>
        <w:tc>
          <w:tcPr>
            <w:tcW w:w="1186"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22,763.37 </w:t>
            </w:r>
          </w:p>
        </w:tc>
        <w:tc>
          <w:tcPr>
            <w:tcW w:w="1540" w:type="dxa"/>
            <w:tcBorders>
              <w:top w:val="single" w:sz="6"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0.96669587%</w:t>
            </w:r>
          </w:p>
        </w:tc>
      </w:tr>
      <w:tr w:rsidR="00C9049E">
        <w:tblPrEx>
          <w:tblCellMar>
            <w:top w:w="0" w:type="dxa"/>
            <w:bottom w:w="0" w:type="dxa"/>
          </w:tblCellMar>
        </w:tblPrEx>
        <w:trPr>
          <w:cantSplit/>
          <w:trHeight w:val="135"/>
        </w:trPr>
        <w:tc>
          <w:tcPr>
            <w:tcW w:w="630" w:type="dxa"/>
            <w:tcBorders>
              <w:top w:val="single" w:sz="4" w:space="0" w:color="auto"/>
              <w:left w:val="single" w:sz="12" w:space="0" w:color="auto"/>
              <w:bottom w:val="single" w:sz="4" w:space="0" w:color="auto"/>
              <w:right w:val="single" w:sz="6" w:space="0" w:color="auto"/>
            </w:tcBorders>
            <w:vAlign w:val="center"/>
          </w:tcPr>
          <w:p w:rsidR="00C9049E" w:rsidRDefault="00C9049E" w:rsidP="00E92C7E">
            <w:pPr>
              <w:spacing w:line="360" w:lineRule="auto"/>
              <w:jc w:val="center"/>
              <w:rPr>
                <w:rFonts w:hint="eastAsia"/>
                <w:bCs/>
              </w:rPr>
            </w:pPr>
            <w:r>
              <w:rPr>
                <w:bCs/>
              </w:rPr>
              <w:t>B1</w:t>
            </w:r>
          </w:p>
        </w:tc>
        <w:tc>
          <w:tcPr>
            <w:tcW w:w="136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1,700,000.00</w:t>
            </w:r>
          </w:p>
        </w:tc>
        <w:tc>
          <w:tcPr>
            <w:tcW w:w="91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28,686.57</w:t>
            </w:r>
          </w:p>
        </w:tc>
        <w:tc>
          <w:tcPr>
            <w:tcW w:w="107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25,908.35</w:t>
            </w:r>
          </w:p>
        </w:tc>
        <w:tc>
          <w:tcPr>
            <w:tcW w:w="1470"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1.52402048%</w:t>
            </w:r>
          </w:p>
        </w:tc>
        <w:tc>
          <w:tcPr>
            <w:tcW w:w="112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19,220.00</w:t>
            </w:r>
          </w:p>
        </w:tc>
        <w:tc>
          <w:tcPr>
            <w:tcW w:w="118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17,358.59</w:t>
            </w:r>
          </w:p>
        </w:tc>
        <w:tc>
          <w:tcPr>
            <w:tcW w:w="1540" w:type="dxa"/>
            <w:tcBorders>
              <w:top w:val="single" w:sz="4"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1.02109372%</w:t>
            </w:r>
          </w:p>
        </w:tc>
      </w:tr>
      <w:tr w:rsidR="00C9049E">
        <w:tblPrEx>
          <w:tblCellMar>
            <w:top w:w="0" w:type="dxa"/>
            <w:bottom w:w="0" w:type="dxa"/>
          </w:tblCellMar>
        </w:tblPrEx>
        <w:trPr>
          <w:trHeight w:val="240"/>
        </w:trPr>
        <w:tc>
          <w:tcPr>
            <w:tcW w:w="630" w:type="dxa"/>
            <w:tcBorders>
              <w:top w:val="single" w:sz="4"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B2</w:t>
            </w:r>
          </w:p>
        </w:tc>
        <w:tc>
          <w:tcPr>
            <w:tcW w:w="136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9.60326153%</w:t>
            </w:r>
          </w:p>
        </w:tc>
        <w:tc>
          <w:tcPr>
            <w:tcW w:w="118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1,700,000.00</w:t>
            </w:r>
          </w:p>
        </w:tc>
        <w:tc>
          <w:tcPr>
            <w:tcW w:w="91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28,093.96</w:t>
            </w:r>
          </w:p>
        </w:tc>
        <w:tc>
          <w:tcPr>
            <w:tcW w:w="107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25,373.13</w:t>
            </w:r>
          </w:p>
        </w:tc>
        <w:tc>
          <w:tcPr>
            <w:tcW w:w="1470"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1.49253731%</w:t>
            </w:r>
          </w:p>
        </w:tc>
        <w:tc>
          <w:tcPr>
            <w:tcW w:w="112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18,822.95</w:t>
            </w:r>
          </w:p>
        </w:tc>
        <w:tc>
          <w:tcPr>
            <w:tcW w:w="118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17,000.00</w:t>
            </w:r>
          </w:p>
        </w:tc>
        <w:tc>
          <w:tcPr>
            <w:tcW w:w="1540" w:type="dxa"/>
            <w:tcBorders>
              <w:top w:val="single" w:sz="4"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1.00000000%</w:t>
            </w:r>
          </w:p>
        </w:tc>
      </w:tr>
      <w:tr w:rsidR="00C9049E">
        <w:tblPrEx>
          <w:tblCellMar>
            <w:top w:w="0" w:type="dxa"/>
            <w:bottom w:w="0" w:type="dxa"/>
          </w:tblCellMar>
        </w:tblPrEx>
        <w:trPr>
          <w:trHeight w:val="195"/>
        </w:trPr>
        <w:tc>
          <w:tcPr>
            <w:tcW w:w="630" w:type="dxa"/>
            <w:tcBorders>
              <w:top w:val="single" w:sz="4"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B3</w:t>
            </w:r>
          </w:p>
        </w:tc>
        <w:tc>
          <w:tcPr>
            <w:tcW w:w="136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2,600,000.00</w:t>
            </w:r>
          </w:p>
        </w:tc>
        <w:tc>
          <w:tcPr>
            <w:tcW w:w="91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43,094.48</w:t>
            </w:r>
          </w:p>
        </w:tc>
        <w:tc>
          <w:tcPr>
            <w:tcW w:w="107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37,994.08</w:t>
            </w:r>
          </w:p>
        </w:tc>
        <w:tc>
          <w:tcPr>
            <w:tcW w:w="1470"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1.46131085%</w:t>
            </w:r>
          </w:p>
        </w:tc>
        <w:tc>
          <w:tcPr>
            <w:tcW w:w="112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28,873.30</w:t>
            </w:r>
          </w:p>
        </w:tc>
        <w:tc>
          <w:tcPr>
            <w:tcW w:w="118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25,456.04</w:t>
            </w:r>
          </w:p>
        </w:tc>
        <w:tc>
          <w:tcPr>
            <w:tcW w:w="1540" w:type="dxa"/>
            <w:tcBorders>
              <w:top w:val="single" w:sz="4"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0.97907827%</w:t>
            </w:r>
          </w:p>
        </w:tc>
      </w:tr>
      <w:tr w:rsidR="00C9049E">
        <w:tblPrEx>
          <w:tblCellMar>
            <w:top w:w="0" w:type="dxa"/>
            <w:bottom w:w="0" w:type="dxa"/>
          </w:tblCellMar>
        </w:tblPrEx>
        <w:trPr>
          <w:cantSplit/>
          <w:trHeight w:val="292"/>
        </w:trPr>
        <w:tc>
          <w:tcPr>
            <w:tcW w:w="630" w:type="dxa"/>
            <w:tcBorders>
              <w:top w:val="single" w:sz="4"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B4</w:t>
            </w:r>
          </w:p>
        </w:tc>
        <w:tc>
          <w:tcPr>
            <w:tcW w:w="136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800,000.00 </w:t>
            </w:r>
          </w:p>
        </w:tc>
        <w:tc>
          <w:tcPr>
            <w:tcW w:w="31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9.63945276%</w:t>
            </w:r>
          </w:p>
        </w:tc>
        <w:tc>
          <w:tcPr>
            <w:tcW w:w="118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2,600,000.00</w:t>
            </w:r>
          </w:p>
        </w:tc>
        <w:tc>
          <w:tcPr>
            <w:tcW w:w="91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hint="eastAsia"/>
                <w:bCs/>
                <w:color w:val="000000"/>
                <w:sz w:val="18"/>
              </w:rPr>
            </w:pPr>
            <w:r>
              <w:rPr>
                <w:rFonts w:eastAsia="黑体" w:hint="eastAsia"/>
                <w:bCs/>
                <w:color w:val="000000"/>
                <w:sz w:val="18"/>
              </w:rPr>
              <w:t>见表说明</w:t>
            </w:r>
          </w:p>
        </w:tc>
        <w:tc>
          <w:tcPr>
            <w:tcW w:w="735"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4</w:t>
            </w:r>
            <w:r>
              <w:rPr>
                <w:rFonts w:eastAsia="黑体"/>
                <w:bCs/>
                <w:i/>
                <w:color w:val="000000"/>
              </w:rPr>
              <w:t>7,</w:t>
            </w:r>
            <w:r>
              <w:rPr>
                <w:rFonts w:eastAsia="黑体" w:hint="eastAsia"/>
                <w:bCs/>
                <w:i/>
                <w:color w:val="000000"/>
              </w:rPr>
              <w:t>089</w:t>
            </w:r>
            <w:r>
              <w:rPr>
                <w:rFonts w:eastAsia="黑体"/>
                <w:bCs/>
                <w:i/>
                <w:color w:val="000000"/>
              </w:rPr>
              <w:t>.</w:t>
            </w:r>
            <w:r>
              <w:rPr>
                <w:rFonts w:eastAsia="黑体" w:hint="eastAsia"/>
                <w:bCs/>
                <w:i/>
                <w:color w:val="000000"/>
              </w:rPr>
              <w:t>68</w:t>
            </w:r>
          </w:p>
        </w:tc>
        <w:tc>
          <w:tcPr>
            <w:tcW w:w="1073"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41</w:t>
            </w:r>
            <w:r>
              <w:rPr>
                <w:rFonts w:eastAsia="黑体"/>
                <w:bCs/>
                <w:i/>
                <w:color w:val="000000"/>
              </w:rPr>
              <w:t>,</w:t>
            </w:r>
            <w:r>
              <w:rPr>
                <w:rFonts w:eastAsia="黑体" w:hint="eastAsia"/>
                <w:bCs/>
                <w:i/>
                <w:color w:val="000000"/>
              </w:rPr>
              <w:t>346</w:t>
            </w:r>
            <w:r>
              <w:rPr>
                <w:rFonts w:eastAsia="黑体"/>
                <w:bCs/>
                <w:i/>
                <w:color w:val="000000"/>
              </w:rPr>
              <w:t>.</w:t>
            </w:r>
            <w:r>
              <w:rPr>
                <w:rFonts w:eastAsia="黑体" w:hint="eastAsia"/>
                <w:bCs/>
                <w:i/>
                <w:color w:val="000000"/>
              </w:rPr>
              <w:t>79</w:t>
            </w:r>
          </w:p>
        </w:tc>
        <w:tc>
          <w:tcPr>
            <w:tcW w:w="1470"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hint="eastAsia"/>
                <w:bCs/>
                <w:i/>
                <w:color w:val="000000"/>
              </w:rPr>
            </w:pPr>
            <w:r>
              <w:rPr>
                <w:rFonts w:eastAsia="黑体" w:hint="eastAsia"/>
                <w:bCs/>
                <w:i/>
                <w:color w:val="000000"/>
              </w:rPr>
              <w:t>1.59026101%</w:t>
            </w:r>
          </w:p>
        </w:tc>
        <w:tc>
          <w:tcPr>
            <w:tcW w:w="1124"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31,550.09</w:t>
            </w:r>
          </w:p>
        </w:tc>
        <w:tc>
          <w:tcPr>
            <w:tcW w:w="1186" w:type="dxa"/>
            <w:tcBorders>
              <w:top w:val="single" w:sz="4"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27</w:t>
            </w:r>
            <w:r>
              <w:rPr>
                <w:rFonts w:eastAsia="黑体"/>
                <w:bCs/>
                <w:i/>
                <w:color w:val="000000"/>
              </w:rPr>
              <w:t>,</w:t>
            </w:r>
            <w:r>
              <w:rPr>
                <w:rFonts w:eastAsia="黑体" w:hint="eastAsia"/>
                <w:bCs/>
                <w:i/>
                <w:color w:val="000000"/>
              </w:rPr>
              <w:t>702.35</w:t>
            </w:r>
          </w:p>
        </w:tc>
        <w:tc>
          <w:tcPr>
            <w:tcW w:w="1540" w:type="dxa"/>
            <w:tcBorders>
              <w:top w:val="single" w:sz="4"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hint="eastAsia"/>
                <w:bCs/>
                <w:i/>
                <w:color w:val="000000"/>
              </w:rPr>
            </w:pPr>
            <w:r>
              <w:rPr>
                <w:rFonts w:eastAsia="黑体" w:hint="eastAsia"/>
                <w:bCs/>
                <w:i/>
                <w:color w:val="000000"/>
              </w:rPr>
              <w:t>1.06547488%</w:t>
            </w:r>
          </w:p>
        </w:tc>
      </w:tr>
      <w:tr w:rsidR="00C9049E">
        <w:tblPrEx>
          <w:tblCellMar>
            <w:top w:w="0" w:type="dxa"/>
            <w:bottom w:w="0" w:type="dxa"/>
          </w:tblCellMar>
        </w:tblPrEx>
        <w:trPr>
          <w:cantSplit/>
          <w:trHeight w:val="180"/>
        </w:trPr>
        <w:tc>
          <w:tcPr>
            <w:tcW w:w="630" w:type="dxa"/>
            <w:tcBorders>
              <w:top w:val="single" w:sz="4"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hint="eastAsia"/>
                <w:bCs/>
                <w:color w:val="000000"/>
              </w:rPr>
              <w:lastRenderedPageBreak/>
              <w:t>C</w:t>
            </w:r>
            <w:r>
              <w:rPr>
                <w:rFonts w:eastAsia="黑体"/>
                <w:bCs/>
                <w:color w:val="000000"/>
              </w:rPr>
              <w:t>1</w:t>
            </w:r>
          </w:p>
        </w:tc>
        <w:tc>
          <w:tcPr>
            <w:tcW w:w="1365"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2,224,526.11</w:t>
            </w:r>
          </w:p>
        </w:tc>
        <w:tc>
          <w:tcPr>
            <w:tcW w:w="315"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16</w:t>
            </w:r>
          </w:p>
        </w:tc>
        <w:tc>
          <w:tcPr>
            <w:tcW w:w="476"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3</w:t>
            </w:r>
          </w:p>
        </w:tc>
        <w:tc>
          <w:tcPr>
            <w:tcW w:w="1414"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color w:val="000000"/>
              </w:rPr>
            </w:pPr>
            <w:r>
              <w:rPr>
                <w:rFonts w:eastAsia="黑体"/>
                <w:bCs/>
                <w:color w:val="000000"/>
              </w:rPr>
              <w:t>9.36543650%</w:t>
            </w:r>
          </w:p>
        </w:tc>
        <w:tc>
          <w:tcPr>
            <w:tcW w:w="1183"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5,000,000.00</w:t>
            </w:r>
          </w:p>
        </w:tc>
        <w:tc>
          <w:tcPr>
            <w:tcW w:w="917"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0.5000%</w:t>
            </w:r>
          </w:p>
        </w:tc>
        <w:tc>
          <w:tcPr>
            <w:tcW w:w="735"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r>
              <w:rPr>
                <w:rFonts w:eastAsia="黑体"/>
                <w:bCs/>
                <w:color w:val="000000"/>
              </w:rPr>
              <w:t>7.0%</w:t>
            </w:r>
          </w:p>
        </w:tc>
        <w:tc>
          <w:tcPr>
            <w:tcW w:w="1027"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bCs/>
                <w:i/>
                <w:color w:val="000000"/>
              </w:rPr>
              <w:t>74,626.86</w:t>
            </w:r>
          </w:p>
        </w:tc>
        <w:tc>
          <w:tcPr>
            <w:tcW w:w="1073"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bCs/>
                <w:i/>
                <w:color w:val="000000"/>
              </w:rPr>
              <w:t>62,911.43</w:t>
            </w:r>
          </w:p>
        </w:tc>
        <w:tc>
          <w:tcPr>
            <w:tcW w:w="1470"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1.25822865%</w:t>
            </w:r>
          </w:p>
        </w:tc>
        <w:tc>
          <w:tcPr>
            <w:tcW w:w="1124"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50,000.00</w:t>
            </w:r>
          </w:p>
        </w:tc>
        <w:tc>
          <w:tcPr>
            <w:tcW w:w="1186"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42,150.66</w:t>
            </w:r>
          </w:p>
        </w:tc>
        <w:tc>
          <w:tcPr>
            <w:tcW w:w="1540" w:type="dxa"/>
            <w:tcBorders>
              <w:top w:val="single" w:sz="4"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eastAsia="黑体"/>
                <w:bCs/>
                <w:i/>
                <w:color w:val="000000"/>
              </w:rPr>
            </w:pPr>
            <w:r>
              <w:rPr>
                <w:rFonts w:eastAsia="黑体"/>
                <w:bCs/>
                <w:i/>
                <w:color w:val="000000"/>
              </w:rPr>
              <w:t>0.84301320%</w:t>
            </w:r>
          </w:p>
        </w:tc>
      </w:tr>
    </w:tbl>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tbl>
      <w:tblPr>
        <w:tblW w:w="0" w:type="auto"/>
        <w:tblInd w:w="-390" w:type="dxa"/>
        <w:tblLayout w:type="fixed"/>
        <w:tblCellMar>
          <w:left w:w="30" w:type="dxa"/>
          <w:right w:w="30" w:type="dxa"/>
        </w:tblCellMar>
        <w:tblLook w:val="0000" w:firstRow="0" w:lastRow="0" w:firstColumn="0" w:lastColumn="0" w:noHBand="0" w:noVBand="0"/>
      </w:tblPr>
      <w:tblGrid>
        <w:gridCol w:w="210"/>
        <w:gridCol w:w="525"/>
        <w:gridCol w:w="303"/>
        <w:gridCol w:w="642"/>
        <w:gridCol w:w="105"/>
        <w:gridCol w:w="210"/>
        <w:gridCol w:w="105"/>
        <w:gridCol w:w="42"/>
        <w:gridCol w:w="588"/>
        <w:gridCol w:w="210"/>
        <w:gridCol w:w="105"/>
        <w:gridCol w:w="105"/>
        <w:gridCol w:w="105"/>
        <w:gridCol w:w="420"/>
        <w:gridCol w:w="210"/>
        <w:gridCol w:w="105"/>
        <w:gridCol w:w="15"/>
        <w:gridCol w:w="62"/>
        <w:gridCol w:w="553"/>
        <w:gridCol w:w="315"/>
        <w:gridCol w:w="105"/>
        <w:gridCol w:w="107"/>
        <w:gridCol w:w="523"/>
        <w:gridCol w:w="210"/>
        <w:gridCol w:w="105"/>
        <w:gridCol w:w="218"/>
        <w:gridCol w:w="517"/>
        <w:gridCol w:w="105"/>
        <w:gridCol w:w="105"/>
        <w:gridCol w:w="105"/>
        <w:gridCol w:w="105"/>
        <w:gridCol w:w="630"/>
        <w:gridCol w:w="105"/>
        <w:gridCol w:w="105"/>
        <w:gridCol w:w="105"/>
        <w:gridCol w:w="420"/>
        <w:gridCol w:w="105"/>
        <w:gridCol w:w="105"/>
        <w:gridCol w:w="105"/>
        <w:gridCol w:w="105"/>
        <w:gridCol w:w="315"/>
        <w:gridCol w:w="210"/>
        <w:gridCol w:w="105"/>
        <w:gridCol w:w="105"/>
        <w:gridCol w:w="105"/>
        <w:gridCol w:w="105"/>
        <w:gridCol w:w="420"/>
        <w:gridCol w:w="105"/>
        <w:gridCol w:w="174"/>
        <w:gridCol w:w="36"/>
        <w:gridCol w:w="76"/>
        <w:gridCol w:w="14"/>
        <w:gridCol w:w="15"/>
        <w:gridCol w:w="105"/>
        <w:gridCol w:w="818"/>
        <w:gridCol w:w="42"/>
        <w:gridCol w:w="251"/>
        <w:gridCol w:w="44"/>
        <w:gridCol w:w="26"/>
        <w:gridCol w:w="79"/>
        <w:gridCol w:w="453"/>
        <w:gridCol w:w="14"/>
        <w:gridCol w:w="14"/>
        <w:gridCol w:w="266"/>
        <w:gridCol w:w="93"/>
        <w:gridCol w:w="677"/>
        <w:gridCol w:w="56"/>
        <w:gridCol w:w="14"/>
        <w:gridCol w:w="98"/>
        <w:gridCol w:w="100"/>
        <w:gridCol w:w="1260"/>
        <w:gridCol w:w="5"/>
      </w:tblGrid>
      <w:tr w:rsidR="00C9049E">
        <w:tblPrEx>
          <w:tblCellMar>
            <w:top w:w="0" w:type="dxa"/>
            <w:bottom w:w="0" w:type="dxa"/>
          </w:tblCellMar>
        </w:tblPrEx>
        <w:trPr>
          <w:cantSplit/>
          <w:trHeight w:val="3350"/>
        </w:trPr>
        <w:tc>
          <w:tcPr>
            <w:tcW w:w="15120" w:type="dxa"/>
            <w:gridSpan w:val="72"/>
            <w:tcBorders>
              <w:top w:val="nil"/>
              <w:bottom w:val="single" w:sz="12" w:space="0" w:color="auto"/>
            </w:tcBorders>
          </w:tcPr>
          <w:p w:rsidR="00C9049E" w:rsidRDefault="00C9049E" w:rsidP="00E92C7E">
            <w:pPr>
              <w:autoSpaceDE w:val="0"/>
              <w:autoSpaceDN w:val="0"/>
              <w:adjustRightInd w:val="0"/>
              <w:spacing w:line="360" w:lineRule="auto"/>
              <w:rPr>
                <w:rFonts w:ascii="楷体_GB2312" w:eastAsia="楷体_GB2312"/>
                <w:bCs/>
                <w:color w:val="000000"/>
                <w:sz w:val="32"/>
              </w:rPr>
            </w:pPr>
            <w:r>
              <w:rPr>
                <w:rFonts w:ascii="楷体_GB2312" w:eastAsia="楷体_GB2312"/>
                <w:bCs/>
                <w:color w:val="000000"/>
                <w:sz w:val="32"/>
              </w:rPr>
              <w:t xml:space="preserve">    </w:t>
            </w:r>
            <w:r>
              <w:rPr>
                <w:rFonts w:ascii="黑体" w:eastAsia="黑体" w:hint="eastAsia"/>
                <w:bCs/>
                <w:color w:val="000000"/>
                <w:sz w:val="28"/>
              </w:rPr>
              <w:t>表</w:t>
            </w:r>
            <w:r>
              <w:rPr>
                <w:rFonts w:ascii="黑体" w:eastAsia="黑体"/>
                <w:bCs/>
                <w:color w:val="000000"/>
                <w:sz w:val="28"/>
              </w:rPr>
              <w:t>A</w:t>
            </w:r>
            <w:r>
              <w:rPr>
                <w:rFonts w:ascii="楷体_GB2312" w:eastAsia="楷体_GB2312"/>
                <w:bCs/>
                <w:color w:val="000000"/>
                <w:sz w:val="28"/>
              </w:rPr>
              <w:t xml:space="preserve">1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w:t>
            </w:r>
            <w:r>
              <w:rPr>
                <w:rFonts w:ascii="楷体_GB2312" w:eastAsia="楷体_GB2312"/>
                <w:bCs/>
                <w:color w:val="000000"/>
                <w:sz w:val="28"/>
              </w:rPr>
              <w:t xml:space="preserve">     </w:t>
            </w:r>
            <w:r>
              <w:rPr>
                <w:rFonts w:ascii="楷体_GB2312" w:eastAsia="楷体_GB2312" w:hint="eastAsia"/>
                <w:bCs/>
                <w:color w:val="000000"/>
                <w:sz w:val="28"/>
              </w:rPr>
              <w:t>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jc w:val="center"/>
              <w:rPr>
                <w:rFonts w:ascii="仿宋_GB2312" w:eastAsia="仿宋_GB2312"/>
                <w:bCs/>
                <w:color w:val="000000"/>
                <w:sz w:val="52"/>
              </w:rPr>
            </w:pPr>
          </w:p>
          <w:p w:rsidR="00C9049E" w:rsidRPr="00691C75" w:rsidRDefault="00C9049E" w:rsidP="00E92C7E">
            <w:pPr>
              <w:autoSpaceDE w:val="0"/>
              <w:autoSpaceDN w:val="0"/>
              <w:adjustRightInd w:val="0"/>
              <w:spacing w:line="360" w:lineRule="auto"/>
              <w:jc w:val="center"/>
              <w:rPr>
                <w:rFonts w:ascii="宋体" w:hAnsi="宋体"/>
                <w:bCs/>
                <w:color w:val="000000"/>
                <w:sz w:val="44"/>
              </w:rPr>
            </w:pPr>
            <w:r w:rsidRPr="00691C75">
              <w:rPr>
                <w:rFonts w:ascii="宋体" w:hAnsi="宋体" w:hint="eastAsia"/>
                <w:bCs/>
                <w:color w:val="000000"/>
                <w:sz w:val="44"/>
              </w:rPr>
              <w:t>融资租赁合同的资金占用、租金构成、筹资成本、费用、税负、</w:t>
            </w:r>
          </w:p>
          <w:p w:rsidR="00C9049E" w:rsidRPr="00691C75" w:rsidRDefault="00C9049E" w:rsidP="00E92C7E">
            <w:pPr>
              <w:autoSpaceDE w:val="0"/>
              <w:autoSpaceDN w:val="0"/>
              <w:adjustRightInd w:val="0"/>
              <w:spacing w:line="360" w:lineRule="auto"/>
              <w:jc w:val="center"/>
              <w:rPr>
                <w:rFonts w:ascii="宋体" w:hAnsi="宋体"/>
                <w:bCs/>
                <w:color w:val="000000"/>
                <w:sz w:val="52"/>
              </w:rPr>
            </w:pPr>
            <w:r w:rsidRPr="00691C75">
              <w:rPr>
                <w:rFonts w:ascii="宋体" w:hAnsi="宋体" w:hint="eastAsia"/>
                <w:bCs/>
                <w:color w:val="000000"/>
                <w:sz w:val="44"/>
              </w:rPr>
              <w:t>税前税后收益净现值及资金年净收益率</w:t>
            </w:r>
          </w:p>
          <w:p w:rsidR="00C9049E" w:rsidRDefault="00C9049E" w:rsidP="00E92C7E">
            <w:pPr>
              <w:autoSpaceDE w:val="0"/>
              <w:autoSpaceDN w:val="0"/>
              <w:adjustRightInd w:val="0"/>
              <w:spacing w:line="360" w:lineRule="auto"/>
              <w:rPr>
                <w:rFonts w:ascii="楷体_GB2312" w:eastAsia="楷体_GB2312"/>
                <w:bCs/>
                <w:color w:val="000000"/>
                <w:sz w:val="32"/>
              </w:rPr>
            </w:pPr>
            <w:r>
              <w:rPr>
                <w:rFonts w:ascii="楷体_GB2312" w:eastAsia="楷体_GB2312"/>
                <w:bCs/>
                <w:color w:val="000000"/>
                <w:sz w:val="32"/>
              </w:rPr>
              <w:t xml:space="preserve">   </w:t>
            </w:r>
          </w:p>
          <w:p w:rsidR="00C9049E" w:rsidRDefault="00C9049E" w:rsidP="00E92C7E">
            <w:pPr>
              <w:autoSpaceDE w:val="0"/>
              <w:autoSpaceDN w:val="0"/>
              <w:adjustRightInd w:val="0"/>
              <w:spacing w:line="360" w:lineRule="auto"/>
              <w:rPr>
                <w:rFonts w:ascii="宋体"/>
                <w:bCs/>
                <w:color w:val="000000"/>
                <w:sz w:val="28"/>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283"/>
        </w:trPr>
        <w:tc>
          <w:tcPr>
            <w:tcW w:w="735"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期次</w:t>
            </w:r>
          </w:p>
        </w:tc>
        <w:tc>
          <w:tcPr>
            <w:tcW w:w="1050"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本期初本金余额</w:t>
            </w:r>
          </w:p>
        </w:tc>
        <w:tc>
          <w:tcPr>
            <w:tcW w:w="115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折合占用</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一年资金</w:t>
            </w:r>
          </w:p>
        </w:tc>
        <w:tc>
          <w:tcPr>
            <w:tcW w:w="1065"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租赁综合</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年利率</w:t>
            </w:r>
          </w:p>
        </w:tc>
        <w:tc>
          <w:tcPr>
            <w:tcW w:w="10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本期</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租金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其中含</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其中含</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还本</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付息</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营业税</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营业费用</w:t>
            </w: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前收益</w:t>
            </w: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所得税前</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收益折现值</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后收益</w:t>
            </w:r>
          </w:p>
        </w:tc>
        <w:tc>
          <w:tcPr>
            <w:tcW w:w="1365" w:type="dxa"/>
            <w:gridSpan w:val="3"/>
            <w:tcBorders>
              <w:top w:val="single" w:sz="12" w:space="0" w:color="auto"/>
              <w:left w:val="single" w:sz="6" w:space="0" w:color="auto"/>
              <w:bottom w:val="single" w:sz="12" w:space="0" w:color="auto"/>
              <w:right w:val="single" w:sz="4"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收益折现值</w:t>
            </w:r>
          </w:p>
        </w:tc>
      </w:tr>
      <w:tr w:rsidR="00C9049E">
        <w:tblPrEx>
          <w:tblCellMar>
            <w:top w:w="0" w:type="dxa"/>
            <w:bottom w:w="0" w:type="dxa"/>
          </w:tblCellMar>
        </w:tblPrEx>
        <w:trPr>
          <w:trHeight w:val="103"/>
        </w:trPr>
        <w:tc>
          <w:tcPr>
            <w:tcW w:w="735"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050"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155"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1065" w:type="dxa"/>
            <w:gridSpan w:val="7"/>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60,850.17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41,571.26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 </w:t>
            </w:r>
          </w:p>
        </w:tc>
        <w:tc>
          <w:tcPr>
            <w:tcW w:w="945" w:type="dxa"/>
            <w:gridSpan w:val="8"/>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1,126.56 </w:t>
            </w:r>
          </w:p>
        </w:tc>
        <w:tc>
          <w:tcPr>
            <w:tcW w:w="126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1,107.18 </w:t>
            </w:r>
          </w:p>
        </w:tc>
        <w:tc>
          <w:tcPr>
            <w:tcW w:w="852"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371.76 </w:t>
            </w:r>
          </w:p>
        </w:tc>
        <w:tc>
          <w:tcPr>
            <w:tcW w:w="933"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754.79 </w:t>
            </w:r>
          </w:p>
        </w:tc>
        <w:tc>
          <w:tcPr>
            <w:tcW w:w="1365" w:type="dxa"/>
            <w:gridSpan w:val="3"/>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741.81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758,428.74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189,607.18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42,573.07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18,277.10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913.85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948.04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1,228.61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1,186.72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405.44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823.17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795.10 </w:t>
            </w:r>
          </w:p>
        </w:tc>
      </w:tr>
      <w:tr w:rsidR="00C9049E">
        <w:tblPrEx>
          <w:tblCellMar>
            <w:top w:w="0" w:type="dxa"/>
            <w:bottom w:w="0" w:type="dxa"/>
          </w:tblCellMar>
        </w:tblPrEx>
        <w:trPr>
          <w:trHeight w:val="20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715,855.67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178,963.92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43,599.02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17,251.14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862.56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894.82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1,333.13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1,265.52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439.93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893.20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847.90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4</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672,256.65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168,064.16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44,649.70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16,200.47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810.02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840.32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1,440.16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1,343.61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475.25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964.91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900.22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627,606.95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156,901.74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45,725.70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15,124.47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756.22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784.51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1,549.77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1,421.01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511.42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1,038.35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952.07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581,881.25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145,470.31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46,827.62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14,022.54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701.13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727.35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1,662.03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1,497.72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548.47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1,113.56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1,003.47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535,053.62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133,763.41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47,956.11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12,894.06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644.70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668.82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1,776.98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1,573.78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586.40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1,190.58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1,054.43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487,097.52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121,774.38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49,111.78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11,738.38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586.92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608.87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1,894.71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1,649.18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625.26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1,269.46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1,104.95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437,985.74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109,496.43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50,295.31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10,554.86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527.74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547.48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2,015.28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1,723.95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665.04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1,350.24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1,155.05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387,690.43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96,922.61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51,507.36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9,342.81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467.14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484.61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2,138.75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1,798.11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705.79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1,432.96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1,204.73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336,183.07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84,045.77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52,748.61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8,101.55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405.08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420.23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2,265.20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1,871.66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747.52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1,517.68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1,254.01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283,434.46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70,858.61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54,019.78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6,830.38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341.52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354.29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2,394.69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1,944.63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790.25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1,604.44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1,302.90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229,414.68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57,353.67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55,321.59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5,528.58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276.43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286.77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2,527.31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2,017.02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834.01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1,693.30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1,351.40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174,093.09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43,523.27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56,654.76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4,195.41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209.77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217.62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2,663.12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2,088.86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878.83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1,784.29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1,399.53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117,438.33 </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29,359.58 </w:t>
            </w:r>
          </w:p>
        </w:tc>
        <w:tc>
          <w:tcPr>
            <w:tcW w:w="106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58,020.06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2,830.10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141.51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146.80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2,802.20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2,160.15 </w:t>
            </w: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924.73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1,877.47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1,447.30 </w:t>
            </w:r>
          </w:p>
        </w:tc>
      </w:tr>
      <w:tr w:rsidR="00C9049E">
        <w:tblPrEx>
          <w:tblCellMar>
            <w:top w:w="0" w:type="dxa"/>
            <w:bottom w:w="0" w:type="dxa"/>
          </w:tblCellMar>
        </w:tblPrEx>
        <w:trPr>
          <w:trHeight w:val="202"/>
        </w:trPr>
        <w:tc>
          <w:tcPr>
            <w:tcW w:w="735"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050"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59,418.27 </w:t>
            </w:r>
          </w:p>
        </w:tc>
        <w:tc>
          <w:tcPr>
            <w:tcW w:w="1155"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14,854.57 </w:t>
            </w:r>
          </w:p>
        </w:tc>
        <w:tc>
          <w:tcPr>
            <w:tcW w:w="1065" w:type="dxa"/>
            <w:gridSpan w:val="7"/>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3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59,418.27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1,431.90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71.59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74.27 </w:t>
            </w:r>
          </w:p>
        </w:tc>
        <w:tc>
          <w:tcPr>
            <w:tcW w:w="945" w:type="dxa"/>
            <w:gridSpan w:val="8"/>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2,944.64 </w:t>
            </w:r>
          </w:p>
        </w:tc>
        <w:tc>
          <w:tcPr>
            <w:tcW w:w="126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2,230.90 </w:t>
            </w:r>
          </w:p>
        </w:tc>
        <w:tc>
          <w:tcPr>
            <w:tcW w:w="852"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971.73 </w:t>
            </w:r>
          </w:p>
        </w:tc>
        <w:tc>
          <w:tcPr>
            <w:tcW w:w="933"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1,972.91 </w:t>
            </w:r>
          </w:p>
        </w:tc>
        <w:tc>
          <w:tcPr>
            <w:tcW w:w="1365" w:type="dxa"/>
            <w:gridSpan w:val="3"/>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1,494.71 </w:t>
            </w:r>
          </w:p>
        </w:tc>
      </w:tr>
      <w:tr w:rsidR="00C9049E">
        <w:tblPrEx>
          <w:tblCellMar>
            <w:top w:w="0" w:type="dxa"/>
            <w:bottom w:w="0" w:type="dxa"/>
          </w:tblCellMar>
        </w:tblPrEx>
        <w:trPr>
          <w:cantSplit/>
          <w:trHeight w:val="250"/>
        </w:trPr>
        <w:tc>
          <w:tcPr>
            <w:tcW w:w="1785" w:type="dxa"/>
            <w:gridSpan w:val="5"/>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15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1,800,959.61 </w:t>
            </w:r>
          </w:p>
        </w:tc>
        <w:tc>
          <w:tcPr>
            <w:tcW w:w="1065"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973,602.65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rFonts w:hint="eastAsia"/>
                <w:bCs/>
                <w:i/>
                <w:color w:val="000000"/>
                <w:sz w:val="18"/>
              </w:rPr>
              <w:t>1</w:t>
            </w:r>
            <w:r>
              <w:rPr>
                <w:bCs/>
                <w:i/>
                <w:color w:val="000000"/>
                <w:sz w:val="18"/>
              </w:rPr>
              <w:t xml:space="preserve">73,602.65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924,154.58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8,680.13 </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9,004.80 </w:t>
            </w: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31,763.14 </w:t>
            </w: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26,879.99 </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10,481.84 </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21,281.31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18,009.60 </w:t>
            </w:r>
          </w:p>
        </w:tc>
      </w:tr>
      <w:tr w:rsidR="00C9049E">
        <w:tblPrEx>
          <w:tblCellMar>
            <w:top w:w="0" w:type="dxa"/>
            <w:bottom w:w="0" w:type="dxa"/>
          </w:tblCellMar>
        </w:tblPrEx>
        <w:trPr>
          <w:trHeight w:val="415"/>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收益净现值</w:t>
            </w:r>
          </w:p>
        </w:tc>
        <w:tc>
          <w:tcPr>
            <w:tcW w:w="115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65"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26,879.99 </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18,009.60 </w:t>
            </w:r>
          </w:p>
        </w:tc>
      </w:tr>
      <w:tr w:rsidR="00C9049E">
        <w:tblPrEx>
          <w:tblCellMar>
            <w:top w:w="0" w:type="dxa"/>
            <w:bottom w:w="0" w:type="dxa"/>
          </w:tblCellMar>
        </w:tblPrEx>
        <w:trPr>
          <w:trHeight w:val="421"/>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资金年净收益率</w:t>
            </w:r>
          </w:p>
        </w:tc>
        <w:tc>
          <w:tcPr>
            <w:tcW w:w="1155" w:type="dxa"/>
            <w:gridSpan w:val="5"/>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65" w:type="dxa"/>
            <w:gridSpan w:val="7"/>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3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1.49253732%</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1.00000000%</w:t>
            </w:r>
          </w:p>
        </w:tc>
      </w:tr>
      <w:tr w:rsidR="00C9049E">
        <w:tblPrEx>
          <w:tblCellMar>
            <w:top w:w="0" w:type="dxa"/>
            <w:bottom w:w="0" w:type="dxa"/>
          </w:tblCellMar>
        </w:tblPrEx>
        <w:trPr>
          <w:cantSplit/>
          <w:trHeight w:val="3551"/>
        </w:trPr>
        <w:tc>
          <w:tcPr>
            <w:tcW w:w="15120" w:type="dxa"/>
            <w:gridSpan w:val="72"/>
            <w:tcBorders>
              <w:bottom w:val="nil"/>
            </w:tcBorders>
          </w:tcPr>
          <w:p w:rsidR="00C9049E" w:rsidRDefault="00C9049E" w:rsidP="00E92C7E">
            <w:pPr>
              <w:autoSpaceDE w:val="0"/>
              <w:autoSpaceDN w:val="0"/>
              <w:adjustRightInd w:val="0"/>
              <w:spacing w:line="360" w:lineRule="auto"/>
              <w:rPr>
                <w:rFonts w:ascii="楷体_GB2312" w:eastAsia="楷体_GB2312"/>
                <w:bCs/>
                <w:color w:val="000000"/>
                <w:sz w:val="28"/>
              </w:rPr>
            </w:pPr>
            <w:r>
              <w:rPr>
                <w:rFonts w:ascii="楷体_GB2312" w:eastAsia="楷体_GB2312"/>
                <w:bCs/>
                <w:color w:val="000000"/>
                <w:sz w:val="32"/>
              </w:rPr>
              <w:lastRenderedPageBreak/>
              <w:t xml:space="preserve">    </w:t>
            </w:r>
            <w:r>
              <w:rPr>
                <w:rFonts w:ascii="黑体" w:eastAsia="黑体" w:hint="eastAsia"/>
                <w:bCs/>
                <w:color w:val="000000"/>
                <w:sz w:val="28"/>
              </w:rPr>
              <w:t>表</w:t>
            </w:r>
            <w:r>
              <w:rPr>
                <w:rFonts w:ascii="黑体" w:eastAsia="黑体"/>
                <w:bCs/>
                <w:color w:val="000000"/>
                <w:sz w:val="28"/>
              </w:rPr>
              <w:t>A2</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jc w:val="center"/>
              <w:rPr>
                <w:rFonts w:ascii="仿宋_GB2312" w:eastAsia="仿宋_GB2312" w:hint="eastAsia"/>
                <w:bCs/>
                <w:color w:val="000000"/>
                <w:sz w:val="52"/>
              </w:rPr>
            </w:pPr>
            <w:r>
              <w:rPr>
                <w:rFonts w:ascii="仿宋_GB2312" w:eastAsia="仿宋_GB2312"/>
                <w:bCs/>
                <w:color w:val="000000"/>
                <w:sz w:val="52"/>
              </w:rPr>
              <w:t xml:space="preserve">   </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仿宋_GB2312" w:eastAsia="仿宋_GB2312" w:hint="eastAsia"/>
                <w:bCs/>
                <w:color w:val="000000"/>
                <w:sz w:val="52"/>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仿宋_GB2312" w:eastAsia="仿宋_GB2312"/>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楷体_GB2312" w:eastAsia="楷体_GB2312" w:hint="eastAsia"/>
                <w:bCs/>
                <w:color w:val="000000"/>
                <w:sz w:val="28"/>
              </w:rPr>
            </w:pPr>
            <w:r>
              <w:rPr>
                <w:rFonts w:ascii="楷体_GB2312" w:eastAsia="楷体_GB2312"/>
                <w:bCs/>
                <w:color w:val="000000"/>
                <w:sz w:val="28"/>
              </w:rPr>
              <w:t xml:space="preserve">    </w:t>
            </w:r>
          </w:p>
          <w:p w:rsidR="00C9049E" w:rsidRDefault="00C9049E" w:rsidP="00E92C7E">
            <w:pPr>
              <w:autoSpaceDE w:val="0"/>
              <w:autoSpaceDN w:val="0"/>
              <w:adjustRightInd w:val="0"/>
              <w:spacing w:line="360" w:lineRule="auto"/>
              <w:jc w:val="center"/>
              <w:rPr>
                <w:rFonts w:ascii="宋体"/>
                <w:bCs/>
                <w:color w:val="000000"/>
                <w:sz w:val="24"/>
              </w:rPr>
            </w:pPr>
            <w:r>
              <w:rPr>
                <w:rFonts w:ascii="楷体_GB2312" w:eastAsia="楷体_GB2312" w:hint="eastAsia"/>
                <w:bCs/>
                <w:color w:val="000000"/>
                <w:sz w:val="28"/>
              </w:rPr>
              <w:t>本金：</w:t>
            </w:r>
            <w:r>
              <w:rPr>
                <w:rFonts w:ascii="楷体_GB2312" w:eastAsia="楷体_GB2312"/>
                <w:bCs/>
                <w:color w:val="000000"/>
                <w:sz w:val="28"/>
              </w:rPr>
              <w:t>4,000,000.00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341"/>
        </w:trPr>
        <w:tc>
          <w:tcPr>
            <w:tcW w:w="735"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期次</w:t>
            </w:r>
          </w:p>
        </w:tc>
        <w:tc>
          <w:tcPr>
            <w:tcW w:w="1050"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本期初</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本金余额</w:t>
            </w:r>
          </w:p>
        </w:tc>
        <w:tc>
          <w:tcPr>
            <w:tcW w:w="115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折合占用</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一年资金</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租赁综合</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年利率</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本期</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租金</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其中含</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其中含</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还本</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付息</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营业税</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营业</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费用</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所得税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前收益</w:t>
            </w:r>
          </w:p>
        </w:tc>
        <w:tc>
          <w:tcPr>
            <w:tcW w:w="132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所得税前</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收益折现值</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所得税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后收益</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所得税后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收益折现值</w:t>
            </w:r>
          </w:p>
        </w:tc>
      </w:tr>
      <w:tr w:rsidR="00C9049E">
        <w:tblPrEx>
          <w:tblCellMar>
            <w:top w:w="0" w:type="dxa"/>
            <w:bottom w:w="0" w:type="dxa"/>
          </w:tblCellMar>
        </w:tblPrEx>
        <w:trPr>
          <w:trHeight w:val="211"/>
        </w:trPr>
        <w:tc>
          <w:tcPr>
            <w:tcW w:w="735" w:type="dxa"/>
            <w:gridSpan w:val="2"/>
            <w:tcBorders>
              <w:top w:val="single" w:sz="12"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050" w:type="dxa"/>
            <w:gridSpan w:val="3"/>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4,000,000.00 </w:t>
            </w:r>
          </w:p>
        </w:tc>
        <w:tc>
          <w:tcPr>
            <w:tcW w:w="1155"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1,000,000.00 </w:t>
            </w:r>
          </w:p>
        </w:tc>
        <w:tc>
          <w:tcPr>
            <w:tcW w:w="945"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304,250.83 </w:t>
            </w:r>
          </w:p>
        </w:tc>
        <w:tc>
          <w:tcPr>
            <w:tcW w:w="1050"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207,856.30 </w:t>
            </w:r>
          </w:p>
        </w:tc>
        <w:tc>
          <w:tcPr>
            <w:tcW w:w="945" w:type="dxa"/>
            <w:gridSpan w:val="4"/>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96,394.53 </w:t>
            </w:r>
          </w:p>
        </w:tc>
        <w:tc>
          <w:tcPr>
            <w:tcW w:w="1050"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4,819.73 </w:t>
            </w:r>
          </w:p>
        </w:tc>
        <w:tc>
          <w:tcPr>
            <w:tcW w:w="840"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 </w:t>
            </w:r>
          </w:p>
        </w:tc>
        <w:tc>
          <w:tcPr>
            <w:tcW w:w="945" w:type="dxa"/>
            <w:gridSpan w:val="6"/>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5,632.80 </w:t>
            </w:r>
          </w:p>
        </w:tc>
        <w:tc>
          <w:tcPr>
            <w:tcW w:w="1321" w:type="dxa"/>
            <w:gridSpan w:val="7"/>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5,535.92 </w:t>
            </w:r>
          </w:p>
        </w:tc>
        <w:tc>
          <w:tcPr>
            <w:tcW w:w="896" w:type="dxa"/>
            <w:gridSpan w:val="7"/>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1,858.82 </w:t>
            </w:r>
          </w:p>
        </w:tc>
        <w:tc>
          <w:tcPr>
            <w:tcW w:w="933" w:type="dxa"/>
            <w:gridSpan w:val="5"/>
            <w:tcBorders>
              <w:top w:val="single" w:sz="12"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3,773.97 </w:t>
            </w:r>
          </w:p>
        </w:tc>
        <w:tc>
          <w:tcPr>
            <w:tcW w:w="1365" w:type="dxa"/>
            <w:gridSpan w:val="3"/>
            <w:tcBorders>
              <w:top w:val="single" w:sz="12"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3,709.06 </w:t>
            </w:r>
          </w:p>
        </w:tc>
      </w:tr>
      <w:tr w:rsidR="00C9049E">
        <w:tblPrEx>
          <w:tblCellMar>
            <w:top w:w="0" w:type="dxa"/>
            <w:bottom w:w="0" w:type="dxa"/>
          </w:tblCellMar>
        </w:tblPrEx>
        <w:trPr>
          <w:trHeight w:val="65"/>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3,792,143.70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948,035.92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212,865.35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91,385.48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4,569.27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4,740.18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6,143.07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5,933.58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2,027.21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4,115.86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3,975.50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3,579,278.35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894,819.59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217,995.12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86,255.71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4,312.79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4,474.10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6,665.64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6,327.59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2,199.66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4,465.98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4,239.49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3,361,283.23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840,320.81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223,248.50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81,002.33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4,050.12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4,201.60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7,200.80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6,718.05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2,376.26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4,824.54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4,501.09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3,138,034.73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784,508.68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228,628.48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75,622.34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3,781.12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3,922.54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7,748.86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7,105.03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2,557.12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5,191.74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4,760.37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2,909,406.24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727,351.56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234,138.12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70,112.71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3,505.64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3,636.76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8,310.13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7,488.61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2,742.34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5,567.79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5,017.37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2,675,268.12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668,817.03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239,780.53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64,470.30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3,223.52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3,344.09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8,884.92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7,868.88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2,932.02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5,952.90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5,272.15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2,435,487.60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608,871.90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245,558.91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58,691.92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2,934.60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3,044.36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9,473.57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8,245.90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3,126.28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6,347.29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5,524.75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2,189,928.69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547,482.17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251,476.54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52,774.29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2,638.71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2,737.41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10,076.40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8,619.77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3,325.21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6,751.19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5,775.24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1</w:t>
            </w:r>
            <w:r>
              <w:rPr>
                <w:rFonts w:eastAsia="黑体"/>
                <w:bCs/>
                <w:i/>
                <w:color w:val="000000"/>
                <w:sz w:val="18"/>
              </w:rPr>
              <w:t xml:space="preserve"> ,938,452.15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484,613.04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257,536.78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46,714.04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2,335.70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2,423.07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10,693.76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8,990.55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3,528.94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7,164.82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6,023.67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1,680,915.36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420,228.84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263,743.07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w:t>
            </w:r>
            <w:r>
              <w:rPr>
                <w:rFonts w:eastAsia="黑体" w:hint="eastAsia"/>
                <w:bCs/>
                <w:i/>
                <w:color w:val="000000"/>
                <w:sz w:val="18"/>
              </w:rPr>
              <w:t>4</w:t>
            </w:r>
            <w:r>
              <w:rPr>
                <w:rFonts w:eastAsia="黑体"/>
                <w:bCs/>
                <w:i/>
                <w:color w:val="000000"/>
                <w:sz w:val="18"/>
              </w:rPr>
              <w:t xml:space="preserve">0,507.76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2,025.39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2,101.14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11,325.99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9,358.31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3,737.58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7,588.41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6,270.07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12</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1,417,172.29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354,293.07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270,098.92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34,151.91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1,707.60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1,771.47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11,973.46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9,723.14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3,951.24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8,022.22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6,514.51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1</w:t>
            </w:r>
            <w:r>
              <w:rPr>
                <w:rFonts w:eastAsia="黑体"/>
                <w:bCs/>
                <w:i/>
                <w:color w:val="000000"/>
                <w:sz w:val="18"/>
              </w:rPr>
              <w:t xml:space="preserve"> ,147,073.38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286,768.34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276,607.93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27,642.90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1,382.14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 xml:space="preserve"> </w:t>
            </w:r>
            <w:r>
              <w:rPr>
                <w:rFonts w:eastAsia="黑体"/>
                <w:bCs/>
                <w:i/>
                <w:color w:val="000000"/>
                <w:sz w:val="18"/>
              </w:rPr>
              <w:t xml:space="preserve">1,433.84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12,636.54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10,085.11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4,170.06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8,466.48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6,757.02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870,465.45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217,616.36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283,273.80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20,977.03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1,048.85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 xml:space="preserve"> </w:t>
            </w:r>
            <w:r>
              <w:rPr>
                <w:rFonts w:eastAsia="黑体"/>
                <w:bCs/>
                <w:i/>
                <w:color w:val="000000"/>
                <w:sz w:val="18"/>
              </w:rPr>
              <w:t xml:space="preserve">1,088.08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13,315.59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10,444.28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4,394.14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8,921.45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6,997.67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050" w:type="dxa"/>
            <w:gridSpan w:val="3"/>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587,191.65 </w:t>
            </w:r>
          </w:p>
        </w:tc>
        <w:tc>
          <w:tcPr>
            <w:tcW w:w="115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146,797.91 </w:t>
            </w:r>
          </w:p>
        </w:tc>
        <w:tc>
          <w:tcPr>
            <w:tcW w:w="945"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290,100.31 </w:t>
            </w:r>
          </w:p>
        </w:tc>
        <w:tc>
          <w:tcPr>
            <w:tcW w:w="945" w:type="dxa"/>
            <w:gridSpan w:val="4"/>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14,150.52 </w:t>
            </w:r>
          </w:p>
        </w:tc>
        <w:tc>
          <w:tcPr>
            <w:tcW w:w="105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707.53 </w:t>
            </w:r>
          </w:p>
        </w:tc>
        <w:tc>
          <w:tcPr>
            <w:tcW w:w="840"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733.99 </w:t>
            </w:r>
          </w:p>
        </w:tc>
        <w:tc>
          <w:tcPr>
            <w:tcW w:w="945" w:type="dxa"/>
            <w:gridSpan w:val="6"/>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14,011.01 </w:t>
            </w:r>
          </w:p>
        </w:tc>
        <w:tc>
          <w:tcPr>
            <w:tcW w:w="1321"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10,800.73 </w:t>
            </w:r>
          </w:p>
        </w:tc>
        <w:tc>
          <w:tcPr>
            <w:tcW w:w="896" w:type="dxa"/>
            <w:gridSpan w:val="7"/>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4,623.63 </w:t>
            </w:r>
          </w:p>
        </w:tc>
        <w:tc>
          <w:tcPr>
            <w:tcW w:w="933" w:type="dxa"/>
            <w:gridSpan w:val="5"/>
            <w:tcBorders>
              <w:top w:val="single" w:sz="6" w:space="0" w:color="auto"/>
              <w:left w:val="single" w:sz="6" w:space="0" w:color="auto"/>
              <w:bottom w:val="single" w:sz="6"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9,387.37 </w:t>
            </w:r>
          </w:p>
        </w:tc>
        <w:tc>
          <w:tcPr>
            <w:tcW w:w="1365" w:type="dxa"/>
            <w:gridSpan w:val="3"/>
            <w:tcBorders>
              <w:top w:val="single" w:sz="6" w:space="0" w:color="auto"/>
              <w:left w:val="single" w:sz="6" w:space="0" w:color="auto"/>
              <w:bottom w:val="single" w:sz="6"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7,236.49 </w:t>
            </w:r>
          </w:p>
        </w:tc>
      </w:tr>
      <w:tr w:rsidR="00C9049E">
        <w:tblPrEx>
          <w:tblCellMar>
            <w:top w:w="0" w:type="dxa"/>
            <w:bottom w:w="0" w:type="dxa"/>
          </w:tblCellMar>
        </w:tblPrEx>
        <w:trPr>
          <w:trHeight w:val="202"/>
        </w:trPr>
        <w:tc>
          <w:tcPr>
            <w:tcW w:w="735" w:type="dxa"/>
            <w:gridSpan w:val="2"/>
            <w:tcBorders>
              <w:top w:val="single" w:sz="6" w:space="0" w:color="auto"/>
              <w:left w:val="single" w:sz="12"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050" w:type="dxa"/>
            <w:gridSpan w:val="3"/>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297,091.33 </w:t>
            </w:r>
          </w:p>
        </w:tc>
        <w:tc>
          <w:tcPr>
            <w:tcW w:w="1155"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74,272.83 </w:t>
            </w:r>
          </w:p>
        </w:tc>
        <w:tc>
          <w:tcPr>
            <w:tcW w:w="945"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304,250.83 </w:t>
            </w:r>
          </w:p>
        </w:tc>
        <w:tc>
          <w:tcPr>
            <w:tcW w:w="1050"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297,091.33 </w:t>
            </w:r>
          </w:p>
        </w:tc>
        <w:tc>
          <w:tcPr>
            <w:tcW w:w="945" w:type="dxa"/>
            <w:gridSpan w:val="4"/>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7,159.49 </w:t>
            </w:r>
          </w:p>
        </w:tc>
        <w:tc>
          <w:tcPr>
            <w:tcW w:w="1050"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288,798.31 </w:t>
            </w:r>
          </w:p>
        </w:tc>
        <w:tc>
          <w:tcPr>
            <w:tcW w:w="840"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357.97 </w:t>
            </w:r>
          </w:p>
        </w:tc>
        <w:tc>
          <w:tcPr>
            <w:tcW w:w="840"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371.36 </w:t>
            </w:r>
          </w:p>
        </w:tc>
        <w:tc>
          <w:tcPr>
            <w:tcW w:w="945" w:type="dxa"/>
            <w:gridSpan w:val="6"/>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14,723.18 </w:t>
            </w:r>
          </w:p>
        </w:tc>
        <w:tc>
          <w:tcPr>
            <w:tcW w:w="1321" w:type="dxa"/>
            <w:gridSpan w:val="7"/>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11,154.52 </w:t>
            </w:r>
          </w:p>
        </w:tc>
        <w:tc>
          <w:tcPr>
            <w:tcW w:w="896" w:type="dxa"/>
            <w:gridSpan w:val="7"/>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4,858.65 </w:t>
            </w:r>
          </w:p>
        </w:tc>
        <w:tc>
          <w:tcPr>
            <w:tcW w:w="933" w:type="dxa"/>
            <w:gridSpan w:val="5"/>
            <w:tcBorders>
              <w:top w:val="single" w:sz="6" w:space="0" w:color="auto"/>
              <w:left w:val="single" w:sz="6" w:space="0" w:color="auto"/>
              <w:bottom w:val="single" w:sz="12" w:space="0" w:color="auto"/>
              <w:right w:val="single" w:sz="6"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9,864.53 </w:t>
            </w:r>
          </w:p>
        </w:tc>
        <w:tc>
          <w:tcPr>
            <w:tcW w:w="1365" w:type="dxa"/>
            <w:gridSpan w:val="3"/>
            <w:tcBorders>
              <w:top w:val="single" w:sz="6" w:space="0" w:color="auto"/>
              <w:left w:val="single" w:sz="6" w:space="0" w:color="auto"/>
              <w:bottom w:val="single" w:sz="12" w:space="0" w:color="auto"/>
              <w:right w:val="single" w:sz="12" w:space="0" w:color="auto"/>
            </w:tcBorders>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7,473.53 </w:t>
            </w:r>
          </w:p>
        </w:tc>
      </w:tr>
      <w:tr w:rsidR="00C9049E">
        <w:tblPrEx>
          <w:tblCellMar>
            <w:top w:w="0" w:type="dxa"/>
            <w:bottom w:w="0" w:type="dxa"/>
          </w:tblCellMar>
        </w:tblPrEx>
        <w:trPr>
          <w:cantSplit/>
          <w:trHeight w:val="415"/>
        </w:trPr>
        <w:tc>
          <w:tcPr>
            <w:tcW w:w="1785" w:type="dxa"/>
            <w:gridSpan w:val="5"/>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15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9,004,798.07 </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4,868,013.26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4,000,000.00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rFonts w:hint="eastAsia"/>
                <w:bCs/>
                <w:i/>
                <w:color w:val="000000"/>
                <w:sz w:val="18"/>
              </w:rPr>
              <w:t>8</w:t>
            </w:r>
            <w:r>
              <w:rPr>
                <w:bCs/>
                <w:i/>
                <w:color w:val="000000"/>
                <w:sz w:val="18"/>
              </w:rPr>
              <w:t xml:space="preserve">68,013.26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rFonts w:hint="eastAsia"/>
                <w:bCs/>
                <w:i/>
                <w:color w:val="000000"/>
                <w:sz w:val="18"/>
              </w:rPr>
              <w:t>4</w:t>
            </w:r>
            <w:r>
              <w:rPr>
                <w:bCs/>
                <w:i/>
                <w:color w:val="000000"/>
                <w:sz w:val="18"/>
              </w:rPr>
              <w:t xml:space="preserve">,620,772.89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43,400.66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45,023.99 </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158,815.71 </w:t>
            </w:r>
          </w:p>
        </w:tc>
        <w:tc>
          <w:tcPr>
            <w:tcW w:w="132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134,399.97 </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52,409.18 </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106,406.53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90,047.98 </w:t>
            </w:r>
          </w:p>
        </w:tc>
      </w:tr>
      <w:tr w:rsidR="00C9049E">
        <w:tblPrEx>
          <w:tblCellMar>
            <w:top w:w="0" w:type="dxa"/>
            <w:bottom w:w="0" w:type="dxa"/>
          </w:tblCellMar>
        </w:tblPrEx>
        <w:trPr>
          <w:trHeight w:val="343"/>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收益净现值</w:t>
            </w:r>
          </w:p>
        </w:tc>
        <w:tc>
          <w:tcPr>
            <w:tcW w:w="115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2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134,399.97 </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90,047.98 </w:t>
            </w:r>
          </w:p>
        </w:tc>
      </w:tr>
      <w:tr w:rsidR="00C9049E">
        <w:tblPrEx>
          <w:tblCellMar>
            <w:top w:w="0" w:type="dxa"/>
            <w:bottom w:w="0" w:type="dxa"/>
          </w:tblCellMar>
        </w:tblPrEx>
        <w:trPr>
          <w:trHeight w:val="434"/>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资金年净收益率</w:t>
            </w:r>
          </w:p>
        </w:tc>
        <w:tc>
          <w:tcPr>
            <w:tcW w:w="1155" w:type="dxa"/>
            <w:gridSpan w:val="5"/>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rPr>
            </w:pPr>
          </w:p>
        </w:tc>
        <w:tc>
          <w:tcPr>
            <w:tcW w:w="945"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rPr>
            </w:pPr>
          </w:p>
        </w:tc>
        <w:tc>
          <w:tcPr>
            <w:tcW w:w="1050"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rPr>
            </w:pPr>
          </w:p>
        </w:tc>
        <w:tc>
          <w:tcPr>
            <w:tcW w:w="1050"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rPr>
            </w:pPr>
          </w:p>
        </w:tc>
        <w:tc>
          <w:tcPr>
            <w:tcW w:w="945"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2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1.49253732%</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1.00000000%</w:t>
            </w:r>
          </w:p>
        </w:tc>
      </w:tr>
      <w:tr w:rsidR="00C9049E">
        <w:tblPrEx>
          <w:tblCellMar>
            <w:top w:w="0" w:type="dxa"/>
            <w:bottom w:w="0" w:type="dxa"/>
          </w:tblCellMar>
        </w:tblPrEx>
        <w:trPr>
          <w:cantSplit/>
          <w:trHeight w:val="178"/>
        </w:trPr>
        <w:tc>
          <w:tcPr>
            <w:tcW w:w="15120" w:type="dxa"/>
            <w:gridSpan w:val="72"/>
            <w:tcBorders>
              <w:top w:val="single" w:sz="12" w:space="0" w:color="auto"/>
              <w:bottom w:val="nil"/>
            </w:tcBorders>
          </w:tcPr>
          <w:p w:rsidR="00C9049E" w:rsidRDefault="00C9049E" w:rsidP="00E92C7E">
            <w:pPr>
              <w:autoSpaceDE w:val="0"/>
              <w:autoSpaceDN w:val="0"/>
              <w:adjustRightInd w:val="0"/>
              <w:spacing w:line="360" w:lineRule="auto"/>
              <w:jc w:val="right"/>
              <w:rPr>
                <w:rFonts w:ascii="宋体"/>
                <w:bCs/>
                <w:color w:val="000000"/>
                <w:sz w:val="24"/>
              </w:rPr>
            </w:pPr>
          </w:p>
        </w:tc>
      </w:tr>
      <w:tr w:rsidR="00C9049E">
        <w:tblPrEx>
          <w:tblCellMar>
            <w:top w:w="0" w:type="dxa"/>
            <w:bottom w:w="0" w:type="dxa"/>
          </w:tblCellMar>
        </w:tblPrEx>
        <w:trPr>
          <w:cantSplit/>
          <w:trHeight w:val="2630"/>
        </w:trPr>
        <w:tc>
          <w:tcPr>
            <w:tcW w:w="15120" w:type="dxa"/>
            <w:gridSpan w:val="72"/>
            <w:tcBorders>
              <w:bottom w:val="single" w:sz="12" w:space="0" w:color="auto"/>
            </w:tcBorders>
          </w:tcPr>
          <w:p w:rsidR="00C9049E" w:rsidRDefault="00C9049E" w:rsidP="00E92C7E">
            <w:pPr>
              <w:autoSpaceDE w:val="0"/>
              <w:autoSpaceDN w:val="0"/>
              <w:adjustRightInd w:val="0"/>
              <w:spacing w:line="360" w:lineRule="auto"/>
              <w:rPr>
                <w:rFonts w:ascii="楷体_GB2312" w:eastAsia="楷体_GB2312"/>
                <w:bCs/>
                <w:color w:val="000000"/>
                <w:sz w:val="28"/>
              </w:rPr>
            </w:pPr>
            <w:r>
              <w:rPr>
                <w:rFonts w:ascii="楷体_GB2312" w:eastAsia="楷体_GB2312"/>
                <w:bCs/>
                <w:color w:val="000000"/>
                <w:sz w:val="32"/>
              </w:rPr>
              <w:t xml:space="preserve">    </w:t>
            </w:r>
            <w:r>
              <w:rPr>
                <w:rFonts w:ascii="黑体" w:eastAsia="黑体" w:hint="eastAsia"/>
                <w:bCs/>
                <w:color w:val="000000"/>
                <w:sz w:val="28"/>
              </w:rPr>
              <w:t>表</w:t>
            </w:r>
            <w:r>
              <w:rPr>
                <w:rFonts w:ascii="黑体" w:eastAsia="黑体"/>
                <w:bCs/>
                <w:color w:val="000000"/>
                <w:sz w:val="28"/>
              </w:rPr>
              <w:t>A3</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7.5%</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jc w:val="center"/>
              <w:rPr>
                <w:rFonts w:ascii="仿宋_GB2312" w:eastAsia="仿宋_GB2312"/>
                <w:bCs/>
                <w:color w:val="000000"/>
                <w:sz w:val="52"/>
              </w:rPr>
            </w:pPr>
            <w:r>
              <w:rPr>
                <w:rFonts w:ascii="仿宋_GB2312" w:eastAsia="仿宋_GB2312"/>
                <w:bCs/>
                <w:color w:val="000000"/>
                <w:sz w:val="52"/>
              </w:rPr>
              <w:t xml:space="preserve">   </w:t>
            </w: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仿宋_GB2312" w:eastAsia="仿宋_GB2312"/>
                <w:bCs/>
                <w:color w:val="000000"/>
                <w:sz w:val="52"/>
              </w:rPr>
            </w:pPr>
          </w:p>
          <w:p w:rsidR="00C9049E" w:rsidRDefault="00C9049E" w:rsidP="00E92C7E">
            <w:pPr>
              <w:autoSpaceDE w:val="0"/>
              <w:autoSpaceDN w:val="0"/>
              <w:adjustRightInd w:val="0"/>
              <w:spacing w:line="360" w:lineRule="auto"/>
              <w:rPr>
                <w:rFonts w:ascii="宋体"/>
                <w:bCs/>
                <w:color w:val="000000"/>
                <w:sz w:val="28"/>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10.17875668%</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398"/>
        </w:trPr>
        <w:tc>
          <w:tcPr>
            <w:tcW w:w="735"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本金余额</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一年资金</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lastRenderedPageBreak/>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rPr>
              <w:lastRenderedPageBreak/>
              <w:t>年利率</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租金</w:t>
            </w: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本金</w:t>
            </w: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收益</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付息</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营业税</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费用</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前收益</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收益折现值</w:t>
            </w:r>
          </w:p>
        </w:tc>
        <w:tc>
          <w:tcPr>
            <w:tcW w:w="85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所得税</w:t>
            </w:r>
          </w:p>
        </w:tc>
        <w:tc>
          <w:tcPr>
            <w:tcW w:w="1134"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后收益</w:t>
            </w:r>
          </w:p>
        </w:tc>
        <w:tc>
          <w:tcPr>
            <w:tcW w:w="1458" w:type="dxa"/>
            <w:gridSpan w:val="4"/>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lastRenderedPageBreak/>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收益折现值</w:t>
            </w:r>
          </w:p>
        </w:tc>
      </w:tr>
      <w:tr w:rsidR="00C9049E">
        <w:tblPrEx>
          <w:tblCellMar>
            <w:top w:w="0" w:type="dxa"/>
            <w:bottom w:w="0" w:type="dxa"/>
          </w:tblCellMar>
        </w:tblPrEx>
        <w:trPr>
          <w:trHeight w:val="221"/>
        </w:trPr>
        <w:tc>
          <w:tcPr>
            <w:tcW w:w="735"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945"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41,134.99 </w:t>
            </w:r>
          </w:p>
        </w:tc>
        <w:tc>
          <w:tcPr>
            <w:tcW w:w="1050"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20,357.51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1,017.88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1,136.35 </w:t>
            </w:r>
          </w:p>
        </w:tc>
        <w:tc>
          <w:tcPr>
            <w:tcW w:w="1280" w:type="dxa"/>
            <w:gridSpan w:val="8"/>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1,115.44 </w:t>
            </w:r>
          </w:p>
        </w:tc>
        <w:tc>
          <w:tcPr>
            <w:tcW w:w="853"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375.00 </w:t>
            </w:r>
          </w:p>
        </w:tc>
        <w:tc>
          <w:tcPr>
            <w:tcW w:w="1134" w:type="dxa"/>
            <w:gridSpan w:val="7"/>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761.35 </w:t>
            </w:r>
          </w:p>
        </w:tc>
        <w:tc>
          <w:tcPr>
            <w:tcW w:w="1458" w:type="dxa"/>
            <w:gridSpan w:val="4"/>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747.34 </w:t>
            </w:r>
          </w:p>
        </w:tc>
      </w:tr>
      <w:tr w:rsidR="00C9049E">
        <w:tblPrEx>
          <w:tblCellMar>
            <w:top w:w="0" w:type="dxa"/>
            <w:bottom w:w="0" w:type="dxa"/>
          </w:tblCellMar>
        </w:tblPrEx>
        <w:trPr>
          <w:trHeight w:val="20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758,865.01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189,716.25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42,181.75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19,310.76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965.54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948.58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1,240.11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1,194.88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409.24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830.87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800.57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716,683.26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179,170.81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43,255.14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18,237.36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911.87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895.85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1,346.50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1,273.52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444.35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902.16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853.26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673,428.11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168,357.03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44,355.85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17,136.65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856.83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841.79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1,455.61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1,351.37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480.35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975.26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905.42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629,072.26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157,268.06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45,484.57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16,007.93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800.40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786.34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1,567.49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1,428.45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517.27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1,050.22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957.06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583,587.69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145,896.92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46,642.01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14,850.49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742.52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729.48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1,682.22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1,504.79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555.13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1,127.08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1,008.21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536,945.67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134,236.42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47,828.91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13,663.60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683.18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671.18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1,799.86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1,580.40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593.95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1,205.91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1,058.87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489,116.76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122,279.19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49,046.00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12,446.50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622.33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611.40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1,920.50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1,655.29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633.77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1,286.74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1,109.04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440,070.76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110,017.69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50,294.07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11,198.43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559.92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550.09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2,044.22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1,729.49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674.59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1,369.62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1,158.76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389,776.69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97,444.17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51,573.90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9,918.61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495.93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487.22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2,171.07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1,803.01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716.45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1,454.62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1,208.02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338,202.79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84,550.70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52,886.30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8,606.21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430.31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422.75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2,301.16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1,875.87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759.38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1,541.78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1,256.83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285,316.49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71,329.12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54,232.09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7,260.42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363.02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356.65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2,434.56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1,948.09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803.40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1,631.15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1,305.22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231,084.40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57,771.10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55,612.13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5,880.38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294.02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288.86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2,571.35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2,019.68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848.55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1,722.81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1,353.18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175,472.28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43,868.07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57,027.28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4,465.22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223.26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219.34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2,711.62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2,090.66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894.84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1,816.79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1,400.74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118,444.99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29,611.25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58,478.45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3,014.06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150.70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148.06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2,855.47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2,161.04 </w:t>
            </w:r>
          </w:p>
        </w:tc>
        <w:tc>
          <w:tcPr>
            <w:tcW w:w="85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942.30 </w:t>
            </w:r>
          </w:p>
        </w:tc>
        <w:tc>
          <w:tcPr>
            <w:tcW w:w="1134"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1,913.16 </w:t>
            </w:r>
          </w:p>
        </w:tc>
        <w:tc>
          <w:tcPr>
            <w:tcW w:w="1458" w:type="dxa"/>
            <w:gridSpan w:val="4"/>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1,447.90 </w:t>
            </w:r>
          </w:p>
        </w:tc>
      </w:tr>
      <w:tr w:rsidR="00C9049E">
        <w:tblPrEx>
          <w:tblCellMar>
            <w:top w:w="0" w:type="dxa"/>
            <w:bottom w:w="0" w:type="dxa"/>
          </w:tblCellMar>
        </w:tblPrEx>
        <w:trPr>
          <w:trHeight w:val="202"/>
        </w:trPr>
        <w:tc>
          <w:tcPr>
            <w:tcW w:w="735"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59,966.54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14,991.64 </w:t>
            </w:r>
          </w:p>
        </w:tc>
        <w:tc>
          <w:tcPr>
            <w:tcW w:w="945"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10.1788%</w:t>
            </w:r>
          </w:p>
        </w:tc>
        <w:tc>
          <w:tcPr>
            <w:tcW w:w="945"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61,492.51 </w:t>
            </w:r>
          </w:p>
        </w:tc>
        <w:tc>
          <w:tcPr>
            <w:tcW w:w="1050"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59,966.54 </w:t>
            </w:r>
          </w:p>
        </w:tc>
        <w:tc>
          <w:tcPr>
            <w:tcW w:w="1050"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1,525.96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58,338.28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76.30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74.96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3,002.97 </w:t>
            </w:r>
          </w:p>
        </w:tc>
        <w:tc>
          <w:tcPr>
            <w:tcW w:w="1280" w:type="dxa"/>
            <w:gridSpan w:val="8"/>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2,230.84 </w:t>
            </w:r>
          </w:p>
        </w:tc>
        <w:tc>
          <w:tcPr>
            <w:tcW w:w="853"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990.98 </w:t>
            </w:r>
          </w:p>
        </w:tc>
        <w:tc>
          <w:tcPr>
            <w:tcW w:w="1134" w:type="dxa"/>
            <w:gridSpan w:val="7"/>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2,011.99 </w:t>
            </w:r>
          </w:p>
        </w:tc>
        <w:tc>
          <w:tcPr>
            <w:tcW w:w="1458" w:type="dxa"/>
            <w:gridSpan w:val="4"/>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1,494.66 </w:t>
            </w:r>
          </w:p>
        </w:tc>
      </w:tr>
      <w:tr w:rsidR="00C9049E">
        <w:tblPrEx>
          <w:tblCellMar>
            <w:top w:w="0" w:type="dxa"/>
            <w:bottom w:w="0" w:type="dxa"/>
          </w:tblCellMar>
        </w:tblPrEx>
        <w:trPr>
          <w:cantSplit/>
          <w:trHeight w:val="250"/>
        </w:trPr>
        <w:tc>
          <w:tcPr>
            <w:tcW w:w="1680" w:type="dxa"/>
            <w:gridSpan w:val="4"/>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rPr>
            </w:pPr>
            <w:r>
              <w:rPr>
                <w:rFonts w:ascii="黑体" w:eastAsia="黑体" w:hint="eastAsia"/>
                <w:bCs/>
                <w:color w:val="000000"/>
              </w:rPr>
              <w:t>合</w:t>
            </w:r>
            <w:r>
              <w:rPr>
                <w:rFonts w:eastAsia="黑体"/>
                <w:bCs/>
                <w:color w:val="000000"/>
              </w:rPr>
              <w:t xml:space="preserve">    </w:t>
            </w:r>
            <w:r>
              <w:rPr>
                <w:rFonts w:ascii="黑体" w:eastAsia="黑体" w:hint="eastAsia"/>
                <w:bCs/>
                <w:color w:val="000000"/>
              </w:rPr>
              <w:t>计</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1,806,508.42 </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983,880.10 </w:t>
            </w: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800,000.00 </w:t>
            </w: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183,880.10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933,412.49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9,194.00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9,032.54 </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32,241.06 </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26,962.81 </w:t>
            </w:r>
          </w:p>
        </w:tc>
        <w:tc>
          <w:tcPr>
            <w:tcW w:w="85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10,639.55 </w:t>
            </w:r>
          </w:p>
        </w:tc>
        <w:tc>
          <w:tcPr>
            <w:tcW w:w="1134"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21,601.51 </w:t>
            </w:r>
          </w:p>
        </w:tc>
        <w:tc>
          <w:tcPr>
            <w:tcW w:w="1458" w:type="dxa"/>
            <w:gridSpan w:val="4"/>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18,065.08 </w:t>
            </w:r>
          </w:p>
        </w:tc>
      </w:tr>
      <w:tr w:rsidR="00C9049E">
        <w:tblPrEx>
          <w:tblCellMar>
            <w:top w:w="0" w:type="dxa"/>
            <w:bottom w:w="0" w:type="dxa"/>
          </w:tblCellMar>
        </w:tblPrEx>
        <w:trPr>
          <w:trHeight w:val="250"/>
        </w:trPr>
        <w:tc>
          <w:tcPr>
            <w:tcW w:w="1680" w:type="dxa"/>
            <w:gridSpan w:val="4"/>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收益净现值</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26,962.81 </w:t>
            </w:r>
          </w:p>
        </w:tc>
        <w:tc>
          <w:tcPr>
            <w:tcW w:w="85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134"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458" w:type="dxa"/>
            <w:gridSpan w:val="4"/>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18,065.08 </w:t>
            </w:r>
          </w:p>
        </w:tc>
      </w:tr>
      <w:tr w:rsidR="00C9049E">
        <w:tblPrEx>
          <w:tblCellMar>
            <w:top w:w="0" w:type="dxa"/>
            <w:bottom w:w="0" w:type="dxa"/>
          </w:tblCellMar>
        </w:tblPrEx>
        <w:trPr>
          <w:trHeight w:val="250"/>
        </w:trPr>
        <w:tc>
          <w:tcPr>
            <w:tcW w:w="1680" w:type="dxa"/>
            <w:gridSpan w:val="4"/>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资金年净收益率</w:t>
            </w:r>
          </w:p>
        </w:tc>
        <w:tc>
          <w:tcPr>
            <w:tcW w:w="1050" w:type="dxa"/>
            <w:gridSpan w:val="5"/>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1.49</w:t>
            </w:r>
            <w:r w:rsidR="005B034A">
              <w:rPr>
                <w:rFonts w:eastAsia="黑体"/>
                <w:bCs/>
                <w:i/>
                <w:color w:val="000000"/>
              </w:rPr>
              <w:t>-</w:t>
            </w:r>
            <w:r>
              <w:rPr>
                <w:rFonts w:eastAsia="黑体"/>
                <w:bCs/>
                <w:i/>
                <w:color w:val="000000"/>
              </w:rPr>
              <w:t>253732%</w:t>
            </w:r>
          </w:p>
        </w:tc>
        <w:tc>
          <w:tcPr>
            <w:tcW w:w="85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134"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458" w:type="dxa"/>
            <w:gridSpan w:val="4"/>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1.00000000%</w:t>
            </w:r>
          </w:p>
        </w:tc>
      </w:tr>
      <w:tr w:rsidR="00C9049E">
        <w:tblPrEx>
          <w:tblCellMar>
            <w:top w:w="0" w:type="dxa"/>
            <w:bottom w:w="0" w:type="dxa"/>
          </w:tblCellMar>
        </w:tblPrEx>
        <w:trPr>
          <w:gridBefore w:val="1"/>
          <w:wBefore w:w="210" w:type="dxa"/>
          <w:cantSplit/>
          <w:trHeight w:val="178"/>
        </w:trPr>
        <w:tc>
          <w:tcPr>
            <w:tcW w:w="14910" w:type="dxa"/>
            <w:gridSpan w:val="71"/>
            <w:tcBorders>
              <w:top w:val="single" w:sz="12" w:space="0" w:color="auto"/>
              <w:bottom w:val="nil"/>
            </w:tcBorders>
          </w:tcPr>
          <w:p w:rsidR="00C9049E" w:rsidRDefault="00C9049E" w:rsidP="00E92C7E">
            <w:pPr>
              <w:autoSpaceDE w:val="0"/>
              <w:autoSpaceDN w:val="0"/>
              <w:adjustRightInd w:val="0"/>
              <w:spacing w:line="360" w:lineRule="auto"/>
              <w:jc w:val="right"/>
              <w:rPr>
                <w:rFonts w:ascii="宋体"/>
                <w:bCs/>
                <w:color w:val="000000"/>
                <w:sz w:val="24"/>
              </w:rPr>
            </w:pPr>
          </w:p>
        </w:tc>
      </w:tr>
      <w:tr w:rsidR="00C9049E">
        <w:tblPrEx>
          <w:tblCellMar>
            <w:top w:w="0" w:type="dxa"/>
            <w:bottom w:w="0" w:type="dxa"/>
          </w:tblCellMar>
        </w:tblPrEx>
        <w:trPr>
          <w:gridBefore w:val="1"/>
          <w:wBefore w:w="210" w:type="dxa"/>
          <w:cantSplit/>
          <w:trHeight w:val="3210"/>
        </w:trPr>
        <w:tc>
          <w:tcPr>
            <w:tcW w:w="14910" w:type="dxa"/>
            <w:gridSpan w:val="71"/>
            <w:tcBorders>
              <w:bottom w:val="single" w:sz="12" w:space="0" w:color="auto"/>
            </w:tcBorders>
          </w:tcPr>
          <w:p w:rsidR="00C9049E" w:rsidRDefault="00C9049E" w:rsidP="00E92C7E">
            <w:pPr>
              <w:autoSpaceDE w:val="0"/>
              <w:autoSpaceDN w:val="0"/>
              <w:adjustRightInd w:val="0"/>
              <w:spacing w:line="360" w:lineRule="auto"/>
              <w:rPr>
                <w:rFonts w:ascii="楷体_GB2312" w:eastAsia="楷体_GB2312" w:hint="eastAsia"/>
                <w:bCs/>
                <w:color w:val="000000"/>
                <w:sz w:val="32"/>
              </w:rPr>
            </w:pPr>
            <w:r>
              <w:rPr>
                <w:rFonts w:ascii="楷体_GB2312" w:eastAsia="楷体_GB2312"/>
                <w:bCs/>
                <w:color w:val="000000"/>
                <w:sz w:val="32"/>
              </w:rPr>
              <w:lastRenderedPageBreak/>
              <w:t xml:space="preserve">   </w:t>
            </w:r>
          </w:p>
          <w:p w:rsidR="00C9049E" w:rsidRDefault="00C9049E" w:rsidP="00E92C7E">
            <w:pPr>
              <w:autoSpaceDE w:val="0"/>
              <w:autoSpaceDN w:val="0"/>
              <w:adjustRightInd w:val="0"/>
              <w:spacing w:line="360" w:lineRule="auto"/>
              <w:rPr>
                <w:rFonts w:ascii="楷体_GB2312" w:eastAsia="楷体_GB2312" w:hint="eastAsia"/>
                <w:bCs/>
                <w:color w:val="000000"/>
                <w:sz w:val="28"/>
              </w:rPr>
            </w:pPr>
            <w:r>
              <w:rPr>
                <w:rFonts w:ascii="楷体_GB2312" w:eastAsia="楷体_GB2312"/>
                <w:bCs/>
                <w:color w:val="000000"/>
                <w:sz w:val="32"/>
              </w:rPr>
              <w:t xml:space="preserve"> </w:t>
            </w:r>
            <w:r>
              <w:rPr>
                <w:rFonts w:ascii="黑体" w:eastAsia="黑体" w:hint="eastAsia"/>
                <w:bCs/>
                <w:color w:val="000000"/>
                <w:sz w:val="28"/>
              </w:rPr>
              <w:t>表</w:t>
            </w:r>
            <w:r>
              <w:rPr>
                <w:rFonts w:ascii="黑体" w:eastAsia="黑体"/>
                <w:bCs/>
                <w:color w:val="000000"/>
                <w:sz w:val="28"/>
              </w:rPr>
              <w:t>A4</w:t>
            </w:r>
            <w:r>
              <w:rPr>
                <w:rFonts w:ascii="楷体_GB2312" w:eastAsia="楷体_GB2312"/>
                <w:bCs/>
                <w:color w:val="000000"/>
                <w:sz w:val="28"/>
              </w:rPr>
              <w:t xml:space="preserve">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6.5%</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rPr>
                <w:rFonts w:ascii="楷体_GB2312" w:eastAsia="楷体_GB2312"/>
                <w:bCs/>
                <w:color w:val="000000"/>
                <w:sz w:val="28"/>
              </w:rPr>
            </w:pPr>
          </w:p>
          <w:p w:rsidR="00C9049E" w:rsidRPr="005B034A" w:rsidRDefault="00C9049E" w:rsidP="005B034A">
            <w:pPr>
              <w:autoSpaceDE w:val="0"/>
              <w:autoSpaceDN w:val="0"/>
              <w:adjustRightInd w:val="0"/>
              <w:spacing w:line="360" w:lineRule="auto"/>
              <w:jc w:val="center"/>
              <w:rPr>
                <w:rFonts w:ascii="黑体" w:eastAsia="黑体" w:hint="eastAsia"/>
                <w:bCs/>
                <w:color w:val="000000"/>
                <w:sz w:val="40"/>
              </w:rPr>
            </w:pPr>
            <w:r w:rsidRPr="005B034A">
              <w:rPr>
                <w:rFonts w:ascii="黑体" w:eastAsia="黑体" w:hint="eastAsia"/>
                <w:bCs/>
                <w:color w:val="000000"/>
                <w:sz w:val="40"/>
              </w:rPr>
              <w:t>融资租赁合同的资金占用、租金构成、筹资成本、费用、税负、税前税后收益净现值及资金年净收益率</w:t>
            </w:r>
          </w:p>
          <w:p w:rsidR="00C9049E" w:rsidRDefault="00C9049E" w:rsidP="00E92C7E">
            <w:pPr>
              <w:autoSpaceDE w:val="0"/>
              <w:autoSpaceDN w:val="0"/>
              <w:adjustRightInd w:val="0"/>
              <w:spacing w:line="360" w:lineRule="auto"/>
              <w:rPr>
                <w:rFonts w:ascii="楷体_GB2312" w:eastAsia="楷体_GB2312"/>
                <w:bCs/>
                <w:color w:val="000000"/>
                <w:sz w:val="44"/>
              </w:rPr>
            </w:pPr>
          </w:p>
          <w:p w:rsidR="00C9049E" w:rsidRDefault="00C9049E" w:rsidP="00E92C7E">
            <w:pPr>
              <w:autoSpaceDE w:val="0"/>
              <w:autoSpaceDN w:val="0"/>
              <w:adjustRightInd w:val="0"/>
              <w:spacing w:line="360" w:lineRule="auto"/>
              <w:rPr>
                <w:rFonts w:ascii="宋体"/>
                <w:bCs/>
                <w:color w:val="000000"/>
                <w:sz w:val="28"/>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9.10022764%</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gridBefore w:val="1"/>
          <w:wBefore w:w="210" w:type="dxa"/>
          <w:trHeight w:val="350"/>
        </w:trPr>
        <w:tc>
          <w:tcPr>
            <w:tcW w:w="82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104"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84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含收益</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88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1036"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528" w:type="dxa"/>
            <w:gridSpan w:val="6"/>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gridBefore w:val="1"/>
          <w:wBefore w:w="210" w:type="dxa"/>
          <w:trHeight w:val="221"/>
        </w:trPr>
        <w:tc>
          <w:tcPr>
            <w:tcW w:w="82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104"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42,011.14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18,200.46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910.02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1,117.32 </w:t>
            </w:r>
          </w:p>
        </w:tc>
        <w:tc>
          <w:tcPr>
            <w:tcW w:w="1280" w:type="dxa"/>
            <w:gridSpan w:val="8"/>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1,099.45 </w:t>
            </w:r>
          </w:p>
        </w:tc>
        <w:tc>
          <w:tcPr>
            <w:tcW w:w="881" w:type="dxa"/>
            <w:gridSpan w:val="7"/>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368.71 </w:t>
            </w:r>
          </w:p>
        </w:tc>
        <w:tc>
          <w:tcPr>
            <w:tcW w:w="1036"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748.60 </w:t>
            </w:r>
          </w:p>
        </w:tc>
        <w:tc>
          <w:tcPr>
            <w:tcW w:w="1528" w:type="dxa"/>
            <w:gridSpan w:val="6"/>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736.63 </w:t>
            </w: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757,988.86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189,497.22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42,966.91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17,244.68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w:t>
            </w:r>
            <w:r>
              <w:rPr>
                <w:rFonts w:eastAsia="黑体" w:hint="eastAsia"/>
                <w:bCs/>
                <w:i/>
                <w:color w:val="000000"/>
                <w:sz w:val="18"/>
              </w:rPr>
              <w:t>5</w:t>
            </w:r>
            <w:r>
              <w:rPr>
                <w:rFonts w:eastAsia="黑体"/>
                <w:bCs/>
                <w:i/>
                <w:color w:val="000000"/>
                <w:sz w:val="18"/>
              </w:rPr>
              <w:t xml:space="preserve">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862.23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947.49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1,217.62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1,178.99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401.81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815.81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789.92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715,021.95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178,755.49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43,944.44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16,267.16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813.36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893.78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1,320.20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1,257.88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435.67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884.54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842.78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671,077.51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167,769.38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6</w:t>
            </w:r>
            <w:r>
              <w:rPr>
                <w:rFonts w:eastAsia="黑体"/>
                <w:bCs/>
                <w:i/>
                <w:color w:val="000000"/>
                <w:sz w:val="18"/>
              </w:rPr>
              <w:t xml:space="preserve">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44,944.20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15,267.40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763.37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838.85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1,425.12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1,336.13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470.29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954.83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895.21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626,133.32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156,533.33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45,966.70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14,244.89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712.24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782.67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1,532.43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1,413.77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505.70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1,026.73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947.22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580,166.61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145,041.65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47,012.47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13,199.12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659.96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725.21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1,642.18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1,490.79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541.92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1,100.26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998.83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533,154.14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133,288.54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48,082.03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12,129.56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606.48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666.44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1,754.42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1,567.22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578.96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1,175.46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1,050.04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485,072.11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121,268.03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49,175.93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11,035.67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551.78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606.34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1,869.22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1,643.07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616.84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1,252.38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1,100.85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435,896.18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108,974.05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50,294.71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9,916.89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495.84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544.87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1,986.63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1,718.35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655.59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1,331.04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1,151.29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385,601.48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96,400.37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51,438.94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8,772.65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438.63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482.00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2,106.71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1,793.07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695.21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1,411.49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1,201.36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334,162.54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83,540.64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52,609.20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7,602.39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380.12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417.70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2,229.52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1,867.26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735.74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1,493.78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1,251.06 </w:t>
            </w:r>
          </w:p>
        </w:tc>
      </w:tr>
      <w:tr w:rsidR="00C9049E">
        <w:tblPrEx>
          <w:tblCellMar>
            <w:top w:w="0" w:type="dxa"/>
            <w:bottom w:w="0" w:type="dxa"/>
          </w:tblCellMar>
        </w:tblPrEx>
        <w:trPr>
          <w:gridBefore w:val="1"/>
          <w:wBefore w:w="210" w:type="dxa"/>
          <w:trHeight w:val="26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12</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281,553.34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70,388.33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53,806.09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6,405.50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320.27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351.94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2,355.12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1,940.92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777.19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1,577.93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1,300.41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227,747.24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56,936.81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5,030.21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5,181.38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259.07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284.68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2,483.59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2,014.06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819.58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1,664.00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1,349.42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172,717.03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43,179.26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56,282.18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3,929.41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196.47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215.90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2,614.97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2,086.70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862.94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1,752.03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1,398.09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116,434.85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29,108.71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60,211.59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57,562.63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2,648.96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132.45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145.54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2,749.35 </w:t>
            </w:r>
          </w:p>
        </w:tc>
        <w:tc>
          <w:tcPr>
            <w:tcW w:w="1280"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2,158.84 </w:t>
            </w:r>
          </w:p>
        </w:tc>
        <w:tc>
          <w:tcPr>
            <w:tcW w:w="88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907.29 </w:t>
            </w:r>
          </w:p>
        </w:tc>
        <w:tc>
          <w:tcPr>
            <w:tcW w:w="1036"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1,842.06 </w:t>
            </w:r>
          </w:p>
        </w:tc>
        <w:tc>
          <w:tcPr>
            <w:tcW w:w="1528" w:type="dxa"/>
            <w:gridSpan w:val="6"/>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1,446.43 </w:t>
            </w: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104"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58,872.22 </w:t>
            </w:r>
          </w:p>
        </w:tc>
        <w:tc>
          <w:tcPr>
            <w:tcW w:w="1008"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14,718.05 </w:t>
            </w:r>
          </w:p>
        </w:tc>
        <w:tc>
          <w:tcPr>
            <w:tcW w:w="840"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9.1002%</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0,211.59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58,872.22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1,339.38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57,184.25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66.97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73.59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2,886.78 </w:t>
            </w:r>
          </w:p>
        </w:tc>
        <w:tc>
          <w:tcPr>
            <w:tcW w:w="1280" w:type="dxa"/>
            <w:gridSpan w:val="8"/>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2,230.51 </w:t>
            </w:r>
          </w:p>
        </w:tc>
        <w:tc>
          <w:tcPr>
            <w:tcW w:w="881" w:type="dxa"/>
            <w:gridSpan w:val="7"/>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952.64 </w:t>
            </w:r>
          </w:p>
        </w:tc>
        <w:tc>
          <w:tcPr>
            <w:tcW w:w="1036"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1,934.14 </w:t>
            </w:r>
          </w:p>
        </w:tc>
        <w:tc>
          <w:tcPr>
            <w:tcW w:w="1528" w:type="dxa"/>
            <w:gridSpan w:val="6"/>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1,494.44 </w:t>
            </w:r>
          </w:p>
        </w:tc>
      </w:tr>
      <w:tr w:rsidR="00C9049E">
        <w:tblPrEx>
          <w:tblCellMar>
            <w:top w:w="0" w:type="dxa"/>
            <w:bottom w:w="0" w:type="dxa"/>
          </w:tblCellMar>
        </w:tblPrEx>
        <w:trPr>
          <w:gridBefore w:val="1"/>
          <w:wBefore w:w="210" w:type="dxa"/>
          <w:cantSplit/>
          <w:trHeight w:val="250"/>
        </w:trPr>
        <w:tc>
          <w:tcPr>
            <w:tcW w:w="1932" w:type="dxa"/>
            <w:gridSpan w:val="7"/>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1,795,399.85 </w:t>
            </w:r>
          </w:p>
        </w:tc>
        <w:tc>
          <w:tcPr>
            <w:tcW w:w="84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963,385.47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163,385.47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914,948.03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8,169.27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8,977.00 </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31,291.17 </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26,797.01 </w:t>
            </w:r>
          </w:p>
        </w:tc>
        <w:tc>
          <w:tcPr>
            <w:tcW w:w="88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10,326.09 </w:t>
            </w:r>
          </w:p>
        </w:tc>
        <w:tc>
          <w:tcPr>
            <w:tcW w:w="1036"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20,965.08 </w:t>
            </w:r>
          </w:p>
        </w:tc>
        <w:tc>
          <w:tcPr>
            <w:tcW w:w="1528" w:type="dxa"/>
            <w:gridSpan w:val="6"/>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17,954.00 </w:t>
            </w:r>
          </w:p>
        </w:tc>
      </w:tr>
      <w:tr w:rsidR="00C9049E">
        <w:tblPrEx>
          <w:tblCellMar>
            <w:top w:w="0" w:type="dxa"/>
            <w:bottom w:w="0" w:type="dxa"/>
          </w:tblCellMar>
        </w:tblPrEx>
        <w:trPr>
          <w:gridBefore w:val="1"/>
          <w:wBefore w:w="210" w:type="dxa"/>
          <w:trHeight w:val="250"/>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84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4"/>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26,797.01 </w:t>
            </w:r>
          </w:p>
        </w:tc>
        <w:tc>
          <w:tcPr>
            <w:tcW w:w="88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4"/>
              </w:rPr>
            </w:pPr>
          </w:p>
        </w:tc>
        <w:tc>
          <w:tcPr>
            <w:tcW w:w="1036"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528" w:type="dxa"/>
            <w:gridSpan w:val="6"/>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17,954.00 </w:t>
            </w:r>
          </w:p>
        </w:tc>
      </w:tr>
      <w:tr w:rsidR="00C9049E">
        <w:tblPrEx>
          <w:tblCellMar>
            <w:top w:w="0" w:type="dxa"/>
            <w:bottom w:w="0" w:type="dxa"/>
          </w:tblCellMar>
        </w:tblPrEx>
        <w:trPr>
          <w:gridBefore w:val="1"/>
          <w:wBefore w:w="210" w:type="dxa"/>
          <w:trHeight w:val="250"/>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08" w:type="dxa"/>
            <w:gridSpan w:val="4"/>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4"/>
              </w:rPr>
            </w:pPr>
          </w:p>
        </w:tc>
        <w:tc>
          <w:tcPr>
            <w:tcW w:w="840"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4"/>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4"/>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80"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1.49253732%</w:t>
            </w:r>
          </w:p>
        </w:tc>
        <w:tc>
          <w:tcPr>
            <w:tcW w:w="88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4"/>
              </w:rPr>
            </w:pPr>
          </w:p>
        </w:tc>
        <w:tc>
          <w:tcPr>
            <w:tcW w:w="1036"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528" w:type="dxa"/>
            <w:gridSpan w:val="6"/>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1.00000000%</w:t>
            </w:r>
          </w:p>
        </w:tc>
      </w:tr>
      <w:tr w:rsidR="00C9049E">
        <w:tblPrEx>
          <w:tblCellMar>
            <w:top w:w="0" w:type="dxa"/>
            <w:bottom w:w="0" w:type="dxa"/>
          </w:tblCellMar>
        </w:tblPrEx>
        <w:trPr>
          <w:gridBefore w:val="1"/>
          <w:wBefore w:w="210" w:type="dxa"/>
          <w:cantSplit/>
          <w:trHeight w:val="178"/>
        </w:trPr>
        <w:tc>
          <w:tcPr>
            <w:tcW w:w="14910" w:type="dxa"/>
            <w:gridSpan w:val="71"/>
            <w:tcBorders>
              <w:top w:val="single" w:sz="12" w:space="0" w:color="auto"/>
              <w:bottom w:val="nil"/>
            </w:tcBorders>
          </w:tcPr>
          <w:p w:rsidR="00C9049E" w:rsidRDefault="00C9049E" w:rsidP="00E92C7E">
            <w:pPr>
              <w:autoSpaceDE w:val="0"/>
              <w:autoSpaceDN w:val="0"/>
              <w:adjustRightInd w:val="0"/>
              <w:spacing w:line="360" w:lineRule="auto"/>
              <w:jc w:val="right"/>
              <w:rPr>
                <w:rFonts w:ascii="宋体"/>
                <w:bCs/>
                <w:color w:val="000000"/>
                <w:sz w:val="24"/>
              </w:rPr>
            </w:pPr>
          </w:p>
        </w:tc>
      </w:tr>
      <w:tr w:rsidR="00C9049E">
        <w:tblPrEx>
          <w:tblCellMar>
            <w:top w:w="0" w:type="dxa"/>
            <w:bottom w:w="0" w:type="dxa"/>
          </w:tblCellMar>
        </w:tblPrEx>
        <w:trPr>
          <w:gridBefore w:val="1"/>
          <w:wBefore w:w="210" w:type="dxa"/>
          <w:cantSplit/>
          <w:trHeight w:val="2430"/>
        </w:trPr>
        <w:tc>
          <w:tcPr>
            <w:tcW w:w="14910" w:type="dxa"/>
            <w:gridSpan w:val="71"/>
            <w:tcBorders>
              <w:bottom w:val="single" w:sz="12" w:space="0" w:color="auto"/>
            </w:tcBorders>
          </w:tcPr>
          <w:p w:rsidR="00C9049E" w:rsidRDefault="00C9049E" w:rsidP="00E92C7E">
            <w:pPr>
              <w:autoSpaceDE w:val="0"/>
              <w:autoSpaceDN w:val="0"/>
              <w:adjustRightInd w:val="0"/>
              <w:spacing w:line="360" w:lineRule="auto"/>
              <w:ind w:firstLine="630"/>
              <w:rPr>
                <w:rFonts w:ascii="楷体_GB2312" w:eastAsia="楷体_GB2312" w:hint="eastAsia"/>
                <w:bCs/>
                <w:color w:val="000000"/>
                <w:sz w:val="28"/>
              </w:rPr>
            </w:pPr>
            <w:r>
              <w:rPr>
                <w:rFonts w:ascii="黑体" w:eastAsia="黑体" w:hint="eastAsia"/>
                <w:bCs/>
                <w:color w:val="000000"/>
                <w:sz w:val="28"/>
              </w:rPr>
              <w:t>表</w:t>
            </w:r>
            <w:r>
              <w:rPr>
                <w:rFonts w:ascii="黑体" w:eastAsia="黑体"/>
                <w:bCs/>
                <w:color w:val="000000"/>
                <w:sz w:val="28"/>
              </w:rPr>
              <w:t>A5</w:t>
            </w:r>
            <w:r>
              <w:rPr>
                <w:rFonts w:ascii="楷体_GB2312" w:eastAsia="楷体_GB2312"/>
                <w:bCs/>
                <w:color w:val="000000"/>
                <w:sz w:val="28"/>
              </w:rPr>
              <w:t xml:space="preserve">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0.18955476%</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630"/>
              <w:rPr>
                <w:rFonts w:ascii="楷体_GB2312" w:eastAsia="楷体_GB2312"/>
                <w:bCs/>
                <w:color w:val="000000"/>
                <w:sz w:val="32"/>
              </w:rPr>
            </w:pP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rPr>
                <w:rFonts w:ascii="楷体_GB2312" w:eastAsia="楷体_GB2312"/>
                <w:bCs/>
                <w:color w:val="000000"/>
                <w:sz w:val="32"/>
              </w:rPr>
            </w:pPr>
          </w:p>
          <w:p w:rsidR="00C9049E" w:rsidRDefault="00C9049E" w:rsidP="00E92C7E">
            <w:pPr>
              <w:autoSpaceDE w:val="0"/>
              <w:autoSpaceDN w:val="0"/>
              <w:adjustRightInd w:val="0"/>
              <w:spacing w:line="360" w:lineRule="auto"/>
              <w:rPr>
                <w:rFonts w:ascii="宋体"/>
                <w:bCs/>
                <w:color w:val="000000"/>
                <w:sz w:val="24"/>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9.3125%</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gridBefore w:val="1"/>
          <w:wBefore w:w="210" w:type="dxa"/>
          <w:trHeight w:val="350"/>
        </w:trPr>
        <w:tc>
          <w:tcPr>
            <w:tcW w:w="82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957"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本期初本金余额</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84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73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343"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909"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110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472" w:type="dxa"/>
            <w:gridSpan w:val="5"/>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gridBefore w:val="1"/>
          <w:wBefore w:w="210" w:type="dxa"/>
          <w:trHeight w:val="211"/>
        </w:trPr>
        <w:tc>
          <w:tcPr>
            <w:tcW w:w="82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957"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41,837.53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18,625.00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931.25 </w:t>
            </w:r>
          </w:p>
        </w:tc>
        <w:tc>
          <w:tcPr>
            <w:tcW w:w="735"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379.11 </w:t>
            </w: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1,392.51 </w:t>
            </w:r>
          </w:p>
        </w:tc>
        <w:tc>
          <w:tcPr>
            <w:tcW w:w="1343" w:type="dxa"/>
            <w:gridSpan w:val="8"/>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1,368.56 </w:t>
            </w:r>
          </w:p>
        </w:tc>
        <w:tc>
          <w:tcPr>
            <w:tcW w:w="909" w:type="dxa"/>
            <w:gridSpan w:val="7"/>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459.53 </w:t>
            </w:r>
          </w:p>
        </w:tc>
        <w:tc>
          <w:tcPr>
            <w:tcW w:w="1106"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932.98 </w:t>
            </w:r>
          </w:p>
        </w:tc>
        <w:tc>
          <w:tcPr>
            <w:tcW w:w="1472" w:type="dxa"/>
            <w:gridSpan w:val="5"/>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916.94 </w:t>
            </w:r>
          </w:p>
        </w:tc>
      </w:tr>
      <w:tr w:rsidR="00C9049E">
        <w:tblPrEx>
          <w:tblCellMar>
            <w:top w:w="0" w:type="dxa"/>
            <w:bottom w:w="0" w:type="dxa"/>
          </w:tblCellMar>
        </w:tblPrEx>
        <w:trPr>
          <w:gridBefore w:val="1"/>
          <w:wBefore w:w="210" w:type="dxa"/>
          <w:trHeight w:val="221"/>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2</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758,162.47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189,540.62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42,811.57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17,650.97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882.55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359.28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1,461.04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1,411.22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482.14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978.90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945.52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715,350.90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178,837.72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43,808.27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16,654.26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832.71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339.00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1,531.17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1,453.51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505.28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1,025.88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973.85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671,542.63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167,885.66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44,828.18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15,634.35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781.72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318.24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1,602.92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1,495.46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528.96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1,073.96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1,001.96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626,714.44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156,678.61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45,871.84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14,590.70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729.53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296.99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1,676.35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1,537.06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553.19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1,123.15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1,029.83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580,842.61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145,210.65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46,939.79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13,522.74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676.14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275.25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1,751.48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1,578.34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577.99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1,173.49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1,057.49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533,902.81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133,475.70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48,032.61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12,429.92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621.50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253.01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1,828.37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1,619.28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603.36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1,225.01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1,084.92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485,870.20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121,467.55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49,150.87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11,311.67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565.58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230.25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1,907.04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1,659.91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629.32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1,277.72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1,112.14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436,719.33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109,179.83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50,295.16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10,167.37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508.37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206.96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1,987.55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1,700.23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655.89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1,331.66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1,139.16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386,424.17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96,606.04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51,466.10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8,996.44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449.82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183.12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2,069.93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1,740.25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683.08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1,386.85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1,165.97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334,958.07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83,739.52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52,664.29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7,798.24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389.91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158.73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2,154.23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1,779.97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710.90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1,443.33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1,192.58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282,293.78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70,573.45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53,890.38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6,572.15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328.61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133.78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2,240.49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1,819.41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739.36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1,501.13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1,219.00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228,403.40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57,100.85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55,145.02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5,317.52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265.88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108.24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2,328.76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1,858.56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768.49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1,560.27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1,245.24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173,258.38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43,314.59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56,428.86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4,033.67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201.68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82.10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2,419.09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1,897.45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798.30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1,620.79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1,271.29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116,829.52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29,207.38 </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57,742.60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2,719.94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136.00 </w:t>
            </w:r>
          </w:p>
        </w:tc>
        <w:tc>
          <w:tcPr>
            <w:tcW w:w="73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55.36 </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2,511.51 </w:t>
            </w:r>
          </w:p>
        </w:tc>
        <w:tc>
          <w:tcPr>
            <w:tcW w:w="1343"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1,936.06 </w:t>
            </w:r>
          </w:p>
        </w:tc>
        <w:tc>
          <w:tcPr>
            <w:tcW w:w="909"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828.80 </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1,682.71 </w:t>
            </w:r>
          </w:p>
        </w:tc>
        <w:tc>
          <w:tcPr>
            <w:tcW w:w="1472" w:type="dxa"/>
            <w:gridSpan w:val="5"/>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1,297.16 </w:t>
            </w: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957"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59,086.92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14,771.73 </w:t>
            </w:r>
          </w:p>
        </w:tc>
        <w:tc>
          <w:tcPr>
            <w:tcW w:w="840"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9.3125%</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60,462.53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59,086.92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1,375.62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68.78 </w:t>
            </w:r>
          </w:p>
        </w:tc>
        <w:tc>
          <w:tcPr>
            <w:tcW w:w="735"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28.00 </w:t>
            </w: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2,606.09 </w:t>
            </w:r>
          </w:p>
        </w:tc>
        <w:tc>
          <w:tcPr>
            <w:tcW w:w="1343" w:type="dxa"/>
            <w:gridSpan w:val="8"/>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1,974.42 </w:t>
            </w:r>
          </w:p>
        </w:tc>
        <w:tc>
          <w:tcPr>
            <w:tcW w:w="909" w:type="dxa"/>
            <w:gridSpan w:val="7"/>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860.01 </w:t>
            </w:r>
          </w:p>
        </w:tc>
        <w:tc>
          <w:tcPr>
            <w:tcW w:w="1106"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1,746.08 </w:t>
            </w:r>
          </w:p>
        </w:tc>
        <w:tc>
          <w:tcPr>
            <w:tcW w:w="1472" w:type="dxa"/>
            <w:gridSpan w:val="5"/>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1,322.86 </w:t>
            </w:r>
          </w:p>
        </w:tc>
      </w:tr>
      <w:tr w:rsidR="00C9049E">
        <w:tblPrEx>
          <w:tblCellMar>
            <w:top w:w="0" w:type="dxa"/>
            <w:bottom w:w="0" w:type="dxa"/>
          </w:tblCellMar>
        </w:tblPrEx>
        <w:trPr>
          <w:gridBefore w:val="1"/>
          <w:wBefore w:w="210" w:type="dxa"/>
          <w:cantSplit/>
          <w:trHeight w:val="250"/>
        </w:trPr>
        <w:tc>
          <w:tcPr>
            <w:tcW w:w="1785" w:type="dxa"/>
            <w:gridSpan w:val="5"/>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1,797,589.91 </w:t>
            </w:r>
          </w:p>
        </w:tc>
        <w:tc>
          <w:tcPr>
            <w:tcW w:w="84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967,400.56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167,400.56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924,154.58 </w:t>
            </w: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8,370.03 </w:t>
            </w:r>
          </w:p>
        </w:tc>
        <w:tc>
          <w:tcPr>
            <w:tcW w:w="73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3,407.42 </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31,468.54 </w:t>
            </w:r>
          </w:p>
        </w:tc>
        <w:tc>
          <w:tcPr>
            <w:tcW w:w="1343"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26,829.70 </w:t>
            </w:r>
          </w:p>
        </w:tc>
        <w:tc>
          <w:tcPr>
            <w:tcW w:w="909"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10,384.62 </w:t>
            </w:r>
          </w:p>
        </w:tc>
        <w:tc>
          <w:tcPr>
            <w:tcW w:w="110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21,083.92 </w:t>
            </w:r>
          </w:p>
        </w:tc>
        <w:tc>
          <w:tcPr>
            <w:tcW w:w="1472" w:type="dxa"/>
            <w:gridSpan w:val="5"/>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17,975.90 </w:t>
            </w:r>
          </w:p>
        </w:tc>
      </w:tr>
      <w:tr w:rsidR="00C9049E">
        <w:tblPrEx>
          <w:tblCellMar>
            <w:top w:w="0" w:type="dxa"/>
            <w:bottom w:w="0" w:type="dxa"/>
          </w:tblCellMar>
        </w:tblPrEx>
        <w:trPr>
          <w:gridBefore w:val="1"/>
          <w:wBefore w:w="210" w:type="dxa"/>
          <w:trHeight w:val="250"/>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43"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26,829.70 </w:t>
            </w:r>
          </w:p>
        </w:tc>
        <w:tc>
          <w:tcPr>
            <w:tcW w:w="909"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4"/>
              </w:rPr>
            </w:pPr>
          </w:p>
        </w:tc>
        <w:tc>
          <w:tcPr>
            <w:tcW w:w="110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472" w:type="dxa"/>
            <w:gridSpan w:val="5"/>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17,975.90 </w:t>
            </w:r>
          </w:p>
        </w:tc>
      </w:tr>
      <w:tr w:rsidR="00C9049E">
        <w:tblPrEx>
          <w:tblCellMar>
            <w:top w:w="0" w:type="dxa"/>
            <w:bottom w:w="0" w:type="dxa"/>
          </w:tblCellMar>
        </w:tblPrEx>
        <w:trPr>
          <w:gridBefore w:val="1"/>
          <w:wBefore w:w="210" w:type="dxa"/>
          <w:trHeight w:val="250"/>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50" w:type="dxa"/>
            <w:gridSpan w:val="5"/>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43"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1.49253732%</w:t>
            </w:r>
          </w:p>
        </w:tc>
        <w:tc>
          <w:tcPr>
            <w:tcW w:w="909"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4"/>
              </w:rPr>
            </w:pPr>
          </w:p>
        </w:tc>
        <w:tc>
          <w:tcPr>
            <w:tcW w:w="110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472" w:type="dxa"/>
            <w:gridSpan w:val="5"/>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1.00000000%</w:t>
            </w:r>
          </w:p>
        </w:tc>
      </w:tr>
      <w:tr w:rsidR="00C9049E">
        <w:tblPrEx>
          <w:tblCellMar>
            <w:top w:w="0" w:type="dxa"/>
            <w:bottom w:w="0" w:type="dxa"/>
          </w:tblCellMar>
        </w:tblPrEx>
        <w:trPr>
          <w:gridBefore w:val="1"/>
          <w:wBefore w:w="210" w:type="dxa"/>
          <w:cantSplit/>
          <w:trHeight w:val="3495"/>
        </w:trPr>
        <w:tc>
          <w:tcPr>
            <w:tcW w:w="14910" w:type="dxa"/>
            <w:gridSpan w:val="71"/>
            <w:tcBorders>
              <w:bottom w:val="single" w:sz="12" w:space="0" w:color="auto"/>
            </w:tcBorders>
          </w:tcPr>
          <w:p w:rsidR="00C9049E" w:rsidRDefault="00C9049E" w:rsidP="00E92C7E">
            <w:pPr>
              <w:autoSpaceDE w:val="0"/>
              <w:autoSpaceDN w:val="0"/>
              <w:adjustRightInd w:val="0"/>
              <w:spacing w:line="360" w:lineRule="auto"/>
              <w:ind w:firstLine="645"/>
              <w:rPr>
                <w:rFonts w:ascii="楷体_GB2312" w:eastAsia="楷体_GB2312" w:hint="eastAsia"/>
                <w:bCs/>
                <w:color w:val="000000"/>
                <w:sz w:val="28"/>
              </w:rPr>
            </w:pPr>
            <w:r>
              <w:rPr>
                <w:rFonts w:ascii="黑体" w:eastAsia="黑体"/>
                <w:bCs/>
                <w:color w:val="000000"/>
                <w:sz w:val="28"/>
              </w:rPr>
              <w:lastRenderedPageBreak/>
              <w:t>A6</w:t>
            </w:r>
            <w:r>
              <w:rPr>
                <w:rFonts w:ascii="楷体_GB2312" w:eastAsia="楷体_GB2312"/>
                <w:bCs/>
                <w:color w:val="000000"/>
                <w:sz w:val="28"/>
              </w:rPr>
              <w:t xml:space="preserve">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1%</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645"/>
              <w:rPr>
                <w:rFonts w:ascii="楷体_GB2312" w:eastAsia="楷体_GB2312"/>
                <w:bCs/>
                <w:color w:val="000000"/>
                <w:sz w:val="32"/>
              </w:rPr>
            </w:pP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仿宋_GB2312" w:eastAsia="仿宋_GB2312"/>
                <w:bCs/>
                <w:color w:val="000000"/>
                <w:sz w:val="44"/>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仿宋_GB2312" w:eastAsia="仿宋_GB2312"/>
                <w:bCs/>
                <w:color w:val="000000"/>
                <w:sz w:val="44"/>
              </w:rPr>
            </w:pPr>
          </w:p>
          <w:p w:rsidR="00C9049E" w:rsidRDefault="00C9049E" w:rsidP="00E92C7E">
            <w:pPr>
              <w:autoSpaceDE w:val="0"/>
              <w:autoSpaceDN w:val="0"/>
              <w:adjustRightInd w:val="0"/>
              <w:spacing w:line="360" w:lineRule="auto"/>
              <w:rPr>
                <w:rFonts w:ascii="宋体"/>
                <w:bCs/>
                <w:color w:val="000000"/>
                <w:sz w:val="28"/>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gridBefore w:val="1"/>
          <w:wBefore w:w="210" w:type="dxa"/>
          <w:trHeight w:val="278"/>
        </w:trPr>
        <w:tc>
          <w:tcPr>
            <w:tcW w:w="82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062"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91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973"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1126"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2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gridBefore w:val="1"/>
          <w:wBefore w:w="210" w:type="dxa"/>
          <w:trHeight w:val="192"/>
        </w:trPr>
        <w:tc>
          <w:tcPr>
            <w:tcW w:w="82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062"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917"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41,571.26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57,759.66 </w:t>
            </w:r>
          </w:p>
        </w:tc>
        <w:tc>
          <w:tcPr>
            <w:tcW w:w="73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963.95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 </w:t>
            </w:r>
          </w:p>
        </w:tc>
        <w:tc>
          <w:tcPr>
            <w:tcW w:w="1126" w:type="dxa"/>
            <w:gridSpan w:val="8"/>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126.56 </w:t>
            </w:r>
          </w:p>
        </w:tc>
        <w:tc>
          <w:tcPr>
            <w:tcW w:w="1245"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124.38 </w:t>
            </w:r>
          </w:p>
        </w:tc>
        <w:tc>
          <w:tcPr>
            <w:tcW w:w="896" w:type="dxa"/>
            <w:gridSpan w:val="7"/>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41.76 </w:t>
            </w:r>
          </w:p>
        </w:tc>
        <w:tc>
          <w:tcPr>
            <w:tcW w:w="933"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84.79 </w:t>
            </w:r>
          </w:p>
        </w:tc>
        <w:tc>
          <w:tcPr>
            <w:tcW w:w="1365" w:type="dxa"/>
            <w:gridSpan w:val="3"/>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83.34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758,428.74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189,607.18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42,573.07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18,277.10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913.85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1,896.07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280.58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271.01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92.59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187.99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181.58 </w:t>
            </w:r>
          </w:p>
        </w:tc>
      </w:tr>
      <w:tr w:rsidR="00C9049E">
        <w:tblPrEx>
          <w:tblCellMar>
            <w:top w:w="0" w:type="dxa"/>
            <w:bottom w:w="0" w:type="dxa"/>
          </w:tblCellMar>
        </w:tblPrEx>
        <w:trPr>
          <w:gridBefore w:val="1"/>
          <w:wBefore w:w="210" w:type="dxa"/>
          <w:trHeight w:val="211"/>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715,855.67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178,963.92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43,599.02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17,251.14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862.56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1,789.64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438.31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416.08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144.64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293.67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278.77 </w:t>
            </w:r>
          </w:p>
        </w:tc>
      </w:tr>
      <w:tr w:rsidR="00C9049E">
        <w:tblPrEx>
          <w:tblCellMar>
            <w:top w:w="0" w:type="dxa"/>
            <w:bottom w:w="0" w:type="dxa"/>
          </w:tblCellMar>
        </w:tblPrEx>
        <w:trPr>
          <w:gridBefore w:val="1"/>
          <w:wBefore w:w="210" w:type="dxa"/>
          <w:trHeight w:val="211"/>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672,256.65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168,064.16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44,649.70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16,200.47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810.02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1,680.64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599.84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559.63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197.95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401.89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374.95 </w:t>
            </w:r>
          </w:p>
        </w:tc>
      </w:tr>
      <w:tr w:rsidR="00C9049E">
        <w:tblPrEx>
          <w:tblCellMar>
            <w:top w:w="0" w:type="dxa"/>
            <w:bottom w:w="0" w:type="dxa"/>
          </w:tblCellMar>
        </w:tblPrEx>
        <w:trPr>
          <w:gridBefore w:val="1"/>
          <w:wBefore w:w="210" w:type="dxa"/>
          <w:trHeight w:val="211"/>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627,606.95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156,901.74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45,725.70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15,124.47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756.22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1,569.02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765.26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701.68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252.54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512.73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470.13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581,881.25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145,470.31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46,827.62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14,022.54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701.13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1,454.70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934.67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842.27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308.44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626.23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564.32 </w:t>
            </w:r>
          </w:p>
        </w:tc>
      </w:tr>
      <w:tr w:rsidR="00C9049E">
        <w:tblPrEx>
          <w:tblCellMar>
            <w:top w:w="0" w:type="dxa"/>
            <w:bottom w:w="0" w:type="dxa"/>
          </w:tblCellMar>
        </w:tblPrEx>
        <w:trPr>
          <w:gridBefore w:val="1"/>
          <w:wBefore w:w="210" w:type="dxa"/>
          <w:trHeight w:val="211"/>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535,053.62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133,763.41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47,956.11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12,894.06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644.70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1,337.63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1,108.17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981.44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365.70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742.47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657.57 </w:t>
            </w: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487,097.52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121,774.38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49,111.78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11,738.38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586.92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1,217.74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1,285.84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1,119.21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424.33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861.51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749.87 </w:t>
            </w:r>
          </w:p>
        </w:tc>
      </w:tr>
      <w:tr w:rsidR="00C9049E">
        <w:tblPrEx>
          <w:tblCellMar>
            <w:top w:w="0" w:type="dxa"/>
            <w:bottom w:w="0" w:type="dxa"/>
          </w:tblCellMar>
        </w:tblPrEx>
        <w:trPr>
          <w:gridBefore w:val="1"/>
          <w:wBefore w:w="210" w:type="dxa"/>
          <w:trHeight w:val="211"/>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437,985.74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109,496.43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50,295.31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10,554.86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527.74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1,094.96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1,467.80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1,255.61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484.37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983.42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841.26 </w:t>
            </w:r>
          </w:p>
        </w:tc>
      </w:tr>
      <w:tr w:rsidR="00C9049E">
        <w:tblPrEx>
          <w:tblCellMar>
            <w:top w:w="0" w:type="dxa"/>
            <w:bottom w:w="0" w:type="dxa"/>
          </w:tblCellMar>
        </w:tblPrEx>
        <w:trPr>
          <w:gridBefore w:val="1"/>
          <w:wBefore w:w="210" w:type="dxa"/>
          <w:trHeight w:val="211"/>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387,690.43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96,922.61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51,507.36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9,342.81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467.14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969.23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1,654.14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1,390.68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545.87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1,108.27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931.76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336,183.07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84,045.77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52,748.61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8,101.55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405.08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840.46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1,844.97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1,524.44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608.84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1,236.13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1,021.38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283,434.46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70,858.61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54,019.78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6,830.38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41.52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708.59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2,040.40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1,656.92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673.33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1,367.07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1,110.14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13</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229,414.68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57,353.67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55,321.59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5,528.58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276.43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573.54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2,240.54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1,788.15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739.38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1,501.16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1,198.06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174,093.09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43,523.27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56,654.76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4,195.41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209.77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435.23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2,445.50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1,918.17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807.02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1,638.49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1,285.17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062"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117,438.33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29,359.58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58,020.06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2,830.10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141.51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293.60 </w:t>
            </w:r>
          </w:p>
        </w:tc>
        <w:tc>
          <w:tcPr>
            <w:tcW w:w="1126"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2,655.40 </w:t>
            </w:r>
          </w:p>
        </w:tc>
        <w:tc>
          <w:tcPr>
            <w:tcW w:w="12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2,046.98 </w:t>
            </w:r>
          </w:p>
        </w:tc>
        <w:tc>
          <w:tcPr>
            <w:tcW w:w="896"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876.28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1,779.12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1,371.48 </w:t>
            </w: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062"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59,418.27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14,854.57 </w:t>
            </w:r>
          </w:p>
        </w:tc>
        <w:tc>
          <w:tcPr>
            <w:tcW w:w="917"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73"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59,418.27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1,431.90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71.59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148.55 </w:t>
            </w:r>
          </w:p>
        </w:tc>
        <w:tc>
          <w:tcPr>
            <w:tcW w:w="1126" w:type="dxa"/>
            <w:gridSpan w:val="8"/>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2,870.36 </w:t>
            </w:r>
          </w:p>
        </w:tc>
        <w:tc>
          <w:tcPr>
            <w:tcW w:w="1245"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2,174.63 </w:t>
            </w:r>
          </w:p>
        </w:tc>
        <w:tc>
          <w:tcPr>
            <w:tcW w:w="896" w:type="dxa"/>
            <w:gridSpan w:val="7"/>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947.22 </w:t>
            </w:r>
          </w:p>
        </w:tc>
        <w:tc>
          <w:tcPr>
            <w:tcW w:w="933"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1,923.14 </w:t>
            </w:r>
          </w:p>
        </w:tc>
        <w:tc>
          <w:tcPr>
            <w:tcW w:w="1365" w:type="dxa"/>
            <w:gridSpan w:val="3"/>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1,457.01 </w:t>
            </w:r>
          </w:p>
        </w:tc>
      </w:tr>
      <w:tr w:rsidR="00C9049E">
        <w:tblPrEx>
          <w:tblCellMar>
            <w:top w:w="0" w:type="dxa"/>
            <w:bottom w:w="0" w:type="dxa"/>
          </w:tblCellMar>
        </w:tblPrEx>
        <w:trPr>
          <w:gridBefore w:val="1"/>
          <w:wBefore w:w="210" w:type="dxa"/>
          <w:cantSplit/>
          <w:trHeight w:val="250"/>
        </w:trPr>
        <w:tc>
          <w:tcPr>
            <w:tcW w:w="1890" w:type="dxa"/>
            <w:gridSpan w:val="6"/>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1,800,959.61 </w:t>
            </w:r>
          </w:p>
        </w:tc>
        <w:tc>
          <w:tcPr>
            <w:tcW w:w="91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73"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973,602.65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173,602.65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924,154.58 </w:t>
            </w: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8,680.13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18,009.60 </w:t>
            </w:r>
          </w:p>
        </w:tc>
        <w:tc>
          <w:tcPr>
            <w:tcW w:w="1126"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22,758.34 </w:t>
            </w:r>
          </w:p>
        </w:tc>
        <w:tc>
          <w:tcPr>
            <w:tcW w:w="12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18,771.30 </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7,510.25 </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15,248.09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12,576.77 </w:t>
            </w:r>
          </w:p>
        </w:tc>
      </w:tr>
      <w:tr w:rsidR="00C9049E">
        <w:tblPrEx>
          <w:tblCellMar>
            <w:top w:w="0" w:type="dxa"/>
            <w:bottom w:w="0" w:type="dxa"/>
          </w:tblCellMar>
        </w:tblPrEx>
        <w:trPr>
          <w:gridBefore w:val="1"/>
          <w:wBefore w:w="210" w:type="dxa"/>
          <w:trHeight w:val="250"/>
        </w:trPr>
        <w:tc>
          <w:tcPr>
            <w:tcW w:w="1890" w:type="dxa"/>
            <w:gridSpan w:val="6"/>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1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73"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1126"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18,771.30 </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4"/>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12,576.77 </w:t>
            </w:r>
          </w:p>
        </w:tc>
      </w:tr>
      <w:tr w:rsidR="00C9049E">
        <w:tblPrEx>
          <w:tblCellMar>
            <w:top w:w="0" w:type="dxa"/>
            <w:bottom w:w="0" w:type="dxa"/>
          </w:tblCellMar>
        </w:tblPrEx>
        <w:trPr>
          <w:gridBefore w:val="1"/>
          <w:wBefore w:w="210" w:type="dxa"/>
          <w:trHeight w:val="250"/>
        </w:trPr>
        <w:tc>
          <w:tcPr>
            <w:tcW w:w="1890" w:type="dxa"/>
            <w:gridSpan w:val="6"/>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50" w:type="dxa"/>
            <w:gridSpan w:val="5"/>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17" w:type="dxa"/>
            <w:gridSpan w:val="6"/>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73" w:type="dxa"/>
            <w:gridSpan w:val="3"/>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1126"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1.04229442%</w:t>
            </w:r>
          </w:p>
        </w:tc>
        <w:tc>
          <w:tcPr>
            <w:tcW w:w="896"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4"/>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0.69833726%</w:t>
            </w:r>
          </w:p>
        </w:tc>
      </w:tr>
      <w:tr w:rsidR="00C9049E">
        <w:tblPrEx>
          <w:tblCellMar>
            <w:top w:w="0" w:type="dxa"/>
            <w:bottom w:w="0" w:type="dxa"/>
          </w:tblCellMar>
        </w:tblPrEx>
        <w:trPr>
          <w:gridBefore w:val="1"/>
          <w:wBefore w:w="210" w:type="dxa"/>
          <w:cantSplit/>
          <w:trHeight w:val="178"/>
        </w:trPr>
        <w:tc>
          <w:tcPr>
            <w:tcW w:w="14910" w:type="dxa"/>
            <w:gridSpan w:val="71"/>
            <w:tcBorders>
              <w:top w:val="single" w:sz="12" w:space="0" w:color="auto"/>
              <w:bottom w:val="nil"/>
            </w:tcBorders>
          </w:tcPr>
          <w:p w:rsidR="00C9049E" w:rsidRDefault="00C9049E" w:rsidP="00E92C7E">
            <w:pPr>
              <w:autoSpaceDE w:val="0"/>
              <w:autoSpaceDN w:val="0"/>
              <w:adjustRightInd w:val="0"/>
              <w:spacing w:line="360" w:lineRule="auto"/>
              <w:jc w:val="right"/>
              <w:rPr>
                <w:rFonts w:ascii="宋体"/>
                <w:bCs/>
                <w:color w:val="000000"/>
                <w:sz w:val="24"/>
              </w:rPr>
            </w:pPr>
          </w:p>
        </w:tc>
      </w:tr>
      <w:tr w:rsidR="00C9049E">
        <w:tblPrEx>
          <w:tblCellMar>
            <w:top w:w="0" w:type="dxa"/>
            <w:bottom w:w="0" w:type="dxa"/>
          </w:tblCellMar>
        </w:tblPrEx>
        <w:trPr>
          <w:gridBefore w:val="1"/>
          <w:wBefore w:w="210" w:type="dxa"/>
          <w:cantSplit/>
          <w:trHeight w:val="2280"/>
        </w:trPr>
        <w:tc>
          <w:tcPr>
            <w:tcW w:w="14910" w:type="dxa"/>
            <w:gridSpan w:val="71"/>
            <w:tcBorders>
              <w:bottom w:val="single" w:sz="12" w:space="0" w:color="auto"/>
            </w:tcBorders>
          </w:tcPr>
          <w:p w:rsidR="00C9049E" w:rsidRDefault="00C9049E" w:rsidP="00E92C7E">
            <w:pPr>
              <w:autoSpaceDE w:val="0"/>
              <w:autoSpaceDN w:val="0"/>
              <w:adjustRightInd w:val="0"/>
              <w:spacing w:line="360" w:lineRule="auto"/>
              <w:ind w:firstLine="630"/>
              <w:rPr>
                <w:rFonts w:ascii="楷体_GB2312" w:eastAsia="楷体_GB2312" w:hint="eastAsia"/>
                <w:bCs/>
                <w:color w:val="000000"/>
                <w:sz w:val="28"/>
              </w:rPr>
            </w:pPr>
            <w:r>
              <w:rPr>
                <w:rFonts w:ascii="黑体" w:eastAsia="黑体" w:hint="eastAsia"/>
                <w:bCs/>
                <w:color w:val="000000"/>
                <w:sz w:val="28"/>
              </w:rPr>
              <w:t>表</w:t>
            </w:r>
            <w:r>
              <w:rPr>
                <w:rFonts w:ascii="黑体" w:eastAsia="黑体"/>
                <w:bCs/>
                <w:color w:val="000000"/>
                <w:sz w:val="28"/>
              </w:rPr>
              <w:t>A7</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630"/>
              <w:rPr>
                <w:rFonts w:ascii="楷体_GB2312" w:eastAsia="楷体_GB2312"/>
                <w:bCs/>
                <w:color w:val="000000"/>
                <w:sz w:val="32"/>
              </w:rPr>
            </w:pP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rPr>
                <w:rFonts w:ascii="楷体_GB2312" w:eastAsia="楷体_GB2312" w:hint="eastAsia"/>
                <w:bCs/>
                <w:color w:val="000000"/>
                <w:sz w:val="32"/>
              </w:rPr>
            </w:pPr>
          </w:p>
          <w:p w:rsidR="00C9049E" w:rsidRDefault="00C9049E" w:rsidP="00E92C7E">
            <w:pPr>
              <w:autoSpaceDE w:val="0"/>
              <w:autoSpaceDN w:val="0"/>
              <w:adjustRightInd w:val="0"/>
              <w:spacing w:line="360" w:lineRule="auto"/>
              <w:rPr>
                <w:rFonts w:ascii="宋体"/>
                <w:bCs/>
                <w:color w:val="000000"/>
                <w:sz w:val="24"/>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7.85790524%</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gridBefore w:val="1"/>
          <w:wBefore w:w="210" w:type="dxa"/>
          <w:trHeight w:val="293"/>
        </w:trPr>
        <w:tc>
          <w:tcPr>
            <w:tcW w:w="82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104"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91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973"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27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938"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360"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gridBefore w:val="1"/>
          <w:wBefore w:w="210" w:type="dxa"/>
          <w:trHeight w:val="192"/>
        </w:trPr>
        <w:tc>
          <w:tcPr>
            <w:tcW w:w="82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104"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917"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43,038.62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15,715.81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785.79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 </w:t>
            </w:r>
          </w:p>
        </w:tc>
        <w:tc>
          <w:tcPr>
            <w:tcW w:w="1140" w:type="dxa"/>
            <w:gridSpan w:val="9"/>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-791.02 </w:t>
            </w:r>
          </w:p>
        </w:tc>
        <w:tc>
          <w:tcPr>
            <w:tcW w:w="1275"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-791.02 </w:t>
            </w:r>
          </w:p>
        </w:tc>
        <w:tc>
          <w:tcPr>
            <w:tcW w:w="1360" w:type="dxa"/>
            <w:gridSpan w:val="3"/>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756,961.38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189,240.35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43,884.10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14,870.33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743.52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946.20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-694.95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-694.95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3</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713,077.28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178,269.32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44,746.19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14,008.23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700.41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891.35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-596.99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-596.99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95"/>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668,331.09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167,082.77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45,625.22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13,129.21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656.46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835.41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-497.11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-497.11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622,705.86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155,676.47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46,521.52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12,232.91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611.65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778.38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-395.26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-395.26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576,184.34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144,046.09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47,435.42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11,319.00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565.95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720.23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-291.41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-291.41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528,748.92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132,187.23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48,367.28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10,387.15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519.36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660.94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-185.53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-185.53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480,381.64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120,095.41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49,317.45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9,436.98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471.85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600.48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-77.56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-77.56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431,064.19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107,766.05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50,286.27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8,468.15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423.41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538.83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32.53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32.53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380,777.92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95,194.48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51,274.14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7,480.29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374.01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475.97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144.78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144.78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329,503.78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82,375.95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52,281.40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6,473.02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323.65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411.88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259.24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259.24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277,222.38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69,305.59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53,308.46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5,445.97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272.30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346.53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375.94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375.94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223,913.92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55,978.48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54,355.69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4,398.74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219.94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279.89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494.94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494.94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169,558.23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42,389.56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55,423.50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3,330.93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166.55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211.95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616.27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616.27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114,134.73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28,533.68 </w:t>
            </w:r>
          </w:p>
        </w:tc>
        <w:tc>
          <w:tcPr>
            <w:tcW w:w="91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56,512.28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2,242.15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112.11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142.67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739.99 </w:t>
            </w:r>
          </w:p>
        </w:tc>
        <w:tc>
          <w:tcPr>
            <w:tcW w:w="127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739.99 </w:t>
            </w:r>
          </w:p>
        </w:tc>
        <w:tc>
          <w:tcPr>
            <w:tcW w:w="1360"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104"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57,622.45 </w:t>
            </w:r>
          </w:p>
        </w:tc>
        <w:tc>
          <w:tcPr>
            <w:tcW w:w="1008"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14,405.61 </w:t>
            </w:r>
          </w:p>
        </w:tc>
        <w:tc>
          <w:tcPr>
            <w:tcW w:w="917"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7.8579%</w:t>
            </w:r>
          </w:p>
        </w:tc>
        <w:tc>
          <w:tcPr>
            <w:tcW w:w="973"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58,754.43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57,622.45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1,131.98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73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56.60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72.03 </w:t>
            </w:r>
          </w:p>
        </w:tc>
        <w:tc>
          <w:tcPr>
            <w:tcW w:w="1140" w:type="dxa"/>
            <w:gridSpan w:val="9"/>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866.14 </w:t>
            </w:r>
          </w:p>
        </w:tc>
        <w:tc>
          <w:tcPr>
            <w:tcW w:w="1275"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52"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8"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866.14 </w:t>
            </w:r>
          </w:p>
        </w:tc>
        <w:tc>
          <w:tcPr>
            <w:tcW w:w="1360" w:type="dxa"/>
            <w:gridSpan w:val="3"/>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r>
      <w:tr w:rsidR="00C9049E">
        <w:tblPrEx>
          <w:tblCellMar>
            <w:top w:w="0" w:type="dxa"/>
            <w:bottom w:w="0" w:type="dxa"/>
          </w:tblCellMar>
        </w:tblPrEx>
        <w:trPr>
          <w:gridBefore w:val="1"/>
          <w:wBefore w:w="210" w:type="dxa"/>
          <w:cantSplit/>
          <w:trHeight w:val="293"/>
        </w:trPr>
        <w:tc>
          <w:tcPr>
            <w:tcW w:w="1932" w:type="dxa"/>
            <w:gridSpan w:val="7"/>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1,782,547.03 </w:t>
            </w:r>
          </w:p>
        </w:tc>
        <w:tc>
          <w:tcPr>
            <w:tcW w:w="91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73"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940,070.86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140,070.86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924,154.58 </w:t>
            </w: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7,003.54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8,912.74 </w:t>
            </w: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0.00 </w:t>
            </w:r>
          </w:p>
        </w:tc>
        <w:tc>
          <w:tcPr>
            <w:tcW w:w="127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0.00 </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0.00 </w:t>
            </w:r>
          </w:p>
        </w:tc>
        <w:tc>
          <w:tcPr>
            <w:tcW w:w="938"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0.00 </w:t>
            </w:r>
          </w:p>
        </w:tc>
        <w:tc>
          <w:tcPr>
            <w:tcW w:w="1360"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0.00 </w:t>
            </w:r>
          </w:p>
        </w:tc>
      </w:tr>
      <w:tr w:rsidR="00C9049E">
        <w:tblPrEx>
          <w:tblCellMar>
            <w:top w:w="0" w:type="dxa"/>
            <w:bottom w:w="0" w:type="dxa"/>
          </w:tblCellMar>
        </w:tblPrEx>
        <w:trPr>
          <w:gridBefore w:val="1"/>
          <w:wBefore w:w="210" w:type="dxa"/>
          <w:trHeight w:val="259"/>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1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73"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宋体"/>
                <w:bCs/>
                <w:color w:val="000000"/>
                <w:sz w:val="24"/>
              </w:rPr>
            </w:pP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7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0.00 </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c>
          <w:tcPr>
            <w:tcW w:w="938"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0"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0.00 </w:t>
            </w:r>
          </w:p>
        </w:tc>
      </w:tr>
      <w:tr w:rsidR="00C9049E">
        <w:tblPrEx>
          <w:tblCellMar>
            <w:top w:w="0" w:type="dxa"/>
            <w:bottom w:w="0" w:type="dxa"/>
          </w:tblCellMar>
        </w:tblPrEx>
        <w:trPr>
          <w:gridBefore w:val="1"/>
          <w:wBefore w:w="210" w:type="dxa"/>
          <w:trHeight w:val="322"/>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08" w:type="dxa"/>
            <w:gridSpan w:val="4"/>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17" w:type="dxa"/>
            <w:gridSpan w:val="6"/>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73" w:type="dxa"/>
            <w:gridSpan w:val="3"/>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945"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73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宋体"/>
                <w:bCs/>
                <w:color w:val="000000"/>
                <w:sz w:val="24"/>
              </w:rPr>
            </w:pP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7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0.00000000%</w:t>
            </w:r>
          </w:p>
        </w:tc>
        <w:tc>
          <w:tcPr>
            <w:tcW w:w="852"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c>
          <w:tcPr>
            <w:tcW w:w="938"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0"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0.00000000%</w:t>
            </w:r>
          </w:p>
        </w:tc>
      </w:tr>
      <w:tr w:rsidR="00C9049E">
        <w:tblPrEx>
          <w:tblCellMar>
            <w:top w:w="0" w:type="dxa"/>
            <w:bottom w:w="0" w:type="dxa"/>
          </w:tblCellMar>
        </w:tblPrEx>
        <w:trPr>
          <w:gridBefore w:val="1"/>
          <w:wBefore w:w="210" w:type="dxa"/>
          <w:cantSplit/>
          <w:trHeight w:val="322"/>
        </w:trPr>
        <w:tc>
          <w:tcPr>
            <w:tcW w:w="14910" w:type="dxa"/>
            <w:gridSpan w:val="71"/>
            <w:tcBorders>
              <w:top w:val="single" w:sz="12" w:space="0" w:color="auto"/>
              <w:bottom w:val="nil"/>
            </w:tcBorders>
            <w:vAlign w:val="center"/>
          </w:tcPr>
          <w:p w:rsidR="00C9049E" w:rsidRDefault="00C9049E" w:rsidP="00E92C7E">
            <w:pPr>
              <w:autoSpaceDE w:val="0"/>
              <w:autoSpaceDN w:val="0"/>
              <w:adjustRightInd w:val="0"/>
              <w:spacing w:line="360" w:lineRule="auto"/>
              <w:jc w:val="right"/>
              <w:rPr>
                <w:rFonts w:eastAsia="黑体"/>
                <w:bCs/>
                <w:i/>
                <w:color w:val="000000"/>
              </w:rPr>
            </w:pPr>
          </w:p>
        </w:tc>
      </w:tr>
      <w:tr w:rsidR="00C9049E">
        <w:tblPrEx>
          <w:tblCellMar>
            <w:top w:w="0" w:type="dxa"/>
            <w:bottom w:w="0" w:type="dxa"/>
          </w:tblCellMar>
        </w:tblPrEx>
        <w:trPr>
          <w:gridBefore w:val="1"/>
          <w:wBefore w:w="210" w:type="dxa"/>
          <w:cantSplit/>
          <w:trHeight w:val="3240"/>
        </w:trPr>
        <w:tc>
          <w:tcPr>
            <w:tcW w:w="14910" w:type="dxa"/>
            <w:gridSpan w:val="71"/>
            <w:tcBorders>
              <w:bottom w:val="single" w:sz="12" w:space="0" w:color="auto"/>
            </w:tcBorders>
          </w:tcPr>
          <w:p w:rsidR="00C9049E" w:rsidRDefault="00C9049E" w:rsidP="00E92C7E">
            <w:pPr>
              <w:autoSpaceDE w:val="0"/>
              <w:autoSpaceDN w:val="0"/>
              <w:adjustRightInd w:val="0"/>
              <w:spacing w:line="360" w:lineRule="auto"/>
              <w:ind w:firstLine="660"/>
              <w:rPr>
                <w:rFonts w:ascii="黑体" w:eastAsia="黑体" w:hint="eastAsia"/>
                <w:bCs/>
                <w:color w:val="000000"/>
                <w:sz w:val="28"/>
              </w:rPr>
            </w:pPr>
          </w:p>
          <w:p w:rsidR="00C9049E" w:rsidRDefault="00C9049E" w:rsidP="00E92C7E">
            <w:pPr>
              <w:autoSpaceDE w:val="0"/>
              <w:autoSpaceDN w:val="0"/>
              <w:adjustRightInd w:val="0"/>
              <w:spacing w:line="360" w:lineRule="auto"/>
              <w:ind w:firstLine="660"/>
              <w:rPr>
                <w:rFonts w:ascii="黑体" w:eastAsia="黑体" w:hint="eastAsia"/>
                <w:bCs/>
                <w:color w:val="000000"/>
                <w:sz w:val="28"/>
              </w:rPr>
            </w:pPr>
          </w:p>
          <w:p w:rsidR="00C9049E" w:rsidRDefault="00C9049E" w:rsidP="00E92C7E">
            <w:pPr>
              <w:autoSpaceDE w:val="0"/>
              <w:autoSpaceDN w:val="0"/>
              <w:adjustRightInd w:val="0"/>
              <w:spacing w:line="360" w:lineRule="auto"/>
              <w:ind w:firstLine="660"/>
              <w:rPr>
                <w:rFonts w:ascii="黑体" w:eastAsia="黑体" w:hint="eastAsia"/>
                <w:bCs/>
                <w:color w:val="000000"/>
                <w:sz w:val="28"/>
              </w:rPr>
            </w:pPr>
          </w:p>
          <w:p w:rsidR="00C9049E" w:rsidRDefault="00C9049E" w:rsidP="00E92C7E">
            <w:pPr>
              <w:autoSpaceDE w:val="0"/>
              <w:autoSpaceDN w:val="0"/>
              <w:adjustRightInd w:val="0"/>
              <w:spacing w:line="360" w:lineRule="auto"/>
              <w:ind w:firstLine="660"/>
              <w:rPr>
                <w:rFonts w:ascii="黑体" w:eastAsia="黑体" w:hint="eastAsia"/>
                <w:bCs/>
                <w:color w:val="000000"/>
                <w:sz w:val="28"/>
              </w:rPr>
            </w:pPr>
          </w:p>
          <w:p w:rsidR="00C9049E" w:rsidRDefault="00C9049E" w:rsidP="00E92C7E">
            <w:pPr>
              <w:autoSpaceDE w:val="0"/>
              <w:autoSpaceDN w:val="0"/>
              <w:adjustRightInd w:val="0"/>
              <w:spacing w:line="360" w:lineRule="auto"/>
              <w:ind w:firstLine="660"/>
              <w:rPr>
                <w:rFonts w:ascii="楷体_GB2312" w:eastAsia="楷体_GB2312" w:hint="eastAsia"/>
                <w:bCs/>
                <w:color w:val="000000"/>
                <w:sz w:val="28"/>
              </w:rPr>
            </w:pPr>
            <w:r>
              <w:rPr>
                <w:rFonts w:ascii="黑体" w:eastAsia="黑体" w:hint="eastAsia"/>
                <w:bCs/>
                <w:color w:val="000000"/>
                <w:sz w:val="28"/>
              </w:rPr>
              <w:t>表</w:t>
            </w:r>
            <w:r>
              <w:rPr>
                <w:rFonts w:ascii="黑体" w:eastAsia="黑体"/>
                <w:bCs/>
                <w:color w:val="000000"/>
                <w:sz w:val="28"/>
              </w:rPr>
              <w:t>A</w:t>
            </w:r>
            <w:r>
              <w:rPr>
                <w:rFonts w:ascii="黑体" w:eastAsia="黑体" w:hint="eastAsia"/>
                <w:bCs/>
                <w:color w:val="000000"/>
                <w:sz w:val="28"/>
              </w:rPr>
              <w:t>8</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660"/>
              <w:rPr>
                <w:rFonts w:ascii="楷体_GB2312" w:eastAsia="楷体_GB2312"/>
                <w:bCs/>
                <w:color w:val="000000"/>
                <w:sz w:val="28"/>
              </w:rPr>
            </w:pP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rPr>
                <w:rFonts w:ascii="仿宋_GB2312" w:eastAsia="仿宋_GB2312"/>
                <w:bCs/>
                <w:color w:val="000000"/>
                <w:sz w:val="44"/>
              </w:rPr>
            </w:pPr>
          </w:p>
          <w:p w:rsidR="00C9049E" w:rsidRDefault="00C9049E" w:rsidP="00E92C7E">
            <w:pPr>
              <w:autoSpaceDE w:val="0"/>
              <w:autoSpaceDN w:val="0"/>
              <w:adjustRightInd w:val="0"/>
              <w:spacing w:line="360" w:lineRule="auto"/>
              <w:rPr>
                <w:rFonts w:ascii="宋体"/>
                <w:bCs/>
                <w:color w:val="000000"/>
                <w:sz w:val="24"/>
              </w:rPr>
            </w:pPr>
            <w:r>
              <w:rPr>
                <w:rFonts w:ascii="楷体_GB2312" w:eastAsia="楷体_GB2312"/>
                <w:bCs/>
                <w:color w:val="000000"/>
                <w:sz w:val="28"/>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6</w:t>
            </w:r>
            <w:r>
              <w:rPr>
                <w:rFonts w:ascii="楷体_GB2312" w:eastAsia="楷体_GB2312" w:hint="eastAsia"/>
                <w:bCs/>
                <w:color w:val="000000"/>
                <w:sz w:val="28"/>
              </w:rPr>
              <w:t>个月，租金后付，各期等额，租赁年利率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gridBefore w:val="1"/>
          <w:wBefore w:w="210" w:type="dxa"/>
          <w:trHeight w:val="307"/>
        </w:trPr>
        <w:tc>
          <w:tcPr>
            <w:tcW w:w="82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957"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30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82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gridBefore w:val="1"/>
          <w:wBefore w:w="210" w:type="dxa"/>
          <w:trHeight w:val="192"/>
        </w:trPr>
        <w:tc>
          <w:tcPr>
            <w:tcW w:w="82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957"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945"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122,877.00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84,319.19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38,557.81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1</w:t>
            </w:r>
            <w:r>
              <w:rPr>
                <w:rFonts w:eastAsia="黑体"/>
                <w:bCs/>
                <w:i/>
                <w:color w:val="000000"/>
                <w:sz w:val="18"/>
              </w:rPr>
              <w:t xml:space="preserve">16,381.32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 </w:t>
            </w:r>
          </w:p>
        </w:tc>
        <w:tc>
          <w:tcPr>
            <w:tcW w:w="1140" w:type="dxa"/>
            <w:gridSpan w:val="9"/>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2,567.80 </w:t>
            </w:r>
          </w:p>
        </w:tc>
        <w:tc>
          <w:tcPr>
            <w:tcW w:w="1301" w:type="dxa"/>
            <w:gridSpan w:val="7"/>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2,480.96 </w:t>
            </w:r>
          </w:p>
        </w:tc>
        <w:tc>
          <w:tcPr>
            <w:tcW w:w="826"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847.37 </w:t>
            </w:r>
          </w:p>
        </w:tc>
        <w:tc>
          <w:tcPr>
            <w:tcW w:w="933"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1,720.42 </w:t>
            </w:r>
          </w:p>
        </w:tc>
        <w:tc>
          <w:tcPr>
            <w:tcW w:w="1365" w:type="dxa"/>
            <w:gridSpan w:val="3"/>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1,662.24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715,680.81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357,840.40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122,877.00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88,383.15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34,493.86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116,381.32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1,724.69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1,789.20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2,981.79 </w:t>
            </w:r>
          </w:p>
        </w:tc>
        <w:tc>
          <w:tcPr>
            <w:tcW w:w="130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2,783.53 </w:t>
            </w:r>
          </w:p>
        </w:tc>
        <w:tc>
          <w:tcPr>
            <w:tcW w:w="82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983.99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1,997.80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1,864.97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627,297.66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313,648.83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122,877.00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92,642.97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30,234.03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116,381.32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1,511.70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1,568.24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3,415.74 </w:t>
            </w:r>
          </w:p>
        </w:tc>
        <w:tc>
          <w:tcPr>
            <w:tcW w:w="130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3,080.80 </w:t>
            </w:r>
          </w:p>
        </w:tc>
        <w:tc>
          <w:tcPr>
            <w:tcW w:w="82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1,127.19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2,288.55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2,064.14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534,654.69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267,327.34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122,877.00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97,108.11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25,768.89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116,381.32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1,288.44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1,336.64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3,870.60 </w:t>
            </w:r>
          </w:p>
        </w:tc>
        <w:tc>
          <w:tcPr>
            <w:tcW w:w="130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3,373.01 </w:t>
            </w:r>
          </w:p>
        </w:tc>
        <w:tc>
          <w:tcPr>
            <w:tcW w:w="82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1,277.30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2,593.31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2,259.92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437,546.58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218,773.29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122,877.00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101,788.46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21,088.55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116,381.32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1,054.43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1,093.87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4,347.39 </w:t>
            </w:r>
          </w:p>
        </w:tc>
        <w:tc>
          <w:tcPr>
            <w:tcW w:w="130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3,660.39 </w:t>
            </w:r>
          </w:p>
        </w:tc>
        <w:tc>
          <w:tcPr>
            <w:tcW w:w="82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1,434.64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2,912.75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2,452.46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6</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335,758.12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167,879.06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1</w:t>
            </w:r>
            <w:r>
              <w:rPr>
                <w:rFonts w:eastAsia="黑体"/>
                <w:bCs/>
                <w:i/>
                <w:color w:val="000000"/>
                <w:sz w:val="18"/>
              </w:rPr>
              <w:t xml:space="preserve">22,877.00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106,694.38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16,182.62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116,381.32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809.13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839.40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4,847.16 </w:t>
            </w:r>
          </w:p>
        </w:tc>
        <w:tc>
          <w:tcPr>
            <w:tcW w:w="130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3,943.17 </w:t>
            </w:r>
          </w:p>
        </w:tc>
        <w:tc>
          <w:tcPr>
            <w:tcW w:w="82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1,599.56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3,247.60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2,641.92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957"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229,063.74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114,531.87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122,877.00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111,836.76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11,040.25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116,381.32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552.01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572.66 </w:t>
            </w:r>
          </w:p>
        </w:tc>
        <w:tc>
          <w:tcPr>
            <w:tcW w:w="1140"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5,371.01 </w:t>
            </w:r>
          </w:p>
        </w:tc>
        <w:tc>
          <w:tcPr>
            <w:tcW w:w="1301"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4,221.57 </w:t>
            </w:r>
          </w:p>
        </w:tc>
        <w:tc>
          <w:tcPr>
            <w:tcW w:w="826"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1,772.43 </w:t>
            </w:r>
          </w:p>
        </w:tc>
        <w:tc>
          <w:tcPr>
            <w:tcW w:w="93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3,598.58 </w:t>
            </w:r>
          </w:p>
        </w:tc>
        <w:tc>
          <w:tcPr>
            <w:tcW w:w="1365" w:type="dxa"/>
            <w:gridSpan w:val="3"/>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2,828.45 </w:t>
            </w: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957"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117,226.98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58,613.49 </w:t>
            </w:r>
          </w:p>
        </w:tc>
        <w:tc>
          <w:tcPr>
            <w:tcW w:w="945"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122,877.00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117,226.98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5,650.02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116,381.32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282.50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293.07 </w:t>
            </w:r>
          </w:p>
        </w:tc>
        <w:tc>
          <w:tcPr>
            <w:tcW w:w="1140" w:type="dxa"/>
            <w:gridSpan w:val="9"/>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5,920.12 </w:t>
            </w:r>
          </w:p>
        </w:tc>
        <w:tc>
          <w:tcPr>
            <w:tcW w:w="1301" w:type="dxa"/>
            <w:gridSpan w:val="7"/>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4,495.81 </w:t>
            </w:r>
          </w:p>
        </w:tc>
        <w:tc>
          <w:tcPr>
            <w:tcW w:w="826"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1,953.64 </w:t>
            </w:r>
          </w:p>
        </w:tc>
        <w:tc>
          <w:tcPr>
            <w:tcW w:w="933"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3,966.48 </w:t>
            </w:r>
          </w:p>
        </w:tc>
        <w:tc>
          <w:tcPr>
            <w:tcW w:w="1365" w:type="dxa"/>
            <w:gridSpan w:val="3"/>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3,012.19 </w:t>
            </w:r>
          </w:p>
        </w:tc>
      </w:tr>
      <w:tr w:rsidR="00C9049E">
        <w:tblPrEx>
          <w:tblCellMar>
            <w:top w:w="0" w:type="dxa"/>
            <w:bottom w:w="0" w:type="dxa"/>
          </w:tblCellMar>
        </w:tblPrEx>
        <w:trPr>
          <w:gridBefore w:val="1"/>
          <w:wBefore w:w="210" w:type="dxa"/>
          <w:cantSplit/>
          <w:trHeight w:val="269"/>
        </w:trPr>
        <w:tc>
          <w:tcPr>
            <w:tcW w:w="1785" w:type="dxa"/>
            <w:gridSpan w:val="5"/>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1,898,614.29 </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983,016.03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183,016.03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931,050.54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9,150.80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9,493.07 </w:t>
            </w: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33,321.62 </w:t>
            </w:r>
          </w:p>
        </w:tc>
        <w:tc>
          <w:tcPr>
            <w:tcW w:w="130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28,039.24 </w:t>
            </w:r>
          </w:p>
        </w:tc>
        <w:tc>
          <w:tcPr>
            <w:tcW w:w="82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10,996.13 </w:t>
            </w: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22,325.48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18,786.29 </w:t>
            </w:r>
          </w:p>
        </w:tc>
      </w:tr>
      <w:tr w:rsidR="00C9049E">
        <w:tblPrEx>
          <w:tblCellMar>
            <w:top w:w="0" w:type="dxa"/>
            <w:bottom w:w="0" w:type="dxa"/>
          </w:tblCellMar>
        </w:tblPrEx>
        <w:trPr>
          <w:gridBefore w:val="1"/>
          <w:wBefore w:w="210" w:type="dxa"/>
          <w:trHeight w:val="259"/>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0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28,039.24 </w:t>
            </w:r>
          </w:p>
        </w:tc>
        <w:tc>
          <w:tcPr>
            <w:tcW w:w="82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18,786.29 </w:t>
            </w:r>
          </w:p>
        </w:tc>
      </w:tr>
      <w:tr w:rsidR="00C9049E">
        <w:tblPrEx>
          <w:tblCellMar>
            <w:top w:w="0" w:type="dxa"/>
            <w:bottom w:w="0" w:type="dxa"/>
          </w:tblCellMar>
        </w:tblPrEx>
        <w:trPr>
          <w:gridBefore w:val="1"/>
          <w:wBefore w:w="210" w:type="dxa"/>
          <w:trHeight w:val="259"/>
        </w:trPr>
        <w:tc>
          <w:tcPr>
            <w:tcW w:w="1785" w:type="dxa"/>
            <w:gridSpan w:val="5"/>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50" w:type="dxa"/>
            <w:gridSpan w:val="5"/>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1140"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01"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1.47682640%</w:t>
            </w:r>
          </w:p>
        </w:tc>
        <w:tc>
          <w:tcPr>
            <w:tcW w:w="826"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c>
          <w:tcPr>
            <w:tcW w:w="93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3"/>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0.98947368%</w:t>
            </w:r>
          </w:p>
        </w:tc>
      </w:tr>
      <w:tr w:rsidR="00C9049E">
        <w:tblPrEx>
          <w:tblCellMar>
            <w:top w:w="0" w:type="dxa"/>
            <w:bottom w:w="0" w:type="dxa"/>
          </w:tblCellMar>
        </w:tblPrEx>
        <w:trPr>
          <w:gridBefore w:val="1"/>
          <w:wBefore w:w="210" w:type="dxa"/>
          <w:cantSplit/>
          <w:trHeight w:val="2597"/>
        </w:trPr>
        <w:tc>
          <w:tcPr>
            <w:tcW w:w="14910" w:type="dxa"/>
            <w:gridSpan w:val="71"/>
            <w:tcBorders>
              <w:bottom w:val="single" w:sz="12" w:space="0" w:color="auto"/>
            </w:tcBorders>
          </w:tcPr>
          <w:p w:rsidR="00C9049E" w:rsidRDefault="00C9049E" w:rsidP="00E92C7E">
            <w:pPr>
              <w:autoSpaceDE w:val="0"/>
              <w:autoSpaceDN w:val="0"/>
              <w:adjustRightInd w:val="0"/>
              <w:spacing w:line="360" w:lineRule="auto"/>
              <w:ind w:firstLine="660"/>
              <w:rPr>
                <w:rFonts w:ascii="楷体_GB2312" w:eastAsia="楷体_GB2312" w:hint="eastAsia"/>
                <w:bCs/>
                <w:color w:val="000000"/>
                <w:sz w:val="28"/>
              </w:rPr>
            </w:pPr>
            <w:r>
              <w:rPr>
                <w:rFonts w:ascii="黑体" w:eastAsia="黑体" w:hint="eastAsia"/>
                <w:bCs/>
                <w:color w:val="000000"/>
                <w:sz w:val="28"/>
              </w:rPr>
              <w:t>表</w:t>
            </w:r>
            <w:r>
              <w:rPr>
                <w:rFonts w:ascii="黑体" w:eastAsia="黑体"/>
                <w:bCs/>
                <w:color w:val="000000"/>
                <w:sz w:val="28"/>
              </w:rPr>
              <w:t>A9</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660"/>
              <w:rPr>
                <w:rFonts w:ascii="楷体_GB2312" w:eastAsia="楷体_GB2312"/>
                <w:bCs/>
                <w:color w:val="000000"/>
                <w:sz w:val="28"/>
              </w:rPr>
            </w:pP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仿宋_GB2312" w:eastAsia="仿宋_GB2312"/>
                <w:bCs/>
                <w:color w:val="000000"/>
                <w:sz w:val="28"/>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仿宋_GB2312" w:eastAsia="仿宋_GB2312"/>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rPr>
                <w:rFonts w:ascii="宋体"/>
                <w:bCs/>
                <w:color w:val="000000"/>
                <w:sz w:val="24"/>
              </w:rPr>
            </w:pPr>
            <w:r>
              <w:rPr>
                <w:rFonts w:ascii="楷体_GB2312" w:eastAsia="楷体_GB2312"/>
                <w:bCs/>
                <w:color w:val="000000"/>
                <w:sz w:val="28"/>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60</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gridBefore w:val="1"/>
          <w:wBefore w:w="210" w:type="dxa"/>
          <w:trHeight w:val="269"/>
        </w:trPr>
        <w:tc>
          <w:tcPr>
            <w:tcW w:w="82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104"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735"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租赁</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909"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所得税前收益</w:t>
            </w:r>
          </w:p>
        </w:tc>
        <w:tc>
          <w:tcPr>
            <w:tcW w:w="1401"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26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gridBefore w:val="1"/>
          <w:wBefore w:w="210" w:type="dxa"/>
          <w:trHeight w:val="192"/>
        </w:trPr>
        <w:tc>
          <w:tcPr>
            <w:tcW w:w="82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104"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08"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35"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31,602.87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105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 </w:t>
            </w:r>
          </w:p>
        </w:tc>
        <w:tc>
          <w:tcPr>
            <w:tcW w:w="909"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1,164.85 </w:t>
            </w:r>
          </w:p>
        </w:tc>
        <w:tc>
          <w:tcPr>
            <w:tcW w:w="1401" w:type="dxa"/>
            <w:gridSpan w:val="9"/>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1,144.82 </w:t>
            </w:r>
          </w:p>
        </w:tc>
        <w:tc>
          <w:tcPr>
            <w:tcW w:w="945" w:type="dxa"/>
            <w:gridSpan w:val="7"/>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384.40 </w:t>
            </w:r>
          </w:p>
        </w:tc>
        <w:tc>
          <w:tcPr>
            <w:tcW w:w="945"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780.45 </w:t>
            </w:r>
          </w:p>
        </w:tc>
        <w:tc>
          <w:tcPr>
            <w:tcW w:w="1260" w:type="dxa"/>
            <w:gridSpan w:val="2"/>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767.03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768,397.13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192,099.28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32,364.46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18,517.32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925.87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960.50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1,242.44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1,200.07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410.00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832.43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804.04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736,032.67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184,008.17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33,144.40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17,737.38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886.87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920.04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1,321.89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1,254.85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436.22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885.67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840.75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702,888.27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175,722.07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33,943.13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16,938.65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846.93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878.61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1,403.26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1,309.18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463.07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940.18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877.15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668,945.14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167,236.28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34,761.12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16,120.66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806.03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836.18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1,486.58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1,363.07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490.57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996.01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913.26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6</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634,184.02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158,546.01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35,598.81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15,282.97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764.15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792.73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1,571.92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1,416.52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518.73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1,053.19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949.07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598,585.21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149,646.30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36,456.69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14,425.08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721.25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748.23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1,659.31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1,469.56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547.57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1,111.74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984.61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562,128.52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140,532.13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37,335.25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13,546.53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677.33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702.66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1,748.81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1,522.19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577.11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1,171.70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1,019.86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524,793.27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131,198.32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38,234.98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12,646.80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632.34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655.99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1,840.47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1,574.41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607.35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1,233.11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1,054.86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486,558.29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121,639.57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39,156.39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11,725.39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586.27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608.20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1,934.33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1,626.25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638.33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1,296.00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1,089.59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447,401.90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111,850.48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40,100.00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10,781.77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539.09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559.25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2,030.46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1,677.70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670.05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1,360.41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1,124.06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407,301.90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101,825.47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41,066.36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9,815.42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490.77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509.13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2,128.90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1,728.79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702.54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1,426.36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1,158.29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366,235.54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91,558.88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42,056.00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8,825.78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441.29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457.79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2,229.72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1,779.52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735.81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1,493.91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1,192.28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324,179.53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81,044.88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43,069.49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7,812.28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390.61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405.22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2,332.96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1,829.89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769.88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1,563.08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1,226.03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281,110.04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70,277.51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44,107.41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6,774.37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338.72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351.39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2,438.69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1,879.93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804.77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1,633.92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1,259.55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237,002.63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59,250.66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45,170.34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5,711.44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285.57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296.25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2,546.97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1,929.63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840.50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1,706.47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1,292.85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17</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191,832.29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47,958.07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46,258.88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4,622.90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231.14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239.79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2,657.86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1,979.01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877.09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1,780.77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1,325.94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18</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145,573.41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36,393.35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47,373.66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3,508.12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175.41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181.97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2,771.43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2,028.07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914.57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1,856.86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1,358.81 </w:t>
            </w:r>
          </w:p>
        </w:tc>
      </w:tr>
      <w:tr w:rsidR="00C9049E">
        <w:tblPrEx>
          <w:tblCellMar>
            <w:top w:w="0" w:type="dxa"/>
            <w:bottom w:w="0" w:type="dxa"/>
          </w:tblCellMar>
        </w:tblPrEx>
        <w:trPr>
          <w:gridBefore w:val="1"/>
          <w:wBefore w:w="210" w:type="dxa"/>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19</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98,199.75 </w:t>
            </w:r>
          </w:p>
        </w:tc>
        <w:tc>
          <w:tcPr>
            <w:tcW w:w="1008"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24,549.94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48,515.30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2,366.48 </w:t>
            </w:r>
          </w:p>
        </w:tc>
        <w:tc>
          <w:tcPr>
            <w:tcW w:w="105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118.32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122.75 </w:t>
            </w:r>
          </w:p>
        </w:tc>
        <w:tc>
          <w:tcPr>
            <w:tcW w:w="909"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2,887.72 </w:t>
            </w:r>
          </w:p>
        </w:tc>
        <w:tc>
          <w:tcPr>
            <w:tcW w:w="1401" w:type="dxa"/>
            <w:gridSpan w:val="9"/>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2,076.83 </w:t>
            </w:r>
          </w:p>
        </w:tc>
        <w:tc>
          <w:tcPr>
            <w:tcW w:w="945" w:type="dxa"/>
            <w:gridSpan w:val="7"/>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952.95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1,934.78 </w:t>
            </w:r>
          </w:p>
        </w:tc>
        <w:tc>
          <w:tcPr>
            <w:tcW w:w="126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1,391.48 </w:t>
            </w:r>
          </w:p>
        </w:tc>
      </w:tr>
      <w:tr w:rsidR="00C9049E">
        <w:tblPrEx>
          <w:tblCellMar>
            <w:top w:w="0" w:type="dxa"/>
            <w:bottom w:w="0" w:type="dxa"/>
          </w:tblCellMar>
        </w:tblPrEx>
        <w:trPr>
          <w:gridBefore w:val="1"/>
          <w:wBefore w:w="210" w:type="dxa"/>
          <w:trHeight w:val="202"/>
        </w:trPr>
        <w:tc>
          <w:tcPr>
            <w:tcW w:w="82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20</w:t>
            </w:r>
          </w:p>
        </w:tc>
        <w:tc>
          <w:tcPr>
            <w:tcW w:w="1104"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49,684.45 </w:t>
            </w:r>
          </w:p>
        </w:tc>
        <w:tc>
          <w:tcPr>
            <w:tcW w:w="1008"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12,421.11 </w:t>
            </w:r>
          </w:p>
        </w:tc>
        <w:tc>
          <w:tcPr>
            <w:tcW w:w="735"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50,881.78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49,684.45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1,197.33 </w:t>
            </w:r>
          </w:p>
        </w:tc>
        <w:tc>
          <w:tcPr>
            <w:tcW w:w="105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47,752.98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59.87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62.11 </w:t>
            </w:r>
          </w:p>
        </w:tc>
        <w:tc>
          <w:tcPr>
            <w:tcW w:w="909"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3,006.83 </w:t>
            </w:r>
          </w:p>
        </w:tc>
        <w:tc>
          <w:tcPr>
            <w:tcW w:w="1401" w:type="dxa"/>
            <w:gridSpan w:val="9"/>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2,125.30 </w:t>
            </w:r>
          </w:p>
        </w:tc>
        <w:tc>
          <w:tcPr>
            <w:tcW w:w="945" w:type="dxa"/>
            <w:gridSpan w:val="7"/>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992.25 </w:t>
            </w:r>
          </w:p>
        </w:tc>
        <w:tc>
          <w:tcPr>
            <w:tcW w:w="945"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2,014.57 </w:t>
            </w:r>
          </w:p>
        </w:tc>
        <w:tc>
          <w:tcPr>
            <w:tcW w:w="1260" w:type="dxa"/>
            <w:gridSpan w:val="2"/>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1,423.95 </w:t>
            </w:r>
          </w:p>
        </w:tc>
      </w:tr>
      <w:tr w:rsidR="00C9049E">
        <w:tblPrEx>
          <w:tblCellMar>
            <w:top w:w="0" w:type="dxa"/>
            <w:bottom w:w="0" w:type="dxa"/>
          </w:tblCellMar>
        </w:tblPrEx>
        <w:trPr>
          <w:gridBefore w:val="1"/>
          <w:wBefore w:w="210" w:type="dxa"/>
          <w:cantSplit/>
          <w:trHeight w:val="250"/>
        </w:trPr>
        <w:tc>
          <w:tcPr>
            <w:tcW w:w="1932" w:type="dxa"/>
            <w:gridSpan w:val="7"/>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18"/>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2,257,758.49 </w:t>
            </w:r>
          </w:p>
        </w:tc>
        <w:tc>
          <w:tcPr>
            <w:tcW w:w="735"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1,017,635.56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217,635.56 </w:t>
            </w: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955,059.59 </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10,881.78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11,288.79 </w:t>
            </w:r>
          </w:p>
        </w:tc>
        <w:tc>
          <w:tcPr>
            <w:tcW w:w="909"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40,405.40 </w:t>
            </w:r>
          </w:p>
        </w:tc>
        <w:tc>
          <w:tcPr>
            <w:tcW w:w="1401"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32,915.58 </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13,333.78 </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27,071.62 </w:t>
            </w:r>
          </w:p>
        </w:tc>
        <w:tc>
          <w:tcPr>
            <w:tcW w:w="126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22,053.44 </w:t>
            </w:r>
          </w:p>
        </w:tc>
      </w:tr>
      <w:tr w:rsidR="00C9049E">
        <w:tblPrEx>
          <w:tblCellMar>
            <w:top w:w="0" w:type="dxa"/>
            <w:bottom w:w="0" w:type="dxa"/>
          </w:tblCellMar>
        </w:tblPrEx>
        <w:trPr>
          <w:gridBefore w:val="1"/>
          <w:wBefore w:w="210" w:type="dxa"/>
          <w:trHeight w:val="250"/>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08"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909"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401"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32,915.58 </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22,053.44 </w:t>
            </w:r>
          </w:p>
        </w:tc>
      </w:tr>
      <w:tr w:rsidR="00C9049E">
        <w:tblPrEx>
          <w:tblCellMar>
            <w:top w:w="0" w:type="dxa"/>
            <w:bottom w:w="0" w:type="dxa"/>
          </w:tblCellMar>
        </w:tblPrEx>
        <w:trPr>
          <w:gridBefore w:val="1"/>
          <w:wBefore w:w="210" w:type="dxa"/>
          <w:trHeight w:val="250"/>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08" w:type="dxa"/>
            <w:gridSpan w:val="4"/>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735" w:type="dxa"/>
            <w:gridSpan w:val="3"/>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4"/>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105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2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28"/>
              </w:rPr>
            </w:pPr>
          </w:p>
        </w:tc>
        <w:tc>
          <w:tcPr>
            <w:tcW w:w="909"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401" w:type="dxa"/>
            <w:gridSpan w:val="9"/>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1.45788765%</w:t>
            </w:r>
          </w:p>
        </w:tc>
        <w:tc>
          <w:tcPr>
            <w:tcW w:w="945" w:type="dxa"/>
            <w:gridSpan w:val="7"/>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0.97678473%</w:t>
            </w:r>
          </w:p>
        </w:tc>
      </w:tr>
      <w:tr w:rsidR="00C9049E">
        <w:tblPrEx>
          <w:tblCellMar>
            <w:top w:w="0" w:type="dxa"/>
            <w:bottom w:w="0" w:type="dxa"/>
          </w:tblCellMar>
        </w:tblPrEx>
        <w:trPr>
          <w:gridBefore w:val="1"/>
          <w:wBefore w:w="210" w:type="dxa"/>
          <w:cantSplit/>
          <w:trHeight w:val="178"/>
        </w:trPr>
        <w:tc>
          <w:tcPr>
            <w:tcW w:w="14910" w:type="dxa"/>
            <w:gridSpan w:val="71"/>
            <w:tcBorders>
              <w:top w:val="single" w:sz="12" w:space="0" w:color="auto"/>
              <w:bottom w:val="nil"/>
            </w:tcBorders>
          </w:tcPr>
          <w:p w:rsidR="00C9049E" w:rsidRDefault="00C9049E" w:rsidP="00E92C7E">
            <w:pPr>
              <w:autoSpaceDE w:val="0"/>
              <w:autoSpaceDN w:val="0"/>
              <w:adjustRightInd w:val="0"/>
              <w:spacing w:line="360" w:lineRule="auto"/>
              <w:jc w:val="right"/>
              <w:rPr>
                <w:rFonts w:ascii="宋体"/>
                <w:bCs/>
                <w:color w:val="000000"/>
                <w:sz w:val="24"/>
              </w:rPr>
            </w:pPr>
          </w:p>
        </w:tc>
      </w:tr>
      <w:tr w:rsidR="00C9049E">
        <w:tblPrEx>
          <w:tblCellMar>
            <w:top w:w="0" w:type="dxa"/>
            <w:bottom w:w="0" w:type="dxa"/>
          </w:tblCellMar>
        </w:tblPrEx>
        <w:trPr>
          <w:gridBefore w:val="1"/>
          <w:wBefore w:w="210" w:type="dxa"/>
          <w:cantSplit/>
          <w:trHeight w:val="2595"/>
        </w:trPr>
        <w:tc>
          <w:tcPr>
            <w:tcW w:w="14910" w:type="dxa"/>
            <w:gridSpan w:val="71"/>
            <w:tcBorders>
              <w:bottom w:val="single" w:sz="12" w:space="0" w:color="auto"/>
            </w:tcBorders>
          </w:tcPr>
          <w:p w:rsidR="00C9049E" w:rsidRDefault="00C9049E" w:rsidP="00E92C7E">
            <w:pPr>
              <w:autoSpaceDE w:val="0"/>
              <w:autoSpaceDN w:val="0"/>
              <w:adjustRightInd w:val="0"/>
              <w:spacing w:line="360" w:lineRule="auto"/>
              <w:rPr>
                <w:rFonts w:ascii="楷体_GB2312" w:eastAsia="楷体_GB2312"/>
                <w:bCs/>
                <w:color w:val="000000"/>
                <w:sz w:val="28"/>
              </w:rPr>
            </w:pPr>
            <w:r>
              <w:rPr>
                <w:rFonts w:ascii="楷体_GB2312" w:eastAsia="楷体_GB2312"/>
                <w:bCs/>
                <w:color w:val="000000"/>
                <w:sz w:val="28"/>
              </w:rPr>
              <w:lastRenderedPageBreak/>
              <w:t xml:space="preserve">    </w:t>
            </w:r>
          </w:p>
          <w:p w:rsidR="00C9049E" w:rsidRDefault="00C9049E" w:rsidP="00E92C7E">
            <w:pPr>
              <w:autoSpaceDE w:val="0"/>
              <w:autoSpaceDN w:val="0"/>
              <w:adjustRightInd w:val="0"/>
              <w:spacing w:line="360" w:lineRule="auto"/>
              <w:rPr>
                <w:rFonts w:ascii="楷体_GB2312" w:eastAsia="楷体_GB2312"/>
                <w:bCs/>
                <w:color w:val="000000"/>
                <w:sz w:val="28"/>
              </w:rPr>
            </w:pPr>
          </w:p>
          <w:p w:rsidR="00C9049E" w:rsidRDefault="00C9049E" w:rsidP="00E92C7E">
            <w:pPr>
              <w:autoSpaceDE w:val="0"/>
              <w:autoSpaceDN w:val="0"/>
              <w:adjustRightInd w:val="0"/>
              <w:spacing w:line="360" w:lineRule="auto"/>
              <w:rPr>
                <w:rFonts w:ascii="楷体_GB2312" w:eastAsia="楷体_GB2312"/>
                <w:bCs/>
                <w:color w:val="000000"/>
                <w:sz w:val="28"/>
              </w:rPr>
            </w:pPr>
          </w:p>
          <w:p w:rsidR="00C9049E" w:rsidRDefault="00C9049E" w:rsidP="00E92C7E">
            <w:pPr>
              <w:autoSpaceDE w:val="0"/>
              <w:autoSpaceDN w:val="0"/>
              <w:adjustRightInd w:val="0"/>
              <w:spacing w:line="360" w:lineRule="auto"/>
              <w:rPr>
                <w:rFonts w:ascii="楷体_GB2312" w:eastAsia="楷体_GB2312"/>
                <w:bCs/>
                <w:color w:val="000000"/>
                <w:sz w:val="28"/>
              </w:rPr>
            </w:pPr>
          </w:p>
          <w:p w:rsidR="00C9049E" w:rsidRDefault="00C9049E" w:rsidP="00E92C7E">
            <w:pPr>
              <w:autoSpaceDE w:val="0"/>
              <w:autoSpaceDN w:val="0"/>
              <w:adjustRightInd w:val="0"/>
              <w:spacing w:line="360" w:lineRule="auto"/>
              <w:rPr>
                <w:rFonts w:ascii="楷体_GB2312" w:eastAsia="楷体_GB2312"/>
                <w:bCs/>
                <w:color w:val="000000"/>
                <w:sz w:val="28"/>
              </w:rPr>
            </w:pPr>
            <w:r>
              <w:rPr>
                <w:rFonts w:ascii="黑体" w:eastAsia="黑体" w:hint="eastAsia"/>
                <w:bCs/>
                <w:color w:val="000000"/>
                <w:sz w:val="28"/>
              </w:rPr>
              <w:t>表</w:t>
            </w:r>
            <w:r>
              <w:rPr>
                <w:rFonts w:ascii="黑体" w:eastAsia="黑体"/>
                <w:bCs/>
                <w:color w:val="000000"/>
                <w:sz w:val="28"/>
              </w:rPr>
              <w:t>A10</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rPr>
                <w:rFonts w:ascii="楷体_GB2312" w:eastAsia="楷体_GB2312"/>
                <w:bCs/>
                <w:color w:val="000000"/>
                <w:sz w:val="28"/>
              </w:rPr>
            </w:pPr>
          </w:p>
          <w:p w:rsidR="00C9049E" w:rsidRDefault="00C9049E" w:rsidP="00E92C7E">
            <w:pPr>
              <w:autoSpaceDE w:val="0"/>
              <w:autoSpaceDN w:val="0"/>
              <w:adjustRightInd w:val="0"/>
              <w:spacing w:line="360" w:lineRule="auto"/>
              <w:rPr>
                <w:rFonts w:ascii="黑体" w:eastAsia="黑体"/>
                <w:bCs/>
                <w:color w:val="000000"/>
                <w:sz w:val="44"/>
              </w:rPr>
            </w:pPr>
            <w:r>
              <w:rPr>
                <w:rFonts w:ascii="仿宋_GB2312" w:eastAsia="仿宋_GB2312"/>
                <w:bCs/>
                <w:color w:val="000000"/>
                <w:sz w:val="52"/>
              </w:rPr>
              <w:t xml:space="preserve">  </w:t>
            </w:r>
            <w:r>
              <w:rPr>
                <w:rFonts w:ascii="仿宋_GB2312" w:eastAsia="仿宋_GB2312"/>
                <w:bCs/>
                <w:color w:val="000000"/>
                <w:sz w:val="44"/>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rPr>
                <w:rFonts w:ascii="黑体" w:eastAsia="黑体"/>
                <w:bCs/>
                <w:color w:val="000000"/>
                <w:sz w:val="44"/>
              </w:rPr>
            </w:pPr>
            <w:r>
              <w:rPr>
                <w:rFonts w:ascii="黑体" w:eastAsia="黑体" w:hint="eastAsia"/>
                <w:bCs/>
                <w:color w:val="000000"/>
                <w:sz w:val="44"/>
              </w:rPr>
              <w:t>收益净现值及资金年净收益率</w:t>
            </w:r>
          </w:p>
          <w:p w:rsidR="00C9049E" w:rsidRDefault="00C9049E" w:rsidP="00E92C7E">
            <w:pPr>
              <w:autoSpaceDE w:val="0"/>
              <w:autoSpaceDN w:val="0"/>
              <w:adjustRightInd w:val="0"/>
              <w:spacing w:line="360" w:lineRule="auto"/>
              <w:rPr>
                <w:rFonts w:ascii="楷体_GB2312" w:eastAsia="楷体_GB2312"/>
                <w:bCs/>
                <w:color w:val="000000"/>
                <w:sz w:val="28"/>
              </w:rPr>
            </w:pPr>
          </w:p>
          <w:p w:rsidR="00C9049E" w:rsidRDefault="00C9049E" w:rsidP="00E92C7E">
            <w:pPr>
              <w:autoSpaceDE w:val="0"/>
              <w:autoSpaceDN w:val="0"/>
              <w:adjustRightInd w:val="0"/>
              <w:spacing w:line="360" w:lineRule="auto"/>
              <w:rPr>
                <w:rFonts w:ascii="宋体"/>
                <w:bCs/>
                <w:color w:val="000000"/>
                <w:sz w:val="24"/>
              </w:rPr>
            </w:pPr>
            <w:r>
              <w:rPr>
                <w:rFonts w:ascii="楷体_GB2312" w:eastAsia="楷体_GB2312"/>
                <w:bCs/>
                <w:color w:val="000000"/>
                <w:sz w:val="32"/>
              </w:rPr>
              <w:t xml:space="preserve">   </w:t>
            </w:r>
            <w:r>
              <w:rPr>
                <w:rFonts w:ascii="楷体_GB2312" w:eastAsia="楷体_GB2312"/>
                <w:bCs/>
                <w:color w:val="000000"/>
                <w:sz w:val="28"/>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60</w:t>
            </w:r>
            <w:r>
              <w:rPr>
                <w:rFonts w:ascii="楷体_GB2312" w:eastAsia="楷体_GB2312" w:hint="eastAsia"/>
                <w:bCs/>
                <w:color w:val="000000"/>
                <w:sz w:val="28"/>
              </w:rPr>
              <w:t>个月，每期</w:t>
            </w:r>
            <w:r>
              <w:rPr>
                <w:rFonts w:ascii="楷体_GB2312" w:eastAsia="楷体_GB2312"/>
                <w:bCs/>
                <w:color w:val="000000"/>
                <w:sz w:val="28"/>
              </w:rPr>
              <w:t>6</w:t>
            </w:r>
            <w:r>
              <w:rPr>
                <w:rFonts w:ascii="楷体_GB2312" w:eastAsia="楷体_GB2312" w:hint="eastAsia"/>
                <w:bCs/>
                <w:color w:val="000000"/>
                <w:sz w:val="28"/>
              </w:rPr>
              <w:t>个月，租金后付，各期等额，租赁年利率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Ind w:w="-180" w:type="dxa"/>
          <w:tblCellMar>
            <w:top w:w="0" w:type="dxa"/>
            <w:bottom w:w="0" w:type="dxa"/>
          </w:tblCellMar>
        </w:tblPrEx>
        <w:trPr>
          <w:gridBefore w:val="1"/>
          <w:gridAfter w:val="1"/>
          <w:trHeight w:val="293"/>
        </w:trPr>
        <w:tc>
          <w:tcPr>
            <w:tcW w:w="82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104"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11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735"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租赁</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15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1056"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37"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26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104"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113"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735"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64,140.79 </w:t>
            </w:r>
          </w:p>
        </w:tc>
        <w:tc>
          <w:tcPr>
            <w:tcW w:w="937"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38,557.81 </w:t>
            </w:r>
          </w:p>
        </w:tc>
        <w:tc>
          <w:tcPr>
            <w:tcW w:w="945" w:type="dxa"/>
            <w:gridSpan w:val="4"/>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 </w:t>
            </w:r>
          </w:p>
        </w:tc>
        <w:tc>
          <w:tcPr>
            <w:tcW w:w="945"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 </w:t>
            </w:r>
          </w:p>
        </w:tc>
        <w:tc>
          <w:tcPr>
            <w:tcW w:w="945" w:type="dxa"/>
            <w:gridSpan w:val="8"/>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2,577.62 </w:t>
            </w:r>
          </w:p>
        </w:tc>
        <w:tc>
          <w:tcPr>
            <w:tcW w:w="1260" w:type="dxa"/>
            <w:gridSpan w:val="6"/>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2,490.45 </w:t>
            </w:r>
          </w:p>
        </w:tc>
        <w:tc>
          <w:tcPr>
            <w:tcW w:w="840"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850.61 </w:t>
            </w:r>
          </w:p>
        </w:tc>
        <w:tc>
          <w:tcPr>
            <w:tcW w:w="945" w:type="dxa"/>
            <w:gridSpan w:val="5"/>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1,727.00 </w:t>
            </w:r>
          </w:p>
        </w:tc>
        <w:tc>
          <w:tcPr>
            <w:tcW w:w="1260" w:type="dxa"/>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1,668.60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735,859.21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367,929.60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67,232.20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35,466.40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1,773.32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1,839.65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2,892.54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2,700.22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954.54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1,938.00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1,809.15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668,627.00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334,313.50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70,472.61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32,225.99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1,611.30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1,671.57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3,222.64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2,906.64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1,063.47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2,159.17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1,947.45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598,154.39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299,077.20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73,869.20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28,829.41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1,441.47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1,495.39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3,568.65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3,109.87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1,177.66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2,391.00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2,083.62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524,285.19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262,142.60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77,429.49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25,269.11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1,263.46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1,310.71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3,931.34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3,310.08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1,297.34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2,634.00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2,217.76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6</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446,855.70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223,427.85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81,161.38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21,537.22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1,076.86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1,117.14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4,311.51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3,507.42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1,422.80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2,888.71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2,349.97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365,694.32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182,847.16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85,073.14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17,625.47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881.27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914.24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4,710.00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3,702.02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1,554.30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3,155.70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2,480.35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280,621.18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140,310.59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89,173.43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13,525.17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676.26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701.55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5,127.70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3,894.03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1,692.14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3,435.56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2,609.00 </w:t>
            </w:r>
          </w:p>
        </w:tc>
      </w:tr>
      <w:tr w:rsidR="00C9049E">
        <w:tblPrEx>
          <w:tblInd w:w="-180" w:type="dxa"/>
          <w:tblCellMar>
            <w:top w:w="0" w:type="dxa"/>
            <w:bottom w:w="0" w:type="dxa"/>
          </w:tblCellMar>
        </w:tblPrEx>
        <w:trPr>
          <w:gridBefore w:val="1"/>
          <w:gridAfter w:val="1"/>
          <w:trHeight w:val="192"/>
        </w:trPr>
        <w:tc>
          <w:tcPr>
            <w:tcW w:w="82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104"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191,447.75 </w:t>
            </w:r>
          </w:p>
        </w:tc>
        <w:tc>
          <w:tcPr>
            <w:tcW w:w="1113"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95,723.88 </w:t>
            </w:r>
          </w:p>
        </w:tc>
        <w:tc>
          <w:tcPr>
            <w:tcW w:w="735"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93,471.35 </w:t>
            </w:r>
          </w:p>
        </w:tc>
        <w:tc>
          <w:tcPr>
            <w:tcW w:w="937"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9,227.26 </w:t>
            </w:r>
          </w:p>
        </w:tc>
        <w:tc>
          <w:tcPr>
            <w:tcW w:w="945" w:type="dxa"/>
            <w:gridSpan w:val="4"/>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461.36 </w:t>
            </w:r>
          </w:p>
        </w:tc>
        <w:tc>
          <w:tcPr>
            <w:tcW w:w="945"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478.62 </w:t>
            </w:r>
          </w:p>
        </w:tc>
        <w:tc>
          <w:tcPr>
            <w:tcW w:w="945" w:type="dxa"/>
            <w:gridSpan w:val="8"/>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5,565.53 </w:t>
            </w:r>
          </w:p>
        </w:tc>
        <w:tc>
          <w:tcPr>
            <w:tcW w:w="1260" w:type="dxa"/>
            <w:gridSpan w:val="6"/>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4,083.60 </w:t>
            </w:r>
          </w:p>
        </w:tc>
        <w:tc>
          <w:tcPr>
            <w:tcW w:w="840"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1,836.62 </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3,728.90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2,736.01 </w:t>
            </w:r>
          </w:p>
        </w:tc>
      </w:tr>
      <w:tr w:rsidR="00C9049E">
        <w:tblPrEx>
          <w:tblInd w:w="-180" w:type="dxa"/>
          <w:tblCellMar>
            <w:top w:w="0" w:type="dxa"/>
            <w:bottom w:w="0" w:type="dxa"/>
          </w:tblCellMar>
        </w:tblPrEx>
        <w:trPr>
          <w:gridBefore w:val="1"/>
          <w:gridAfter w:val="1"/>
          <w:trHeight w:val="202"/>
        </w:trPr>
        <w:tc>
          <w:tcPr>
            <w:tcW w:w="82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104"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97,976.41 </w:t>
            </w:r>
          </w:p>
        </w:tc>
        <w:tc>
          <w:tcPr>
            <w:tcW w:w="1113"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48,988.20 </w:t>
            </w:r>
          </w:p>
        </w:tc>
        <w:tc>
          <w:tcPr>
            <w:tcW w:w="735"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157"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102,698.60 </w:t>
            </w:r>
          </w:p>
        </w:tc>
        <w:tc>
          <w:tcPr>
            <w:tcW w:w="1056"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97,976.41 </w:t>
            </w:r>
          </w:p>
        </w:tc>
        <w:tc>
          <w:tcPr>
            <w:tcW w:w="937"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4,722.19 </w:t>
            </w:r>
          </w:p>
        </w:tc>
        <w:tc>
          <w:tcPr>
            <w:tcW w:w="945" w:type="dxa"/>
            <w:gridSpan w:val="4"/>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96,193.09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236.11 </w:t>
            </w:r>
          </w:p>
        </w:tc>
        <w:tc>
          <w:tcPr>
            <w:tcW w:w="945"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244.94 </w:t>
            </w:r>
          </w:p>
        </w:tc>
        <w:tc>
          <w:tcPr>
            <w:tcW w:w="945" w:type="dxa"/>
            <w:gridSpan w:val="8"/>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6,024.46 </w:t>
            </w:r>
          </w:p>
        </w:tc>
        <w:tc>
          <w:tcPr>
            <w:tcW w:w="1260" w:type="dxa"/>
            <w:gridSpan w:val="6"/>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4,270.85 </w:t>
            </w:r>
          </w:p>
        </w:tc>
        <w:tc>
          <w:tcPr>
            <w:tcW w:w="840"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1,988.07 </w:t>
            </w:r>
          </w:p>
        </w:tc>
        <w:tc>
          <w:tcPr>
            <w:tcW w:w="945" w:type="dxa"/>
            <w:gridSpan w:val="5"/>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4,036.39 </w:t>
            </w:r>
          </w:p>
        </w:tc>
        <w:tc>
          <w:tcPr>
            <w:tcW w:w="1260" w:type="dxa"/>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2,861.47 </w:t>
            </w:r>
          </w:p>
        </w:tc>
      </w:tr>
      <w:tr w:rsidR="00C9049E">
        <w:tblPrEx>
          <w:tblInd w:w="-180" w:type="dxa"/>
          <w:tblCellMar>
            <w:top w:w="0" w:type="dxa"/>
            <w:bottom w:w="0" w:type="dxa"/>
          </w:tblCellMar>
        </w:tblPrEx>
        <w:trPr>
          <w:gridBefore w:val="1"/>
          <w:gridAfter w:val="1"/>
          <w:cantSplit/>
          <w:trHeight w:val="250"/>
        </w:trPr>
        <w:tc>
          <w:tcPr>
            <w:tcW w:w="1932" w:type="dxa"/>
            <w:gridSpan w:val="7"/>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11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2,354,760.59 </w:t>
            </w:r>
          </w:p>
        </w:tc>
        <w:tc>
          <w:tcPr>
            <w:tcW w:w="735"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15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1,026,986.03 </w:t>
            </w:r>
          </w:p>
        </w:tc>
        <w:tc>
          <w:tcPr>
            <w:tcW w:w="1056"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800,000.00 </w:t>
            </w:r>
          </w:p>
        </w:tc>
        <w:tc>
          <w:tcPr>
            <w:tcW w:w="937"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226,986.03 </w:t>
            </w: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961,930.94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11,349.30 </w:t>
            </w: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11,773.80 </w:t>
            </w: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41,931.99 </w:t>
            </w:r>
          </w:p>
        </w:tc>
        <w:tc>
          <w:tcPr>
            <w:tcW w:w="126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33,975.18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13,837.56 </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28,094.43 </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22,763.37 </w:t>
            </w:r>
          </w:p>
        </w:tc>
      </w:tr>
      <w:tr w:rsidR="00C9049E">
        <w:tblPrEx>
          <w:tblInd w:w="-180" w:type="dxa"/>
          <w:tblCellMar>
            <w:top w:w="0" w:type="dxa"/>
            <w:bottom w:w="0" w:type="dxa"/>
          </w:tblCellMar>
        </w:tblPrEx>
        <w:trPr>
          <w:gridBefore w:val="1"/>
          <w:gridAfter w:val="1"/>
          <w:trHeight w:val="250"/>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113"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157"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6"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37"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33,975.18 </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22,763.37 </w:t>
            </w:r>
          </w:p>
        </w:tc>
      </w:tr>
      <w:tr w:rsidR="00C9049E">
        <w:tblPrEx>
          <w:tblInd w:w="-180" w:type="dxa"/>
          <w:tblCellMar>
            <w:top w:w="0" w:type="dxa"/>
            <w:bottom w:w="0" w:type="dxa"/>
          </w:tblCellMar>
        </w:tblPrEx>
        <w:trPr>
          <w:gridBefore w:val="1"/>
          <w:gridAfter w:val="1"/>
          <w:trHeight w:val="250"/>
        </w:trPr>
        <w:tc>
          <w:tcPr>
            <w:tcW w:w="1932" w:type="dxa"/>
            <w:gridSpan w:val="7"/>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113" w:type="dxa"/>
            <w:gridSpan w:val="5"/>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gridSpan w:val="3"/>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157" w:type="dxa"/>
            <w:gridSpan w:val="6"/>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6" w:type="dxa"/>
            <w:gridSpan w:val="4"/>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37" w:type="dxa"/>
            <w:gridSpan w:val="5"/>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4"/>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8"/>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6"/>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1.44282966%</w:t>
            </w:r>
          </w:p>
        </w:tc>
        <w:tc>
          <w:tcPr>
            <w:tcW w:w="840"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0.96669587%</w:t>
            </w:r>
          </w:p>
        </w:tc>
      </w:tr>
    </w:tbl>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tbl>
      <w:tblPr>
        <w:tblW w:w="0" w:type="auto"/>
        <w:tblLayout w:type="fixed"/>
        <w:tblCellMar>
          <w:left w:w="30" w:type="dxa"/>
          <w:right w:w="30" w:type="dxa"/>
        </w:tblCellMar>
        <w:tblLook w:val="0000" w:firstRow="0" w:lastRow="0" w:firstColumn="0" w:lastColumn="0" w:noHBand="0" w:noVBand="0"/>
      </w:tblPr>
      <w:tblGrid>
        <w:gridCol w:w="648"/>
        <w:gridCol w:w="957"/>
        <w:gridCol w:w="1050"/>
        <w:gridCol w:w="840"/>
        <w:gridCol w:w="945"/>
        <w:gridCol w:w="945"/>
        <w:gridCol w:w="945"/>
        <w:gridCol w:w="945"/>
        <w:gridCol w:w="840"/>
        <w:gridCol w:w="735"/>
        <w:gridCol w:w="1050"/>
        <w:gridCol w:w="1260"/>
        <w:gridCol w:w="840"/>
        <w:gridCol w:w="945"/>
        <w:gridCol w:w="1365"/>
      </w:tblGrid>
      <w:tr w:rsidR="00C9049E">
        <w:tblPrEx>
          <w:tblCellMar>
            <w:top w:w="0" w:type="dxa"/>
            <w:bottom w:w="0" w:type="dxa"/>
          </w:tblCellMar>
        </w:tblPrEx>
        <w:trPr>
          <w:cantSplit/>
          <w:trHeight w:val="2250"/>
        </w:trPr>
        <w:tc>
          <w:tcPr>
            <w:tcW w:w="14310" w:type="dxa"/>
            <w:gridSpan w:val="15"/>
            <w:tcBorders>
              <w:top w:val="nil"/>
              <w:bottom w:val="single" w:sz="12" w:space="0" w:color="auto"/>
            </w:tcBorders>
          </w:tcPr>
          <w:p w:rsidR="00C9049E" w:rsidRDefault="00C9049E" w:rsidP="00E92C7E">
            <w:pPr>
              <w:autoSpaceDE w:val="0"/>
              <w:autoSpaceDN w:val="0"/>
              <w:adjustRightInd w:val="0"/>
              <w:spacing w:line="360" w:lineRule="auto"/>
              <w:ind w:firstLine="660"/>
              <w:rPr>
                <w:rFonts w:ascii="楷体_GB2312" w:eastAsia="楷体_GB2312"/>
                <w:bCs/>
                <w:color w:val="000000"/>
                <w:sz w:val="28"/>
              </w:rPr>
            </w:pPr>
            <w:r>
              <w:rPr>
                <w:rFonts w:ascii="黑体" w:eastAsia="黑体" w:hint="eastAsia"/>
                <w:bCs/>
                <w:color w:val="000000"/>
                <w:sz w:val="28"/>
              </w:rPr>
              <w:lastRenderedPageBreak/>
              <w:t>表</w:t>
            </w:r>
            <w:r>
              <w:rPr>
                <w:rFonts w:ascii="楷体_GB2312" w:eastAsia="楷体_GB2312"/>
                <w:bCs/>
                <w:color w:val="000000"/>
                <w:sz w:val="28"/>
              </w:rPr>
              <w:t xml:space="preserve">B1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w:t>
            </w:r>
          </w:p>
          <w:p w:rsidR="00C9049E" w:rsidRDefault="00C9049E" w:rsidP="00E92C7E">
            <w:pPr>
              <w:autoSpaceDE w:val="0"/>
              <w:autoSpaceDN w:val="0"/>
              <w:adjustRightInd w:val="0"/>
              <w:spacing w:line="360" w:lineRule="auto"/>
              <w:ind w:firstLine="660"/>
              <w:rPr>
                <w:rFonts w:ascii="楷体_GB2312" w:eastAsia="楷体_GB2312"/>
                <w:bCs/>
                <w:color w:val="000000"/>
                <w:sz w:val="28"/>
              </w:rPr>
            </w:pPr>
            <w:r>
              <w:rPr>
                <w:rFonts w:ascii="楷体_GB2312" w:eastAsia="楷体_GB2312" w:hint="eastAsia"/>
                <w:bCs/>
                <w:color w:val="000000"/>
                <w:sz w:val="28"/>
              </w:rPr>
              <w:t>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660"/>
              <w:rPr>
                <w:rFonts w:ascii="楷体_GB2312" w:eastAsia="楷体_GB2312"/>
                <w:bCs/>
                <w:color w:val="000000"/>
                <w:sz w:val="32"/>
              </w:rPr>
            </w:pP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仿宋_GB2312" w:eastAsia="仿宋_GB2312"/>
                <w:bCs/>
                <w:color w:val="000000"/>
                <w:sz w:val="44"/>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仿宋_GB2312" w:eastAsia="仿宋_GB2312"/>
                <w:bCs/>
                <w:color w:val="000000"/>
                <w:sz w:val="44"/>
              </w:rPr>
            </w:pPr>
          </w:p>
          <w:p w:rsidR="00C9049E" w:rsidRDefault="00C9049E" w:rsidP="00E92C7E">
            <w:pPr>
              <w:autoSpaceDE w:val="0"/>
              <w:autoSpaceDN w:val="0"/>
              <w:adjustRightInd w:val="0"/>
              <w:spacing w:line="360" w:lineRule="auto"/>
              <w:rPr>
                <w:rFonts w:ascii="宋体"/>
                <w:bCs/>
                <w:color w:val="000000"/>
                <w:sz w:val="24"/>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个月，租金后付，等额还本，租赁年利率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182"/>
        </w:trPr>
        <w:tc>
          <w:tcPr>
            <w:tcW w:w="648" w:type="dxa"/>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957"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36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trHeight w:val="192"/>
        </w:trPr>
        <w:tc>
          <w:tcPr>
            <w:tcW w:w="648" w:type="dxa"/>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957"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69,546.67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19,546.67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64,194.44 </w:t>
            </w:r>
          </w:p>
        </w:tc>
        <w:tc>
          <w:tcPr>
            <w:tcW w:w="84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977.33 </w:t>
            </w:r>
          </w:p>
        </w:tc>
        <w:tc>
          <w:tcPr>
            <w:tcW w:w="73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3,374.89 </w:t>
            </w:r>
          </w:p>
        </w:tc>
        <w:tc>
          <w:tcPr>
            <w:tcW w:w="126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3,316.85 </w:t>
            </w:r>
          </w:p>
        </w:tc>
        <w:tc>
          <w:tcPr>
            <w:tcW w:w="84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1,113.71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2,261.18 </w:t>
            </w:r>
          </w:p>
        </w:tc>
        <w:tc>
          <w:tcPr>
            <w:tcW w:w="1365" w:type="dxa"/>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2,222.29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750,000.00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187,500.00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68,325.00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18,325.00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63,307.29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916.25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937.50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3,163.96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3,056.06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1,044.11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2,119.85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2,047.56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700,000.00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175,000.00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67,103.33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17,103.33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62,420.14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855.17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875.00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2,953.03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2,803.27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974.50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1,978.53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1,878.19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650,000.00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162,500.00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65,881.67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15,881.67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61,532.99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794.08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812.50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2,742.10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2,558.26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904.89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1,837.21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1,714.04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600,000.00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64,660.00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14,660.00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60,645.83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733.00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2,531.17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2,320.86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835.29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1,695.88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1,554.98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550,000.00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137,500.00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63,438.33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13,438.33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59,758.68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671.92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687.50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2,320.24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2,090.86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765.68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1,554.56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1,400.88 </w:t>
            </w:r>
          </w:p>
        </w:tc>
      </w:tr>
      <w:tr w:rsidR="00C9049E">
        <w:tblPrEx>
          <w:tblCellMar>
            <w:top w:w="0" w:type="dxa"/>
            <w:bottom w:w="0" w:type="dxa"/>
          </w:tblCellMar>
        </w:tblPrEx>
        <w:trPr>
          <w:trHeight w:val="218"/>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500,000.00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125,000.00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62,216.67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12,216.67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58,871.53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610.83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625.00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2,109.31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1,868.09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696.07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1,413.24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1,251.62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450,000.00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112,500.00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60,995.00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10,995.00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57,984.38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549.75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562.50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1,898.38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1,652.37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626.46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1,271.91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1,107.09 </w:t>
            </w:r>
          </w:p>
        </w:tc>
      </w:tr>
      <w:tr w:rsidR="00C9049E">
        <w:tblPrEx>
          <w:tblCellMar>
            <w:top w:w="0" w:type="dxa"/>
            <w:bottom w:w="0" w:type="dxa"/>
          </w:tblCellMar>
        </w:tblPrEx>
        <w:trPr>
          <w:trHeight w:val="224"/>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59,773.33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9,773.33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57,097.22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488.67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1,687.45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1,443.51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556.86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1,130.59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967.15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350,000.00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87,500.00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58,551.67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8,551.67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56,210.07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427.58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437.50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1,476.51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1,241.35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487.25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989.26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831.70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300,000.00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57,330.00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7,330.00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55,322.92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366.50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375.00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1,265.58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1,045.71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417.64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847.94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700.63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250,000.00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62,500.00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56,108.33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6,108.33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54,435.76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305.42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312.50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1,054.65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856.44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348.04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706.62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573.81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13</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54,886.67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4,886.67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53,548.61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244.33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250.00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843.72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673.37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278.43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565.29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451.16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37,500.00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53,665.00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3,665.00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52,661.46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183.25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187.50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632.79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496.34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208.82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423.97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332.55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957"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25,000.00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52,443.33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2,443.33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51,774.31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22.17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125.00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421.86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325.20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139.21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282.65 </w:t>
            </w:r>
          </w:p>
        </w:tc>
        <w:tc>
          <w:tcPr>
            <w:tcW w:w="136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217.89 </w:t>
            </w:r>
          </w:p>
        </w:tc>
      </w:tr>
      <w:tr w:rsidR="00C9049E">
        <w:tblPrEx>
          <w:tblCellMar>
            <w:top w:w="0" w:type="dxa"/>
            <w:bottom w:w="0" w:type="dxa"/>
          </w:tblCellMar>
        </w:tblPrEx>
        <w:trPr>
          <w:trHeight w:val="202"/>
        </w:trPr>
        <w:tc>
          <w:tcPr>
            <w:tcW w:w="648" w:type="dxa"/>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957"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105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12,500.00 </w:t>
            </w:r>
          </w:p>
        </w:tc>
        <w:tc>
          <w:tcPr>
            <w:tcW w:w="84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51,221.67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50,000.00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1,221.67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50,887.15 </w:t>
            </w:r>
          </w:p>
        </w:tc>
        <w:tc>
          <w:tcPr>
            <w:tcW w:w="84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61.08 </w:t>
            </w:r>
          </w:p>
        </w:tc>
        <w:tc>
          <w:tcPr>
            <w:tcW w:w="73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62.50 </w:t>
            </w:r>
          </w:p>
        </w:tc>
        <w:tc>
          <w:tcPr>
            <w:tcW w:w="105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210.93 </w:t>
            </w:r>
          </w:p>
        </w:tc>
        <w:tc>
          <w:tcPr>
            <w:tcW w:w="126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159.80 </w:t>
            </w:r>
          </w:p>
        </w:tc>
        <w:tc>
          <w:tcPr>
            <w:tcW w:w="84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69.61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141.32 </w:t>
            </w:r>
          </w:p>
        </w:tc>
        <w:tc>
          <w:tcPr>
            <w:tcW w:w="1365" w:type="dxa"/>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107.07 </w:t>
            </w:r>
          </w:p>
        </w:tc>
      </w:tr>
      <w:tr w:rsidR="00C9049E">
        <w:tblPrEx>
          <w:tblCellMar>
            <w:top w:w="0" w:type="dxa"/>
            <w:bottom w:w="0" w:type="dxa"/>
          </w:tblCellMar>
        </w:tblPrEx>
        <w:trPr>
          <w:cantSplit/>
          <w:trHeight w:val="250"/>
        </w:trPr>
        <w:tc>
          <w:tcPr>
            <w:tcW w:w="1605"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rPr>
            </w:pPr>
            <w:r>
              <w:rPr>
                <w:rFonts w:ascii="黑体" w:eastAsia="黑体" w:hint="eastAsia"/>
                <w:bCs/>
                <w:color w:val="000000"/>
              </w:rPr>
              <w:t>合</w:t>
            </w:r>
            <w:r>
              <w:rPr>
                <w:rFonts w:eastAsia="黑体"/>
                <w:bCs/>
                <w:color w:val="000000"/>
              </w:rPr>
              <w:t xml:space="preserve">    </w:t>
            </w:r>
            <w:r>
              <w:rPr>
                <w:rFonts w:ascii="黑体" w:eastAsia="黑体" w:hint="eastAsia"/>
                <w:bCs/>
                <w:color w:val="000000"/>
              </w:rPr>
              <w:t>计</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1,700,000.00 </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966,146.68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166,146.68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920,652.78 </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8,307.33 </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8,500.00 </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28,686.57 </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25,908.35 </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9,466.57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19,220.00 </w:t>
            </w:r>
          </w:p>
        </w:tc>
        <w:tc>
          <w:tcPr>
            <w:tcW w:w="136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17,358.59 </w:t>
            </w:r>
          </w:p>
        </w:tc>
      </w:tr>
      <w:tr w:rsidR="00C9049E">
        <w:tblPrEx>
          <w:tblCellMar>
            <w:top w:w="0" w:type="dxa"/>
            <w:bottom w:w="0" w:type="dxa"/>
          </w:tblCellMar>
        </w:tblPrEx>
        <w:trPr>
          <w:trHeight w:val="307"/>
        </w:trPr>
        <w:tc>
          <w:tcPr>
            <w:tcW w:w="1605"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收益净现值</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25,908.35 </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17,358.59 </w:t>
            </w:r>
          </w:p>
        </w:tc>
      </w:tr>
      <w:tr w:rsidR="00C9049E">
        <w:tblPrEx>
          <w:tblCellMar>
            <w:top w:w="0" w:type="dxa"/>
            <w:bottom w:w="0" w:type="dxa"/>
          </w:tblCellMar>
        </w:tblPrEx>
        <w:trPr>
          <w:trHeight w:val="250"/>
        </w:trPr>
        <w:tc>
          <w:tcPr>
            <w:tcW w:w="1605"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资金年净收益率</w:t>
            </w:r>
          </w:p>
        </w:tc>
        <w:tc>
          <w:tcPr>
            <w:tcW w:w="1050" w:type="dxa"/>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1.52402048%</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1.02109372%</w:t>
            </w:r>
          </w:p>
        </w:tc>
      </w:tr>
    </w:tbl>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tbl>
      <w:tblPr>
        <w:tblW w:w="0" w:type="auto"/>
        <w:tblLayout w:type="fixed"/>
        <w:tblCellMar>
          <w:left w:w="30" w:type="dxa"/>
          <w:right w:w="30" w:type="dxa"/>
        </w:tblCellMar>
        <w:tblLook w:val="0000" w:firstRow="0" w:lastRow="0" w:firstColumn="0" w:lastColumn="0" w:noHBand="0" w:noVBand="0"/>
      </w:tblPr>
      <w:tblGrid>
        <w:gridCol w:w="648"/>
        <w:gridCol w:w="1104"/>
        <w:gridCol w:w="1008"/>
        <w:gridCol w:w="902"/>
        <w:gridCol w:w="883"/>
        <w:gridCol w:w="945"/>
        <w:gridCol w:w="945"/>
        <w:gridCol w:w="945"/>
        <w:gridCol w:w="735"/>
        <w:gridCol w:w="735"/>
        <w:gridCol w:w="945"/>
        <w:gridCol w:w="1260"/>
        <w:gridCol w:w="735"/>
        <w:gridCol w:w="1050"/>
        <w:gridCol w:w="1575"/>
      </w:tblGrid>
      <w:tr w:rsidR="00C9049E">
        <w:tblPrEx>
          <w:tblCellMar>
            <w:top w:w="0" w:type="dxa"/>
            <w:bottom w:w="0" w:type="dxa"/>
          </w:tblCellMar>
        </w:tblPrEx>
        <w:trPr>
          <w:cantSplit/>
          <w:trHeight w:val="2475"/>
        </w:trPr>
        <w:tc>
          <w:tcPr>
            <w:tcW w:w="14415" w:type="dxa"/>
            <w:gridSpan w:val="15"/>
            <w:tcBorders>
              <w:top w:val="nil"/>
              <w:bottom w:val="single" w:sz="12" w:space="0" w:color="auto"/>
            </w:tcBorders>
          </w:tcPr>
          <w:p w:rsidR="00C9049E" w:rsidRDefault="00C9049E" w:rsidP="00E92C7E">
            <w:pPr>
              <w:autoSpaceDE w:val="0"/>
              <w:autoSpaceDN w:val="0"/>
              <w:adjustRightInd w:val="0"/>
              <w:spacing w:line="360" w:lineRule="auto"/>
              <w:ind w:firstLine="570"/>
              <w:rPr>
                <w:rFonts w:ascii="楷体_GB2312" w:eastAsia="楷体_GB2312"/>
                <w:bCs/>
                <w:color w:val="000000"/>
                <w:sz w:val="28"/>
              </w:rPr>
            </w:pPr>
            <w:r>
              <w:rPr>
                <w:rFonts w:ascii="黑体" w:eastAsia="黑体" w:hint="eastAsia"/>
                <w:bCs/>
                <w:color w:val="000000"/>
                <w:sz w:val="28"/>
              </w:rPr>
              <w:t>表</w:t>
            </w:r>
            <w:r>
              <w:rPr>
                <w:rFonts w:ascii="楷体_GB2312" w:eastAsia="楷体_GB2312"/>
                <w:bCs/>
                <w:color w:val="000000"/>
                <w:sz w:val="28"/>
              </w:rPr>
              <w:t>B2</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570"/>
              <w:rPr>
                <w:rFonts w:ascii="楷体_GB2312" w:eastAsia="楷体_GB2312"/>
                <w:bCs/>
                <w:color w:val="000000"/>
                <w:sz w:val="28"/>
              </w:rPr>
            </w:pP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仿宋_GB2312" w:eastAsia="仿宋_GB2312"/>
                <w:bCs/>
                <w:color w:val="000000"/>
                <w:sz w:val="28"/>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仿宋_GB2312" w:eastAsia="仿宋_GB2312"/>
                <w:bCs/>
                <w:color w:val="000000"/>
                <w:sz w:val="28"/>
              </w:rPr>
            </w:pPr>
          </w:p>
          <w:p w:rsidR="00C9049E" w:rsidRDefault="00C9049E" w:rsidP="00E92C7E">
            <w:pPr>
              <w:autoSpaceDE w:val="0"/>
              <w:autoSpaceDN w:val="0"/>
              <w:adjustRightInd w:val="0"/>
              <w:spacing w:line="360" w:lineRule="auto"/>
              <w:rPr>
                <w:rFonts w:ascii="宋体"/>
                <w:bCs/>
                <w:color w:val="000000"/>
                <w:sz w:val="24"/>
              </w:rPr>
            </w:pPr>
            <w:r>
              <w:rPr>
                <w:rFonts w:ascii="楷体_GB2312" w:eastAsia="楷体_GB2312"/>
                <w:bCs/>
                <w:color w:val="000000"/>
                <w:sz w:val="28"/>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个月，租金后付，各期等额还本，租赁年利率：</w:t>
            </w:r>
            <w:r>
              <w:rPr>
                <w:rFonts w:ascii="楷体_GB2312" w:eastAsia="楷体_GB2312"/>
                <w:bCs/>
                <w:color w:val="000000"/>
                <w:sz w:val="28"/>
              </w:rPr>
              <w:t>9.60326153%</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341"/>
        </w:trPr>
        <w:tc>
          <w:tcPr>
            <w:tcW w:w="648" w:type="dxa"/>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104"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本金余额</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一年资金</w:t>
            </w:r>
          </w:p>
        </w:tc>
        <w:tc>
          <w:tcPr>
            <w:tcW w:w="902"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年利率</w:t>
            </w:r>
          </w:p>
        </w:tc>
        <w:tc>
          <w:tcPr>
            <w:tcW w:w="88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租金</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本金</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收益</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付息</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营业税</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费用</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前收益</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收益折现值</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所得税</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后收益</w:t>
            </w:r>
          </w:p>
        </w:tc>
        <w:tc>
          <w:tcPr>
            <w:tcW w:w="157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收益折现值</w:t>
            </w:r>
          </w:p>
        </w:tc>
      </w:tr>
      <w:tr w:rsidR="00C9049E">
        <w:tblPrEx>
          <w:tblCellMar>
            <w:top w:w="0" w:type="dxa"/>
            <w:bottom w:w="0" w:type="dxa"/>
          </w:tblCellMar>
        </w:tblPrEx>
        <w:trPr>
          <w:trHeight w:val="192"/>
        </w:trPr>
        <w:tc>
          <w:tcPr>
            <w:tcW w:w="648" w:type="dxa"/>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w:t>
            </w:r>
          </w:p>
        </w:tc>
        <w:tc>
          <w:tcPr>
            <w:tcW w:w="1104"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902"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69,473.28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19,473.28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64,194.44 </w:t>
            </w:r>
          </w:p>
        </w:tc>
        <w:tc>
          <w:tcPr>
            <w:tcW w:w="73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973.66 </w:t>
            </w:r>
          </w:p>
        </w:tc>
        <w:tc>
          <w:tcPr>
            <w:tcW w:w="73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3,305.17 </w:t>
            </w:r>
          </w:p>
        </w:tc>
        <w:tc>
          <w:tcPr>
            <w:tcW w:w="126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3,248.33 </w:t>
            </w:r>
          </w:p>
        </w:tc>
        <w:tc>
          <w:tcPr>
            <w:tcW w:w="73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1,090.71 </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2,214.47 </w:t>
            </w:r>
          </w:p>
        </w:tc>
        <w:tc>
          <w:tcPr>
            <w:tcW w:w="1575" w:type="dxa"/>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2,176.38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187,500.00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68,256.20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18,256.20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63,307.29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912.81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937.50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3,098.60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2,992.93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1,022.54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2,076.06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2,005.26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175,000.00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67,039.12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17,039.12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62,420.14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851.96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2,892.03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2,745.36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954.37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1,937.66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1,839.39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162,500.00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65,822.04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5</w:t>
            </w:r>
            <w:r>
              <w:rPr>
                <w:rFonts w:eastAsia="黑体"/>
                <w:bCs/>
                <w:i/>
                <w:color w:val="000000"/>
                <w:sz w:val="18"/>
              </w:rPr>
              <w:t xml:space="preserve">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15,822.04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61,532.99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791.10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812.50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2,685.45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2,505.42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886.20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1,799.25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1,678.63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64,604.96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14,604.96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60,645.83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730.25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2,478.88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2,272.92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818.03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1,660.85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1,522.85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137,500.00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63,387.88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13,387.88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59,758.68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669.39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687.50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2,272.31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2,047.67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749.86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1,522.44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1,371.94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125,000.00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62,170.80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12,170.80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58,871.53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608.54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2,065.73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1,829.50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681.69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1,384.04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1,225.77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112,500.00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60,953.72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10,953.72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57,984.38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547.69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562.50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1,859.16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1,618.23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613.52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1,245.64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1,084.22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59,736.64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5</w:t>
            </w:r>
            <w:r>
              <w:rPr>
                <w:rFonts w:eastAsia="黑体"/>
                <w:bCs/>
                <w:i/>
                <w:color w:val="000000"/>
                <w:sz w:val="18"/>
              </w:rPr>
              <w:t xml:space="preserve">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9,736.64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57,097.22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486.83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1,652.59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1,413.69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545.35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1,107.23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947.17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87,500.00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58,519.56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8,519.56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w:t>
            </w:r>
            <w:r>
              <w:rPr>
                <w:rFonts w:eastAsia="黑体" w:hint="eastAsia"/>
                <w:bCs/>
                <w:i/>
                <w:color w:val="000000"/>
                <w:sz w:val="18"/>
              </w:rPr>
              <w:t>5</w:t>
            </w:r>
            <w:r>
              <w:rPr>
                <w:rFonts w:eastAsia="黑体"/>
                <w:bCs/>
                <w:i/>
                <w:color w:val="000000"/>
                <w:sz w:val="18"/>
              </w:rPr>
              <w:t xml:space="preserve">6,210.07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425.98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437.50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1,446.01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1,215.70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477.18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968.83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814.52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57,302.48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7,302.48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55,322.92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365.12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1,239.44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1,024.11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409.02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830.42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686.15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62,500.00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56,085.40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6,085.40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54,435.76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04.27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312.50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1,032.87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838.75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340.85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692.02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561.96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54,868.32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4,868.32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53,548.61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243.42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826.29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659.46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272.68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553.62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441.84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37,500.00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53,651.24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3,651.24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52,661.46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182.56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187.50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619.72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486.09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204.51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415.21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325.68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25,000.00 </w:t>
            </w:r>
          </w:p>
        </w:tc>
        <w:tc>
          <w:tcPr>
            <w:tcW w:w="902"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52,434.16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2,434.16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51,774.31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121.71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125.00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413.15 </w:t>
            </w:r>
          </w:p>
        </w:tc>
        <w:tc>
          <w:tcPr>
            <w:tcW w:w="126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318.48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136.34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276.81 </w:t>
            </w:r>
          </w:p>
        </w:tc>
        <w:tc>
          <w:tcPr>
            <w:tcW w:w="157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213.38 </w:t>
            </w:r>
          </w:p>
        </w:tc>
      </w:tr>
      <w:tr w:rsidR="00C9049E">
        <w:tblPrEx>
          <w:tblCellMar>
            <w:top w:w="0" w:type="dxa"/>
            <w:bottom w:w="0" w:type="dxa"/>
          </w:tblCellMar>
        </w:tblPrEx>
        <w:trPr>
          <w:trHeight w:val="202"/>
        </w:trPr>
        <w:tc>
          <w:tcPr>
            <w:tcW w:w="648" w:type="dxa"/>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104"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1008"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12,500.00 </w:t>
            </w:r>
          </w:p>
        </w:tc>
        <w:tc>
          <w:tcPr>
            <w:tcW w:w="902"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9.6033%</w:t>
            </w:r>
          </w:p>
        </w:tc>
        <w:tc>
          <w:tcPr>
            <w:tcW w:w="883"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51,217.08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50,000.00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1,217.08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50,887.15 </w:t>
            </w:r>
          </w:p>
        </w:tc>
        <w:tc>
          <w:tcPr>
            <w:tcW w:w="73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 </w:t>
            </w:r>
          </w:p>
        </w:tc>
        <w:tc>
          <w:tcPr>
            <w:tcW w:w="73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62.50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206.57 </w:t>
            </w:r>
          </w:p>
        </w:tc>
        <w:tc>
          <w:tcPr>
            <w:tcW w:w="126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156.50 </w:t>
            </w:r>
          </w:p>
        </w:tc>
        <w:tc>
          <w:tcPr>
            <w:tcW w:w="73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68.17 </w:t>
            </w:r>
          </w:p>
        </w:tc>
        <w:tc>
          <w:tcPr>
            <w:tcW w:w="105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138.40 </w:t>
            </w:r>
          </w:p>
        </w:tc>
        <w:tc>
          <w:tcPr>
            <w:tcW w:w="1575" w:type="dxa"/>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104.86 </w:t>
            </w:r>
          </w:p>
        </w:tc>
      </w:tr>
      <w:tr w:rsidR="00C9049E">
        <w:tblPrEx>
          <w:tblCellMar>
            <w:top w:w="0" w:type="dxa"/>
            <w:bottom w:w="0" w:type="dxa"/>
          </w:tblCellMar>
        </w:tblPrEx>
        <w:trPr>
          <w:cantSplit/>
          <w:trHeight w:val="250"/>
        </w:trPr>
        <w:tc>
          <w:tcPr>
            <w:tcW w:w="1752"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1,700,000.00 </w:t>
            </w:r>
          </w:p>
        </w:tc>
        <w:tc>
          <w:tcPr>
            <w:tcW w:w="902"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8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965,522.88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165,522.88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920,652.78 </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8,276.14 </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8,500.00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28,093.96 </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25,373.13 </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9,271.01 </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18,822.95 </w:t>
            </w:r>
          </w:p>
        </w:tc>
        <w:tc>
          <w:tcPr>
            <w:tcW w:w="157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17,000.00 </w:t>
            </w:r>
          </w:p>
        </w:tc>
      </w:tr>
      <w:tr w:rsidR="00C9049E">
        <w:tblPrEx>
          <w:tblCellMar>
            <w:top w:w="0" w:type="dxa"/>
            <w:bottom w:w="0" w:type="dxa"/>
          </w:tblCellMar>
        </w:tblPrEx>
        <w:trPr>
          <w:trHeight w:val="250"/>
        </w:trPr>
        <w:tc>
          <w:tcPr>
            <w:tcW w:w="1752"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02"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8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25,373.13 </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57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17,000.00 </w:t>
            </w:r>
          </w:p>
        </w:tc>
      </w:tr>
      <w:tr w:rsidR="00C9049E">
        <w:tblPrEx>
          <w:tblCellMar>
            <w:top w:w="0" w:type="dxa"/>
            <w:bottom w:w="0" w:type="dxa"/>
          </w:tblCellMar>
        </w:tblPrEx>
        <w:trPr>
          <w:trHeight w:val="250"/>
        </w:trPr>
        <w:tc>
          <w:tcPr>
            <w:tcW w:w="1752"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08" w:type="dxa"/>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02"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83"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1.49253731%</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57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1.00000000%</w:t>
            </w:r>
          </w:p>
        </w:tc>
      </w:tr>
      <w:tr w:rsidR="00C9049E">
        <w:tblPrEx>
          <w:tblCellMar>
            <w:top w:w="0" w:type="dxa"/>
            <w:bottom w:w="0" w:type="dxa"/>
          </w:tblCellMar>
        </w:tblPrEx>
        <w:trPr>
          <w:trHeight w:val="250"/>
        </w:trPr>
        <w:tc>
          <w:tcPr>
            <w:tcW w:w="1752"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24"/>
              </w:rPr>
            </w:pPr>
          </w:p>
        </w:tc>
        <w:tc>
          <w:tcPr>
            <w:tcW w:w="1008" w:type="dxa"/>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02"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83"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p>
        </w:tc>
        <w:tc>
          <w:tcPr>
            <w:tcW w:w="126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p>
        </w:tc>
        <w:tc>
          <w:tcPr>
            <w:tcW w:w="157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p>
        </w:tc>
      </w:tr>
    </w:tbl>
    <w:p w:rsidR="00C9049E" w:rsidRDefault="00C9049E" w:rsidP="00E92C7E">
      <w:pPr>
        <w:spacing w:line="360" w:lineRule="auto"/>
        <w:ind w:left="465"/>
        <w:rPr>
          <w:rFonts w:eastAsia="楷体_GB2312" w:hint="eastAsia"/>
          <w:bCs/>
          <w:sz w:val="18"/>
        </w:rPr>
      </w:pPr>
    </w:p>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tbl>
      <w:tblPr>
        <w:tblW w:w="0" w:type="auto"/>
        <w:tblLayout w:type="fixed"/>
        <w:tblCellMar>
          <w:left w:w="30" w:type="dxa"/>
          <w:right w:w="30" w:type="dxa"/>
        </w:tblCellMar>
        <w:tblLook w:val="0000" w:firstRow="0" w:lastRow="0" w:firstColumn="0" w:lastColumn="0" w:noHBand="0" w:noVBand="0"/>
      </w:tblPr>
      <w:tblGrid>
        <w:gridCol w:w="648"/>
        <w:gridCol w:w="1104"/>
        <w:gridCol w:w="1008"/>
        <w:gridCol w:w="770"/>
        <w:gridCol w:w="70"/>
        <w:gridCol w:w="952"/>
        <w:gridCol w:w="98"/>
        <w:gridCol w:w="812"/>
        <w:gridCol w:w="133"/>
        <w:gridCol w:w="776"/>
        <w:gridCol w:w="169"/>
        <w:gridCol w:w="769"/>
        <w:gridCol w:w="176"/>
        <w:gridCol w:w="636"/>
        <w:gridCol w:w="204"/>
        <w:gridCol w:w="510"/>
        <w:gridCol w:w="330"/>
        <w:gridCol w:w="580"/>
        <w:gridCol w:w="365"/>
        <w:gridCol w:w="965"/>
        <w:gridCol w:w="295"/>
        <w:gridCol w:w="530"/>
        <w:gridCol w:w="378"/>
        <w:gridCol w:w="532"/>
        <w:gridCol w:w="345"/>
        <w:gridCol w:w="1405"/>
      </w:tblGrid>
      <w:tr w:rsidR="00C9049E">
        <w:tblPrEx>
          <w:tblCellMar>
            <w:top w:w="0" w:type="dxa"/>
            <w:bottom w:w="0" w:type="dxa"/>
          </w:tblCellMar>
        </w:tblPrEx>
        <w:trPr>
          <w:cantSplit/>
          <w:trHeight w:val="3479"/>
        </w:trPr>
        <w:tc>
          <w:tcPr>
            <w:tcW w:w="14560" w:type="dxa"/>
            <w:gridSpan w:val="26"/>
            <w:tcBorders>
              <w:top w:val="nil"/>
              <w:bottom w:val="single" w:sz="12" w:space="0" w:color="auto"/>
            </w:tcBorders>
          </w:tcPr>
          <w:p w:rsidR="00C9049E" w:rsidRDefault="00C9049E" w:rsidP="00E92C7E">
            <w:pPr>
              <w:autoSpaceDE w:val="0"/>
              <w:autoSpaceDN w:val="0"/>
              <w:adjustRightInd w:val="0"/>
              <w:spacing w:line="360" w:lineRule="auto"/>
              <w:ind w:firstLine="375"/>
              <w:rPr>
                <w:rFonts w:ascii="楷体_GB2312" w:eastAsia="楷体_GB2312"/>
                <w:bCs/>
                <w:color w:val="000000"/>
                <w:sz w:val="28"/>
              </w:rPr>
            </w:pPr>
            <w:r>
              <w:rPr>
                <w:rFonts w:ascii="黑体" w:eastAsia="黑体" w:hint="eastAsia"/>
                <w:bCs/>
                <w:color w:val="000000"/>
                <w:sz w:val="28"/>
              </w:rPr>
              <w:lastRenderedPageBreak/>
              <w:t>表</w:t>
            </w:r>
            <w:r>
              <w:rPr>
                <w:rFonts w:ascii="楷体_GB2312" w:eastAsia="楷体_GB2312"/>
                <w:bCs/>
                <w:color w:val="000000"/>
                <w:sz w:val="28"/>
              </w:rPr>
              <w:t xml:space="preserve">B3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375"/>
              <w:rPr>
                <w:rFonts w:ascii="楷体_GB2312" w:eastAsia="楷体_GB2312"/>
                <w:bCs/>
                <w:color w:val="000000"/>
                <w:sz w:val="18"/>
              </w:rPr>
            </w:pP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仿宋_GB2312" w:eastAsia="仿宋_GB2312"/>
                <w:bCs/>
                <w:color w:val="000000"/>
                <w:sz w:val="44"/>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仿宋_GB2312" w:eastAsia="仿宋_GB2312"/>
                <w:bCs/>
                <w:color w:val="000000"/>
                <w:sz w:val="44"/>
              </w:rPr>
            </w:pPr>
          </w:p>
          <w:p w:rsidR="00C9049E" w:rsidRDefault="00C9049E" w:rsidP="00E92C7E">
            <w:pPr>
              <w:autoSpaceDE w:val="0"/>
              <w:autoSpaceDN w:val="0"/>
              <w:adjustRightInd w:val="0"/>
              <w:spacing w:line="360" w:lineRule="auto"/>
              <w:rPr>
                <w:rFonts w:ascii="宋体"/>
                <w:bCs/>
                <w:color w:val="000000"/>
                <w:sz w:val="18"/>
              </w:rPr>
            </w:pPr>
            <w:r>
              <w:rPr>
                <w:rFonts w:ascii="楷体_GB2312" w:eastAsia="楷体_GB2312"/>
                <w:bCs/>
                <w:color w:val="000000"/>
                <w:sz w:val="18"/>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个月，租金后付，第</w:t>
            </w:r>
            <w:r>
              <w:rPr>
                <w:rFonts w:ascii="楷体_GB2312" w:eastAsia="楷体_GB2312"/>
                <w:bCs/>
                <w:color w:val="000000"/>
                <w:sz w:val="28"/>
              </w:rPr>
              <w:t>2</w:t>
            </w:r>
            <w:r>
              <w:rPr>
                <w:rFonts w:ascii="楷体_GB2312" w:eastAsia="楷体_GB2312" w:hint="eastAsia"/>
                <w:bCs/>
                <w:color w:val="000000"/>
                <w:sz w:val="28"/>
              </w:rPr>
              <w:t>、</w:t>
            </w:r>
            <w:r>
              <w:rPr>
                <w:rFonts w:ascii="楷体_GB2312" w:eastAsia="楷体_GB2312"/>
                <w:bCs/>
                <w:color w:val="000000"/>
                <w:sz w:val="28"/>
              </w:rPr>
              <w:t>3</w:t>
            </w:r>
            <w:r>
              <w:rPr>
                <w:rFonts w:ascii="楷体_GB2312" w:eastAsia="楷体_GB2312" w:hint="eastAsia"/>
                <w:bCs/>
                <w:color w:val="000000"/>
                <w:sz w:val="28"/>
              </w:rPr>
              <w:t>年末各还本</w:t>
            </w:r>
            <w:r>
              <w:rPr>
                <w:rFonts w:ascii="楷体_GB2312" w:eastAsia="楷体_GB2312"/>
                <w:bCs/>
                <w:color w:val="000000"/>
                <w:sz w:val="28"/>
              </w:rPr>
              <w:t>200,000.00</w:t>
            </w:r>
            <w:r>
              <w:rPr>
                <w:rFonts w:ascii="楷体_GB2312" w:eastAsia="楷体_GB2312" w:hint="eastAsia"/>
                <w:bCs/>
                <w:color w:val="000000"/>
                <w:sz w:val="28"/>
              </w:rPr>
              <w:t>，第</w:t>
            </w:r>
            <w:r>
              <w:rPr>
                <w:rFonts w:ascii="楷体_GB2312" w:eastAsia="楷体_GB2312"/>
                <w:bCs/>
                <w:color w:val="000000"/>
                <w:sz w:val="28"/>
              </w:rPr>
              <w:t>4</w:t>
            </w:r>
            <w:r>
              <w:rPr>
                <w:rFonts w:ascii="楷体_GB2312" w:eastAsia="楷体_GB2312" w:hint="eastAsia"/>
                <w:bCs/>
                <w:color w:val="000000"/>
                <w:sz w:val="28"/>
              </w:rPr>
              <w:t>年末还本</w:t>
            </w:r>
            <w:r>
              <w:rPr>
                <w:rFonts w:ascii="楷体_GB2312" w:eastAsia="楷体_GB2312"/>
                <w:bCs/>
                <w:color w:val="000000"/>
                <w:sz w:val="28"/>
              </w:rPr>
              <w:t>400,000.00</w:t>
            </w:r>
            <w:r>
              <w:rPr>
                <w:rFonts w:ascii="楷体_GB2312" w:eastAsia="楷体_GB2312" w:hint="eastAsia"/>
                <w:bCs/>
                <w:color w:val="000000"/>
                <w:sz w:val="28"/>
              </w:rPr>
              <w:t>，租赁年利率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182"/>
        </w:trPr>
        <w:tc>
          <w:tcPr>
            <w:tcW w:w="648" w:type="dxa"/>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104"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租赁综合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90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877"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40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trHeight w:val="192"/>
        </w:trPr>
        <w:tc>
          <w:tcPr>
            <w:tcW w:w="648" w:type="dxa"/>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104"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08"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3,257.95 </w:t>
            </w:r>
          </w:p>
        </w:tc>
        <w:tc>
          <w:tcPr>
            <w:tcW w:w="908"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2,182.82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3,201.91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2,145.28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3,146.84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2,108.38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963.95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3,092.72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2,072.12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963.95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3,039.53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2,036.48 </w:t>
            </w:r>
          </w:p>
        </w:tc>
      </w:tr>
      <w:tr w:rsidR="00C9049E">
        <w:tblPrEx>
          <w:tblCellMar>
            <w:top w:w="0" w:type="dxa"/>
            <w:bottom w:w="0" w:type="dxa"/>
          </w:tblCellMar>
        </w:tblPrEx>
        <w:trPr>
          <w:trHeight w:val="206"/>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2,987.25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2,001.46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2,935.87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1,967.04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214,000.00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3,314.96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2,885.38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2,221.02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1,933.20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722.96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2,486.22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2,126.82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820.45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1,665.77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1,424.97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722.96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2,486.22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2,090.24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820.45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1,665.77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1,400.46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722.96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2,486.22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2,054.29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820.45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1,665.77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1,376.37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12</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14,459.18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210,500.00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722.96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2,486.22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2,018.95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820.45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1,665.77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1,352.70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481.97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1,657.48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1,322.82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546.97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1,110.51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886.29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481.97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1,657.48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1,300.07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546.97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1,110.51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871.05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7,000.00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481.97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1,657.48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1,277.71 </w:t>
            </w:r>
          </w:p>
        </w:tc>
        <w:tc>
          <w:tcPr>
            <w:tcW w:w="90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546.97 </w:t>
            </w:r>
          </w:p>
        </w:tc>
        <w:tc>
          <w:tcPr>
            <w:tcW w:w="877"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1,110.51 </w:t>
            </w:r>
          </w:p>
        </w:tc>
        <w:tc>
          <w:tcPr>
            <w:tcW w:w="1405"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856.07 </w:t>
            </w:r>
          </w:p>
        </w:tc>
      </w:tr>
      <w:tr w:rsidR="00C9049E">
        <w:tblPrEx>
          <w:tblCellMar>
            <w:top w:w="0" w:type="dxa"/>
            <w:bottom w:w="0" w:type="dxa"/>
          </w:tblCellMar>
        </w:tblPrEx>
        <w:trPr>
          <w:trHeight w:val="202"/>
        </w:trPr>
        <w:tc>
          <w:tcPr>
            <w:tcW w:w="648" w:type="dxa"/>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104"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84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409,639.45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400,000.00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407,000.00 </w:t>
            </w:r>
          </w:p>
        </w:tc>
        <w:tc>
          <w:tcPr>
            <w:tcW w:w="84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481.97 </w:t>
            </w:r>
          </w:p>
        </w:tc>
        <w:tc>
          <w:tcPr>
            <w:tcW w:w="84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500.00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1,657.48 </w:t>
            </w:r>
          </w:p>
        </w:tc>
        <w:tc>
          <w:tcPr>
            <w:tcW w:w="126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1,255.73 </w:t>
            </w:r>
          </w:p>
        </w:tc>
        <w:tc>
          <w:tcPr>
            <w:tcW w:w="908"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546.97 </w:t>
            </w:r>
          </w:p>
        </w:tc>
        <w:tc>
          <w:tcPr>
            <w:tcW w:w="877"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1,110.51 </w:t>
            </w:r>
          </w:p>
        </w:tc>
        <w:tc>
          <w:tcPr>
            <w:tcW w:w="1405" w:type="dxa"/>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841.34 </w:t>
            </w:r>
          </w:p>
        </w:tc>
      </w:tr>
      <w:tr w:rsidR="00C9049E">
        <w:tblPrEx>
          <w:tblCellMar>
            <w:top w:w="0" w:type="dxa"/>
            <w:bottom w:w="0" w:type="dxa"/>
          </w:tblCellMar>
        </w:tblPrEx>
        <w:trPr>
          <w:cantSplit/>
          <w:trHeight w:val="250"/>
        </w:trPr>
        <w:tc>
          <w:tcPr>
            <w:tcW w:w="1752"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2,600,000.00 </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1,050,625.77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250,625.77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982,000.00 </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12,531.29 </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13,000.00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43,094.48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37,994.08 </w:t>
            </w:r>
          </w:p>
        </w:tc>
        <w:tc>
          <w:tcPr>
            <w:tcW w:w="90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14,221.18 </w:t>
            </w:r>
          </w:p>
        </w:tc>
        <w:tc>
          <w:tcPr>
            <w:tcW w:w="877"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28,873.30 </w:t>
            </w:r>
          </w:p>
        </w:tc>
        <w:tc>
          <w:tcPr>
            <w:tcW w:w="140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25,456.04 </w:t>
            </w:r>
          </w:p>
        </w:tc>
      </w:tr>
      <w:tr w:rsidR="00C9049E">
        <w:tblPrEx>
          <w:tblCellMar>
            <w:top w:w="0" w:type="dxa"/>
            <w:bottom w:w="0" w:type="dxa"/>
          </w:tblCellMar>
        </w:tblPrEx>
        <w:trPr>
          <w:trHeight w:val="250"/>
        </w:trPr>
        <w:tc>
          <w:tcPr>
            <w:tcW w:w="1752"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37,994.08 </w:t>
            </w:r>
          </w:p>
        </w:tc>
        <w:tc>
          <w:tcPr>
            <w:tcW w:w="90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77"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40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25,456.04 </w:t>
            </w:r>
          </w:p>
        </w:tc>
      </w:tr>
      <w:tr w:rsidR="00C9049E">
        <w:tblPrEx>
          <w:tblCellMar>
            <w:top w:w="0" w:type="dxa"/>
            <w:bottom w:w="0" w:type="dxa"/>
          </w:tblCellMar>
        </w:tblPrEx>
        <w:trPr>
          <w:trHeight w:val="250"/>
        </w:trPr>
        <w:tc>
          <w:tcPr>
            <w:tcW w:w="1752"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08" w:type="dxa"/>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gridSpan w:val="2"/>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1.46131085%</w:t>
            </w:r>
          </w:p>
        </w:tc>
        <w:tc>
          <w:tcPr>
            <w:tcW w:w="90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877"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405"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0.97907827%</w:t>
            </w:r>
          </w:p>
        </w:tc>
      </w:tr>
      <w:tr w:rsidR="00C9049E">
        <w:tblPrEx>
          <w:tblCellMar>
            <w:top w:w="0" w:type="dxa"/>
            <w:bottom w:w="0" w:type="dxa"/>
          </w:tblCellMar>
        </w:tblPrEx>
        <w:trPr>
          <w:cantSplit/>
          <w:trHeight w:val="178"/>
        </w:trPr>
        <w:tc>
          <w:tcPr>
            <w:tcW w:w="14560" w:type="dxa"/>
            <w:gridSpan w:val="26"/>
            <w:tcBorders>
              <w:top w:val="single" w:sz="12" w:space="0" w:color="auto"/>
              <w:bottom w:val="nil"/>
            </w:tcBorders>
          </w:tcPr>
          <w:p w:rsidR="00C9049E" w:rsidRDefault="00C9049E" w:rsidP="00E92C7E">
            <w:pPr>
              <w:autoSpaceDE w:val="0"/>
              <w:autoSpaceDN w:val="0"/>
              <w:adjustRightInd w:val="0"/>
              <w:spacing w:line="360" w:lineRule="auto"/>
              <w:jc w:val="right"/>
              <w:rPr>
                <w:rFonts w:ascii="宋体"/>
                <w:bCs/>
                <w:color w:val="000000"/>
                <w:sz w:val="18"/>
              </w:rPr>
            </w:pPr>
          </w:p>
        </w:tc>
      </w:tr>
      <w:tr w:rsidR="00C9049E">
        <w:tblPrEx>
          <w:tblCellMar>
            <w:top w:w="0" w:type="dxa"/>
            <w:bottom w:w="0" w:type="dxa"/>
          </w:tblCellMar>
        </w:tblPrEx>
        <w:trPr>
          <w:cantSplit/>
          <w:trHeight w:val="3305"/>
        </w:trPr>
        <w:tc>
          <w:tcPr>
            <w:tcW w:w="14560" w:type="dxa"/>
            <w:gridSpan w:val="26"/>
            <w:tcBorders>
              <w:bottom w:val="single" w:sz="12" w:space="0" w:color="auto"/>
            </w:tcBorders>
          </w:tcPr>
          <w:p w:rsidR="00C9049E" w:rsidRDefault="00C9049E" w:rsidP="00E92C7E">
            <w:pPr>
              <w:autoSpaceDE w:val="0"/>
              <w:autoSpaceDN w:val="0"/>
              <w:adjustRightInd w:val="0"/>
              <w:spacing w:line="360" w:lineRule="auto"/>
              <w:rPr>
                <w:rFonts w:ascii="楷体_GB2312" w:eastAsia="楷体_GB2312"/>
                <w:bCs/>
                <w:color w:val="000000"/>
                <w:sz w:val="28"/>
              </w:rPr>
            </w:pPr>
            <w:r>
              <w:rPr>
                <w:rFonts w:ascii="楷体_GB2312" w:eastAsia="楷体_GB2312"/>
                <w:bCs/>
                <w:color w:val="000000"/>
                <w:sz w:val="18"/>
              </w:rPr>
              <w:t xml:space="preserve"> </w:t>
            </w:r>
            <w:r>
              <w:rPr>
                <w:rFonts w:ascii="黑体" w:eastAsia="黑体" w:hint="eastAsia"/>
                <w:bCs/>
                <w:color w:val="000000"/>
                <w:sz w:val="28"/>
              </w:rPr>
              <w:t>表</w:t>
            </w:r>
            <w:r>
              <w:rPr>
                <w:rFonts w:ascii="楷体_GB2312" w:eastAsia="楷体_GB2312"/>
                <w:bCs/>
                <w:color w:val="000000"/>
                <w:sz w:val="28"/>
              </w:rPr>
              <w:t xml:space="preserve">B4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，营业费用取表</w:t>
            </w:r>
            <w:r>
              <w:rPr>
                <w:rFonts w:ascii="楷体_GB2312" w:eastAsia="楷体_GB2312"/>
                <w:bCs/>
                <w:color w:val="000000"/>
                <w:sz w:val="28"/>
              </w:rPr>
              <w:t>A1</w:t>
            </w:r>
            <w:r>
              <w:rPr>
                <w:rFonts w:ascii="楷体_GB2312" w:eastAsia="楷体_GB2312" w:hint="eastAsia"/>
                <w:bCs/>
                <w:color w:val="000000"/>
                <w:sz w:val="28"/>
              </w:rPr>
              <w:t>数字，所得税前税后收益折现值取筹资成本年利率为折现率，本例是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rPr>
                <w:rFonts w:ascii="楷体_GB2312" w:eastAsia="楷体_GB2312"/>
                <w:bCs/>
                <w:color w:val="000000"/>
                <w:sz w:val="18"/>
              </w:rPr>
            </w:pP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仿宋_GB2312" w:eastAsia="仿宋_GB2312"/>
                <w:bCs/>
                <w:color w:val="000000"/>
                <w:sz w:val="44"/>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仿宋_GB2312" w:eastAsia="仿宋_GB2312"/>
                <w:bCs/>
                <w:color w:val="000000"/>
                <w:sz w:val="44"/>
              </w:rPr>
            </w:pPr>
          </w:p>
          <w:p w:rsidR="00C9049E" w:rsidRDefault="00C9049E" w:rsidP="00E92C7E">
            <w:pPr>
              <w:autoSpaceDE w:val="0"/>
              <w:autoSpaceDN w:val="0"/>
              <w:adjustRightInd w:val="0"/>
              <w:spacing w:line="360" w:lineRule="auto"/>
              <w:rPr>
                <w:rFonts w:ascii="宋体"/>
                <w:bCs/>
                <w:color w:val="000000"/>
                <w:sz w:val="18"/>
              </w:rPr>
            </w:pPr>
            <w:r>
              <w:rPr>
                <w:rFonts w:ascii="楷体_GB2312" w:eastAsia="楷体_GB2312"/>
                <w:bCs/>
                <w:color w:val="000000"/>
                <w:sz w:val="18"/>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个月，租金后付，第</w:t>
            </w:r>
            <w:r>
              <w:rPr>
                <w:rFonts w:ascii="楷体_GB2312" w:eastAsia="楷体_GB2312"/>
                <w:bCs/>
                <w:color w:val="000000"/>
                <w:sz w:val="28"/>
              </w:rPr>
              <w:t>2</w:t>
            </w:r>
            <w:r>
              <w:rPr>
                <w:rFonts w:ascii="楷体_GB2312" w:eastAsia="楷体_GB2312" w:hint="eastAsia"/>
                <w:bCs/>
                <w:color w:val="000000"/>
                <w:sz w:val="28"/>
              </w:rPr>
              <w:t>、</w:t>
            </w:r>
            <w:r>
              <w:rPr>
                <w:rFonts w:ascii="楷体_GB2312" w:eastAsia="楷体_GB2312"/>
                <w:bCs/>
                <w:color w:val="000000"/>
                <w:sz w:val="28"/>
              </w:rPr>
              <w:t>3</w:t>
            </w:r>
            <w:r>
              <w:rPr>
                <w:rFonts w:ascii="楷体_GB2312" w:eastAsia="楷体_GB2312" w:hint="eastAsia"/>
                <w:bCs/>
                <w:color w:val="000000"/>
                <w:sz w:val="28"/>
              </w:rPr>
              <w:t>年末各还本</w:t>
            </w:r>
            <w:r>
              <w:rPr>
                <w:rFonts w:ascii="楷体_GB2312" w:eastAsia="楷体_GB2312"/>
                <w:bCs/>
                <w:color w:val="000000"/>
                <w:sz w:val="28"/>
              </w:rPr>
              <w:t>200,000.00</w:t>
            </w:r>
            <w:r>
              <w:rPr>
                <w:rFonts w:ascii="楷体_GB2312" w:eastAsia="楷体_GB2312" w:hint="eastAsia"/>
                <w:bCs/>
                <w:color w:val="000000"/>
                <w:sz w:val="28"/>
              </w:rPr>
              <w:t>，第</w:t>
            </w:r>
            <w:r>
              <w:rPr>
                <w:rFonts w:ascii="楷体_GB2312" w:eastAsia="楷体_GB2312"/>
                <w:bCs/>
                <w:color w:val="000000"/>
                <w:sz w:val="28"/>
              </w:rPr>
              <w:t>4</w:t>
            </w:r>
            <w:r>
              <w:rPr>
                <w:rFonts w:ascii="楷体_GB2312" w:eastAsia="楷体_GB2312" w:hint="eastAsia"/>
                <w:bCs/>
                <w:color w:val="000000"/>
                <w:sz w:val="28"/>
              </w:rPr>
              <w:t>年末还本</w:t>
            </w:r>
            <w:r>
              <w:rPr>
                <w:rFonts w:ascii="楷体_GB2312" w:eastAsia="楷体_GB2312"/>
                <w:bCs/>
                <w:color w:val="000000"/>
                <w:sz w:val="28"/>
              </w:rPr>
              <w:t>400,000.00</w:t>
            </w:r>
            <w:r>
              <w:rPr>
                <w:rFonts w:ascii="楷体_GB2312" w:eastAsia="楷体_GB2312" w:hint="eastAsia"/>
                <w:bCs/>
                <w:color w:val="000000"/>
                <w:sz w:val="28"/>
              </w:rPr>
              <w:t>，租赁年利率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293"/>
        </w:trPr>
        <w:tc>
          <w:tcPr>
            <w:tcW w:w="648" w:type="dxa"/>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104"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77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租赁</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综合</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年利率</w:t>
            </w:r>
          </w:p>
        </w:tc>
        <w:tc>
          <w:tcPr>
            <w:tcW w:w="102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lastRenderedPageBreak/>
              <w:t>本期租金</w:t>
            </w: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09"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93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81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714"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33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82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75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trHeight w:val="192"/>
        </w:trPr>
        <w:tc>
          <w:tcPr>
            <w:tcW w:w="648" w:type="dxa"/>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w:t>
            </w:r>
          </w:p>
        </w:tc>
        <w:tc>
          <w:tcPr>
            <w:tcW w:w="1104"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7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1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38"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12"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1,000.00 </w:t>
            </w:r>
          </w:p>
        </w:tc>
        <w:tc>
          <w:tcPr>
            <w:tcW w:w="91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3,314.96 </w:t>
            </w:r>
          </w:p>
        </w:tc>
        <w:tc>
          <w:tcPr>
            <w:tcW w:w="133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3,257.95 </w:t>
            </w:r>
          </w:p>
        </w:tc>
        <w:tc>
          <w:tcPr>
            <w:tcW w:w="82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1,093.94 </w:t>
            </w:r>
          </w:p>
        </w:tc>
        <w:tc>
          <w:tcPr>
            <w:tcW w:w="91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2,221.02 </w:t>
            </w:r>
          </w:p>
        </w:tc>
        <w:tc>
          <w:tcPr>
            <w:tcW w:w="1750" w:type="dxa"/>
            <w:gridSpan w:val="2"/>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2,182.82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948.04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3,366.92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3,252.10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1,111.08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2,255.84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2,178.91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9,278.91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894.82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3,420.14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3,246.69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1,128.65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2,291.49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2,175.28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840.32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3,474.64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3,241.70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1,146.63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2,328.01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2,171.94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784.51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3,530.45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3,237.11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1,165.05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2,365.40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2,168.87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727.35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3,587.61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3,232.95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1,183.91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2,403.70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2,166.08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668.82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3,646.14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3,229.18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1,203.23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2,442.91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2,163.55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219,278.91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19,278.91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214,000.00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608.87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3,706.09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3,225.82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1,223.01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2,483.08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2,161.30 </w:t>
            </w:r>
          </w:p>
        </w:tc>
      </w:tr>
      <w:tr w:rsidR="00C9049E">
        <w:tblPrEx>
          <w:tblCellMar>
            <w:top w:w="0" w:type="dxa"/>
            <w:bottom w:w="0" w:type="dxa"/>
          </w:tblCellMar>
        </w:tblPrEx>
        <w:trPr>
          <w:trHeight w:val="151"/>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722.96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547.48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2,688.74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2,300.06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887.28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1,801.46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1,541.04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722.96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484.61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2,751.61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2,313.36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908.03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1,843.58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1,549.95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722.96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420.23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2,815.99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2,326.77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929.28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1,886.71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1,558.93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214,459.18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200,000.00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14,459.18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210,500.00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722.96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354.29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2,881.93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2,340.29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951.04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1,930.89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1,568.00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481.97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286.77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1,870.71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1,493.00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617.33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1,253.38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1,000.31 </w:t>
            </w:r>
          </w:p>
        </w:tc>
      </w:tr>
      <w:tr w:rsidR="00C9049E">
        <w:tblPrEx>
          <w:tblCellMar>
            <w:top w:w="0" w:type="dxa"/>
            <w:bottom w:w="0" w:type="dxa"/>
          </w:tblCellMar>
        </w:tblPrEx>
        <w:trPr>
          <w:trHeight w:val="192"/>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481.97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217.62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1,939.86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1,521.56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640.15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1,299.71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1,019.44 </w:t>
            </w:r>
          </w:p>
        </w:tc>
      </w:tr>
      <w:tr w:rsidR="00C9049E">
        <w:tblPrEx>
          <w:tblCellMar>
            <w:top w:w="0" w:type="dxa"/>
            <w:bottom w:w="0" w:type="dxa"/>
          </w:tblCellMar>
        </w:tblPrEx>
        <w:trPr>
          <w:trHeight w:val="248"/>
        </w:trPr>
        <w:tc>
          <w:tcPr>
            <w:tcW w:w="648" w:type="dxa"/>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104"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77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   </w:t>
            </w:r>
          </w:p>
        </w:tc>
        <w:tc>
          <w:tcPr>
            <w:tcW w:w="909"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38"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7,000.00 </w:t>
            </w:r>
          </w:p>
        </w:tc>
        <w:tc>
          <w:tcPr>
            <w:tcW w:w="81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481.97 </w:t>
            </w:r>
          </w:p>
        </w:tc>
        <w:tc>
          <w:tcPr>
            <w:tcW w:w="714"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146.80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2,010.68 </w:t>
            </w:r>
          </w:p>
        </w:tc>
        <w:tc>
          <w:tcPr>
            <w:tcW w:w="133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1,549.98 </w:t>
            </w:r>
          </w:p>
        </w:tc>
        <w:tc>
          <w:tcPr>
            <w:tcW w:w="82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663.52 </w:t>
            </w:r>
          </w:p>
        </w:tc>
        <w:tc>
          <w:tcPr>
            <w:tcW w:w="91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1,347.16 </w:t>
            </w:r>
          </w:p>
        </w:tc>
        <w:tc>
          <w:tcPr>
            <w:tcW w:w="1750"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1,038.49 </w:t>
            </w:r>
          </w:p>
        </w:tc>
      </w:tr>
      <w:tr w:rsidR="00C9049E">
        <w:tblPrEx>
          <w:tblCellMar>
            <w:top w:w="0" w:type="dxa"/>
            <w:bottom w:w="0" w:type="dxa"/>
          </w:tblCellMar>
        </w:tblPrEx>
        <w:trPr>
          <w:trHeight w:val="202"/>
        </w:trPr>
        <w:tc>
          <w:tcPr>
            <w:tcW w:w="648" w:type="dxa"/>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104"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400,000.00 </w:t>
            </w:r>
          </w:p>
        </w:tc>
        <w:tc>
          <w:tcPr>
            <w:tcW w:w="1008"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100,000.00 </w:t>
            </w:r>
          </w:p>
        </w:tc>
        <w:tc>
          <w:tcPr>
            <w:tcW w:w="77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22"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409,639.45 </w:t>
            </w:r>
          </w:p>
        </w:tc>
        <w:tc>
          <w:tcPr>
            <w:tcW w:w="91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400,000.00 </w:t>
            </w:r>
          </w:p>
        </w:tc>
        <w:tc>
          <w:tcPr>
            <w:tcW w:w="909"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9,639.45 </w:t>
            </w:r>
          </w:p>
        </w:tc>
        <w:tc>
          <w:tcPr>
            <w:tcW w:w="938"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407,000.00 </w:t>
            </w:r>
          </w:p>
        </w:tc>
        <w:tc>
          <w:tcPr>
            <w:tcW w:w="812"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481.97 </w:t>
            </w:r>
          </w:p>
        </w:tc>
        <w:tc>
          <w:tcPr>
            <w:tcW w:w="714"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74.27 </w:t>
            </w:r>
          </w:p>
        </w:tc>
        <w:tc>
          <w:tcPr>
            <w:tcW w:w="91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2,083.21 </w:t>
            </w:r>
          </w:p>
        </w:tc>
        <w:tc>
          <w:tcPr>
            <w:tcW w:w="133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1,578.27 </w:t>
            </w:r>
          </w:p>
        </w:tc>
        <w:tc>
          <w:tcPr>
            <w:tcW w:w="82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687.46 </w:t>
            </w:r>
          </w:p>
        </w:tc>
        <w:tc>
          <w:tcPr>
            <w:tcW w:w="91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1,395.75 </w:t>
            </w:r>
          </w:p>
        </w:tc>
        <w:tc>
          <w:tcPr>
            <w:tcW w:w="1750" w:type="dxa"/>
            <w:gridSpan w:val="2"/>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1,057.44 </w:t>
            </w:r>
          </w:p>
        </w:tc>
      </w:tr>
      <w:tr w:rsidR="00C9049E">
        <w:tblPrEx>
          <w:tblCellMar>
            <w:top w:w="0" w:type="dxa"/>
            <w:bottom w:w="0" w:type="dxa"/>
          </w:tblCellMar>
        </w:tblPrEx>
        <w:trPr>
          <w:cantSplit/>
          <w:trHeight w:val="250"/>
        </w:trPr>
        <w:tc>
          <w:tcPr>
            <w:tcW w:w="1752"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2,600,000.00 </w:t>
            </w:r>
          </w:p>
        </w:tc>
        <w:tc>
          <w:tcPr>
            <w:tcW w:w="77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2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1,050,625.77 </w:t>
            </w: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09"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250,625.77 </w:t>
            </w:r>
          </w:p>
        </w:tc>
        <w:tc>
          <w:tcPr>
            <w:tcW w:w="93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982,000.00 </w:t>
            </w:r>
          </w:p>
        </w:tc>
        <w:tc>
          <w:tcPr>
            <w:tcW w:w="81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12,531.29 </w:t>
            </w:r>
          </w:p>
        </w:tc>
        <w:tc>
          <w:tcPr>
            <w:tcW w:w="714"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9,004.80 </w:t>
            </w: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47,089.68 </w:t>
            </w:r>
          </w:p>
        </w:tc>
        <w:tc>
          <w:tcPr>
            <w:tcW w:w="133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41,346.79 </w:t>
            </w:r>
          </w:p>
        </w:tc>
        <w:tc>
          <w:tcPr>
            <w:tcW w:w="82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15,539.60 </w:t>
            </w: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31,550.09 </w:t>
            </w:r>
          </w:p>
        </w:tc>
        <w:tc>
          <w:tcPr>
            <w:tcW w:w="175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27,702.35 </w:t>
            </w:r>
          </w:p>
        </w:tc>
      </w:tr>
      <w:tr w:rsidR="00C9049E">
        <w:tblPrEx>
          <w:tblCellMar>
            <w:top w:w="0" w:type="dxa"/>
            <w:bottom w:w="0" w:type="dxa"/>
          </w:tblCellMar>
        </w:tblPrEx>
        <w:trPr>
          <w:trHeight w:val="250"/>
        </w:trPr>
        <w:tc>
          <w:tcPr>
            <w:tcW w:w="1752"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收益净现值</w:t>
            </w:r>
          </w:p>
        </w:tc>
        <w:tc>
          <w:tcPr>
            <w:tcW w:w="1008"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7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2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09"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3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1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14"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3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41,346.79 </w:t>
            </w:r>
          </w:p>
        </w:tc>
        <w:tc>
          <w:tcPr>
            <w:tcW w:w="82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75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27,702.35 </w:t>
            </w:r>
          </w:p>
        </w:tc>
      </w:tr>
      <w:tr w:rsidR="00C9049E">
        <w:tblPrEx>
          <w:tblCellMar>
            <w:top w:w="0" w:type="dxa"/>
            <w:bottom w:w="0" w:type="dxa"/>
          </w:tblCellMar>
        </w:tblPrEx>
        <w:trPr>
          <w:trHeight w:val="250"/>
        </w:trPr>
        <w:tc>
          <w:tcPr>
            <w:tcW w:w="1752" w:type="dxa"/>
            <w:gridSpan w:val="2"/>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24"/>
              </w:rPr>
            </w:pPr>
            <w:r>
              <w:rPr>
                <w:rFonts w:ascii="黑体" w:eastAsia="黑体" w:hint="eastAsia"/>
                <w:bCs/>
                <w:color w:val="000000"/>
                <w:sz w:val="24"/>
              </w:rPr>
              <w:t>资金年净收益率</w:t>
            </w:r>
          </w:p>
        </w:tc>
        <w:tc>
          <w:tcPr>
            <w:tcW w:w="1008" w:type="dxa"/>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70"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22" w:type="dxa"/>
            <w:gridSpan w:val="2"/>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10" w:type="dxa"/>
            <w:gridSpan w:val="2"/>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09" w:type="dxa"/>
            <w:gridSpan w:val="2"/>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38"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1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14"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33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1.59026101%</w:t>
            </w:r>
          </w:p>
        </w:tc>
        <w:tc>
          <w:tcPr>
            <w:tcW w:w="82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1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750"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1.06547488%</w:t>
            </w:r>
          </w:p>
        </w:tc>
      </w:tr>
    </w:tbl>
    <w:p w:rsidR="00C9049E" w:rsidRDefault="00C9049E" w:rsidP="00E92C7E">
      <w:pPr>
        <w:spacing w:line="360" w:lineRule="auto"/>
        <w:ind w:left="465"/>
        <w:rPr>
          <w:rFonts w:eastAsia="楷体_GB2312" w:hint="eastAsia"/>
          <w:bCs/>
          <w:sz w:val="24"/>
        </w:rPr>
      </w:pPr>
    </w:p>
    <w:p w:rsidR="00C9049E" w:rsidRDefault="00C9049E" w:rsidP="00E92C7E">
      <w:pPr>
        <w:spacing w:line="360" w:lineRule="auto"/>
        <w:ind w:left="465"/>
        <w:rPr>
          <w:rFonts w:eastAsia="楷体_GB2312" w:hint="eastAsia"/>
          <w:bCs/>
          <w:sz w:val="24"/>
        </w:rPr>
      </w:pPr>
    </w:p>
    <w:tbl>
      <w:tblPr>
        <w:tblW w:w="0" w:type="auto"/>
        <w:tblInd w:w="-390" w:type="dxa"/>
        <w:tblLayout w:type="fixed"/>
        <w:tblCellMar>
          <w:left w:w="30" w:type="dxa"/>
          <w:right w:w="30" w:type="dxa"/>
        </w:tblCellMar>
        <w:tblLook w:val="0000" w:firstRow="0" w:lastRow="0" w:firstColumn="0" w:lastColumn="0" w:noHBand="0" w:noVBand="0"/>
      </w:tblPr>
      <w:tblGrid>
        <w:gridCol w:w="390"/>
        <w:gridCol w:w="345"/>
        <w:gridCol w:w="303"/>
        <w:gridCol w:w="747"/>
        <w:gridCol w:w="315"/>
        <w:gridCol w:w="945"/>
        <w:gridCol w:w="105"/>
        <w:gridCol w:w="735"/>
        <w:gridCol w:w="1050"/>
        <w:gridCol w:w="1050"/>
        <w:gridCol w:w="945"/>
        <w:gridCol w:w="1050"/>
        <w:gridCol w:w="840"/>
        <w:gridCol w:w="840"/>
        <w:gridCol w:w="105"/>
        <w:gridCol w:w="840"/>
        <w:gridCol w:w="105"/>
        <w:gridCol w:w="1155"/>
        <w:gridCol w:w="105"/>
        <w:gridCol w:w="840"/>
        <w:gridCol w:w="12"/>
        <w:gridCol w:w="933"/>
        <w:gridCol w:w="105"/>
        <w:gridCol w:w="1260"/>
      </w:tblGrid>
      <w:tr w:rsidR="00C9049E">
        <w:tblPrEx>
          <w:tblCellMar>
            <w:top w:w="0" w:type="dxa"/>
            <w:bottom w:w="0" w:type="dxa"/>
          </w:tblCellMar>
        </w:tblPrEx>
        <w:trPr>
          <w:cantSplit/>
          <w:trHeight w:val="2647"/>
        </w:trPr>
        <w:tc>
          <w:tcPr>
            <w:tcW w:w="15120" w:type="dxa"/>
            <w:gridSpan w:val="24"/>
            <w:tcBorders>
              <w:top w:val="nil"/>
              <w:bottom w:val="single" w:sz="12" w:space="0" w:color="auto"/>
            </w:tcBorders>
          </w:tcPr>
          <w:p w:rsidR="00C9049E" w:rsidRDefault="00C9049E" w:rsidP="00E92C7E">
            <w:pPr>
              <w:autoSpaceDE w:val="0"/>
              <w:autoSpaceDN w:val="0"/>
              <w:adjustRightInd w:val="0"/>
              <w:spacing w:line="360" w:lineRule="auto"/>
              <w:rPr>
                <w:rFonts w:ascii="仿宋_GB2312" w:eastAsia="仿宋_GB2312"/>
                <w:bCs/>
                <w:color w:val="000000"/>
                <w:sz w:val="52"/>
              </w:rPr>
            </w:pPr>
            <w:r>
              <w:rPr>
                <w:rFonts w:ascii="楷体_GB2312" w:eastAsia="楷体_GB2312"/>
                <w:bCs/>
                <w:color w:val="000000"/>
                <w:sz w:val="32"/>
              </w:rPr>
              <w:lastRenderedPageBreak/>
              <w:t xml:space="preserve">    </w:t>
            </w:r>
            <w:r>
              <w:rPr>
                <w:rFonts w:ascii="黑体" w:eastAsia="黑体" w:hint="eastAsia"/>
                <w:bCs/>
                <w:color w:val="000000"/>
                <w:sz w:val="28"/>
              </w:rPr>
              <w:t>表</w:t>
            </w:r>
            <w:r>
              <w:rPr>
                <w:rFonts w:ascii="黑体" w:eastAsia="黑体"/>
                <w:bCs/>
                <w:color w:val="000000"/>
                <w:sz w:val="28"/>
              </w:rPr>
              <w:t>C</w:t>
            </w:r>
            <w:r>
              <w:rPr>
                <w:rFonts w:ascii="楷体_GB2312" w:eastAsia="楷体_GB2312"/>
                <w:bCs/>
                <w:color w:val="000000"/>
                <w:sz w:val="28"/>
              </w:rPr>
              <w:t xml:space="preserve">1 </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，所得税前税后收益折现值取筹资成</w:t>
            </w:r>
            <w:r>
              <w:rPr>
                <w:rFonts w:ascii="楷体_GB2312" w:eastAsia="楷体_GB2312"/>
                <w:bCs/>
                <w:color w:val="000000"/>
                <w:sz w:val="28"/>
              </w:rPr>
              <w:t xml:space="preserve">     </w:t>
            </w:r>
            <w:r>
              <w:rPr>
                <w:rFonts w:ascii="楷体_GB2312" w:eastAsia="楷体_GB2312" w:hint="eastAsia"/>
                <w:bCs/>
                <w:color w:val="000000"/>
                <w:sz w:val="28"/>
              </w:rPr>
              <w:t>本年利率为折现率，本例是</w:t>
            </w:r>
            <w:r>
              <w:rPr>
                <w:rFonts w:ascii="楷体_GB2312" w:eastAsia="楷体_GB2312"/>
                <w:bCs/>
                <w:color w:val="000000"/>
                <w:sz w:val="28"/>
              </w:rPr>
              <w:t>7%</w:t>
            </w:r>
            <w:r>
              <w:rPr>
                <w:rFonts w:ascii="楷体_GB2312" w:eastAsia="楷体_GB2312" w:hint="eastAsia"/>
                <w:bCs/>
                <w:color w:val="000000"/>
                <w:sz w:val="28"/>
              </w:rPr>
              <w:t>。假设期初日是某年1月1日）</w:t>
            </w:r>
            <w:r>
              <w:rPr>
                <w:rFonts w:ascii="仿宋_GB2312" w:eastAsia="仿宋_GB2312"/>
                <w:bCs/>
                <w:color w:val="000000"/>
                <w:sz w:val="52"/>
              </w:rPr>
              <w:t xml:space="preserve">   </w:t>
            </w: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楷体_GB2312" w:eastAsia="楷体_GB2312"/>
                <w:bCs/>
                <w:color w:val="000000"/>
                <w:sz w:val="32"/>
              </w:rPr>
            </w:pPr>
            <w:r>
              <w:rPr>
                <w:rFonts w:ascii="楷体_GB2312" w:eastAsia="楷体_GB2312"/>
                <w:bCs/>
                <w:color w:val="000000"/>
                <w:sz w:val="32"/>
              </w:rPr>
              <w:t xml:space="preserve">   </w:t>
            </w:r>
          </w:p>
          <w:p w:rsidR="00C9049E" w:rsidRDefault="00C9049E" w:rsidP="00E92C7E">
            <w:pPr>
              <w:autoSpaceDE w:val="0"/>
              <w:autoSpaceDN w:val="0"/>
              <w:adjustRightInd w:val="0"/>
              <w:spacing w:line="360" w:lineRule="auto"/>
              <w:rPr>
                <w:rFonts w:ascii="宋体"/>
                <w:bCs/>
                <w:color w:val="000000"/>
                <w:sz w:val="28"/>
              </w:rPr>
            </w:pPr>
            <w:r>
              <w:rPr>
                <w:rFonts w:ascii="楷体_GB2312" w:eastAsia="楷体_GB2312"/>
                <w:bCs/>
                <w:color w:val="000000"/>
                <w:sz w:val="32"/>
              </w:rPr>
              <w:t xml:space="preserve"> </w:t>
            </w:r>
            <w:r>
              <w:rPr>
                <w:rFonts w:ascii="楷体_GB2312" w:eastAsia="楷体_GB2312" w:hint="eastAsia"/>
                <w:bCs/>
                <w:color w:val="000000"/>
                <w:sz w:val="28"/>
              </w:rPr>
              <w:t>本金：</w:t>
            </w:r>
            <w:r>
              <w:rPr>
                <w:rFonts w:ascii="楷体_GB2312" w:eastAsia="楷体_GB2312"/>
                <w:bCs/>
                <w:color w:val="000000"/>
                <w:sz w:val="28"/>
              </w:rPr>
              <w:t>800,000.00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个月，租金后付，各期等额，租赁年利率</w:t>
            </w:r>
            <w:r>
              <w:rPr>
                <w:rFonts w:ascii="楷体_GB2312" w:eastAsia="楷体_GB2312"/>
                <w:bCs/>
                <w:color w:val="000000"/>
                <w:sz w:val="28"/>
              </w:rPr>
              <w:t>9.63945276%</w:t>
            </w: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trHeight w:val="662"/>
        </w:trPr>
        <w:tc>
          <w:tcPr>
            <w:tcW w:w="735"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期次</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本期初本金余额</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折合占用</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一年资金</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rPr>
            </w:pPr>
            <w:r>
              <w:rPr>
                <w:rFonts w:ascii="黑体" w:eastAsia="黑体" w:hint="eastAsia"/>
                <w:bCs/>
                <w:color w:val="000000"/>
              </w:rPr>
              <w:t>租赁</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综合</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年利率</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本期</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租金</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其中含</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本金</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其中含</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还本</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付息</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营业税</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营业费用</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前收益</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所得税前</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收益折现值</w:t>
            </w:r>
          </w:p>
        </w:tc>
        <w:tc>
          <w:tcPr>
            <w:tcW w:w="85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w:t>
            </w:r>
          </w:p>
        </w:tc>
        <w:tc>
          <w:tcPr>
            <w:tcW w:w="93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后收益</w:t>
            </w:r>
          </w:p>
        </w:tc>
        <w:tc>
          <w:tcPr>
            <w:tcW w:w="1365" w:type="dxa"/>
            <w:gridSpan w:val="2"/>
            <w:tcBorders>
              <w:top w:val="single" w:sz="12" w:space="0" w:color="auto"/>
              <w:left w:val="single" w:sz="6" w:space="0" w:color="auto"/>
              <w:bottom w:val="single" w:sz="12" w:space="0" w:color="auto"/>
              <w:right w:val="single" w:sz="4"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所得税后</w:t>
            </w:r>
          </w:p>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收益折现值</w:t>
            </w:r>
          </w:p>
        </w:tc>
      </w:tr>
      <w:tr w:rsidR="00C9049E">
        <w:tblPrEx>
          <w:tblCellMar>
            <w:top w:w="0" w:type="dxa"/>
            <w:bottom w:w="0" w:type="dxa"/>
          </w:tblCellMar>
        </w:tblPrEx>
        <w:trPr>
          <w:trHeight w:val="103"/>
        </w:trPr>
        <w:tc>
          <w:tcPr>
            <w:tcW w:w="735"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800,000.00 </w:t>
            </w:r>
          </w:p>
        </w:tc>
        <w:tc>
          <w:tcPr>
            <w:tcW w:w="126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200,000.00 </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60,850.17 </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41,571.26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19,278.91 </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963.95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1,000.00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1,126.56 </w:t>
            </w:r>
          </w:p>
        </w:tc>
        <w:tc>
          <w:tcPr>
            <w:tcW w:w="126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1,107.18 </w:t>
            </w:r>
          </w:p>
        </w:tc>
        <w:tc>
          <w:tcPr>
            <w:tcW w:w="852"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371.76 </w:t>
            </w:r>
          </w:p>
        </w:tc>
        <w:tc>
          <w:tcPr>
            <w:tcW w:w="933"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754.79 </w:t>
            </w:r>
          </w:p>
        </w:tc>
        <w:tc>
          <w:tcPr>
            <w:tcW w:w="1365" w:type="dxa"/>
            <w:gridSpan w:val="2"/>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741.81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758,428.74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189,607.18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42,573.07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18,277.10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913.85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948.04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1,228.61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1,186.72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405.44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823.17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795.10 </w:t>
            </w:r>
          </w:p>
        </w:tc>
      </w:tr>
      <w:tr w:rsidR="00C9049E">
        <w:tblPrEx>
          <w:tblCellMar>
            <w:top w:w="0" w:type="dxa"/>
            <w:bottom w:w="0" w:type="dxa"/>
          </w:tblCellMar>
        </w:tblPrEx>
        <w:trPr>
          <w:trHeight w:val="20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715,855.67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178,963.92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43,599.02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17,251.14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862.56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894.82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1,333.13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1,265.52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439.93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893.20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847.90 </w:t>
            </w:r>
          </w:p>
        </w:tc>
      </w:tr>
      <w:tr w:rsidR="00C9049E">
        <w:tblPrEx>
          <w:tblCellMar>
            <w:top w:w="0" w:type="dxa"/>
            <w:bottom w:w="0" w:type="dxa"/>
          </w:tblCellMar>
        </w:tblPrEx>
        <w:trPr>
          <w:trHeight w:val="199"/>
        </w:trPr>
        <w:tc>
          <w:tcPr>
            <w:tcW w:w="735" w:type="dxa"/>
            <w:gridSpan w:val="2"/>
            <w:tcBorders>
              <w:top w:val="single" w:sz="6"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05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672,256.65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168,064.16 </w:t>
            </w:r>
          </w:p>
        </w:tc>
        <w:tc>
          <w:tcPr>
            <w:tcW w:w="84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44,649.70 </w:t>
            </w:r>
          </w:p>
        </w:tc>
        <w:tc>
          <w:tcPr>
            <w:tcW w:w="94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16,200.47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810.02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840.32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1,440.16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1,343.61 </w:t>
            </w:r>
          </w:p>
        </w:tc>
        <w:tc>
          <w:tcPr>
            <w:tcW w:w="852"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475.25 </w:t>
            </w:r>
          </w:p>
        </w:tc>
        <w:tc>
          <w:tcPr>
            <w:tcW w:w="93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964.91 </w:t>
            </w:r>
          </w:p>
        </w:tc>
        <w:tc>
          <w:tcPr>
            <w:tcW w:w="1365" w:type="dxa"/>
            <w:gridSpan w:val="2"/>
            <w:tcBorders>
              <w:top w:val="single" w:sz="6"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900.22 </w:t>
            </w:r>
          </w:p>
        </w:tc>
      </w:tr>
      <w:tr w:rsidR="00C9049E">
        <w:tblPrEx>
          <w:tblCellMar>
            <w:top w:w="0" w:type="dxa"/>
            <w:bottom w:w="0" w:type="dxa"/>
          </w:tblCellMar>
        </w:tblPrEx>
        <w:trPr>
          <w:trHeight w:val="210"/>
        </w:trPr>
        <w:tc>
          <w:tcPr>
            <w:tcW w:w="735" w:type="dxa"/>
            <w:gridSpan w:val="2"/>
            <w:tcBorders>
              <w:top w:val="single" w:sz="4"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hint="eastAsia"/>
                <w:bCs/>
                <w:color w:val="000000"/>
                <w:sz w:val="18"/>
              </w:rPr>
            </w:pPr>
            <w:r>
              <w:rPr>
                <w:rFonts w:eastAsia="黑体" w:hint="eastAsia"/>
                <w:bCs/>
                <w:color w:val="000000"/>
                <w:sz w:val="18"/>
              </w:rPr>
              <w:t>小计</w:t>
            </w:r>
          </w:p>
        </w:tc>
        <w:tc>
          <w:tcPr>
            <w:tcW w:w="105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sz w:val="18"/>
              </w:rPr>
            </w:pPr>
          </w:p>
        </w:tc>
        <w:tc>
          <w:tcPr>
            <w:tcW w:w="126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736,635.26</w:t>
            </w:r>
          </w:p>
        </w:tc>
        <w:tc>
          <w:tcPr>
            <w:tcW w:w="84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243,400.66</w:t>
            </w: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172,393.05</w:t>
            </w:r>
          </w:p>
        </w:tc>
        <w:tc>
          <w:tcPr>
            <w:tcW w:w="945"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71,009.61</w:t>
            </w: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231,038.64</w:t>
            </w:r>
          </w:p>
        </w:tc>
        <w:tc>
          <w:tcPr>
            <w:tcW w:w="84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3,550.38</w:t>
            </w:r>
          </w:p>
        </w:tc>
        <w:tc>
          <w:tcPr>
            <w:tcW w:w="945"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3,683.18</w:t>
            </w:r>
          </w:p>
        </w:tc>
        <w:tc>
          <w:tcPr>
            <w:tcW w:w="945"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5,128.46</w:t>
            </w:r>
          </w:p>
        </w:tc>
        <w:tc>
          <w:tcPr>
            <w:tcW w:w="126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4,903.03</w:t>
            </w:r>
          </w:p>
        </w:tc>
        <w:tc>
          <w:tcPr>
            <w:tcW w:w="852"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1,692.39</w:t>
            </w:r>
          </w:p>
        </w:tc>
        <w:tc>
          <w:tcPr>
            <w:tcW w:w="933"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3,436.07</w:t>
            </w:r>
          </w:p>
        </w:tc>
        <w:tc>
          <w:tcPr>
            <w:tcW w:w="1365" w:type="dxa"/>
            <w:gridSpan w:val="2"/>
            <w:tcBorders>
              <w:top w:val="single" w:sz="4"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3,285.03</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627,606.95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156,901.74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45,725.70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15,124.47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756.22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784.51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1,549.77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1,421.01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511.42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1,038.35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952.07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581,881.25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145,470.31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46,827.62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14,022.54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701.13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727.35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1,662.03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1,497.72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548.47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1,113.56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1,003.47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535,053.62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133,763.41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47,956.11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12,894.06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644.70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668.82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1,776.98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1,573.78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586.40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1,190.58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1,054.43 </w:t>
            </w:r>
          </w:p>
        </w:tc>
      </w:tr>
      <w:tr w:rsidR="00C9049E">
        <w:tblPrEx>
          <w:tblCellMar>
            <w:top w:w="0" w:type="dxa"/>
            <w:bottom w:w="0" w:type="dxa"/>
          </w:tblCellMar>
        </w:tblPrEx>
        <w:trPr>
          <w:trHeight w:val="240"/>
        </w:trPr>
        <w:tc>
          <w:tcPr>
            <w:tcW w:w="735" w:type="dxa"/>
            <w:gridSpan w:val="2"/>
            <w:tcBorders>
              <w:top w:val="single" w:sz="6"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05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487,097.52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121,774.38 </w:t>
            </w:r>
          </w:p>
        </w:tc>
        <w:tc>
          <w:tcPr>
            <w:tcW w:w="84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49,111.78 </w:t>
            </w:r>
          </w:p>
        </w:tc>
        <w:tc>
          <w:tcPr>
            <w:tcW w:w="94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11,738.38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586.92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608.87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1,894.71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1,649.18 </w:t>
            </w:r>
          </w:p>
        </w:tc>
        <w:tc>
          <w:tcPr>
            <w:tcW w:w="852"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625.26 </w:t>
            </w:r>
          </w:p>
        </w:tc>
        <w:tc>
          <w:tcPr>
            <w:tcW w:w="93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1,269.46 </w:t>
            </w:r>
          </w:p>
        </w:tc>
        <w:tc>
          <w:tcPr>
            <w:tcW w:w="1365" w:type="dxa"/>
            <w:gridSpan w:val="2"/>
            <w:tcBorders>
              <w:top w:val="single" w:sz="6"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1,104.95 </w:t>
            </w:r>
          </w:p>
        </w:tc>
      </w:tr>
      <w:tr w:rsidR="00C9049E">
        <w:tblPrEx>
          <w:tblCellMar>
            <w:top w:w="0" w:type="dxa"/>
            <w:bottom w:w="0" w:type="dxa"/>
          </w:tblCellMar>
        </w:tblPrEx>
        <w:trPr>
          <w:trHeight w:val="165"/>
        </w:trPr>
        <w:tc>
          <w:tcPr>
            <w:tcW w:w="735" w:type="dxa"/>
            <w:gridSpan w:val="2"/>
            <w:tcBorders>
              <w:top w:val="single" w:sz="4"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hint="eastAsia"/>
                <w:bCs/>
                <w:color w:val="000000"/>
                <w:sz w:val="18"/>
              </w:rPr>
            </w:pPr>
            <w:r>
              <w:rPr>
                <w:rFonts w:eastAsia="黑体" w:hint="eastAsia"/>
                <w:bCs/>
                <w:color w:val="000000"/>
                <w:sz w:val="18"/>
              </w:rPr>
              <w:t>小计</w:t>
            </w:r>
          </w:p>
        </w:tc>
        <w:tc>
          <w:tcPr>
            <w:tcW w:w="105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26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557,909.83</w:t>
            </w:r>
          </w:p>
        </w:tc>
        <w:tc>
          <w:tcPr>
            <w:tcW w:w="84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243,400.66</w:t>
            </w: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189,621.21</w:t>
            </w:r>
          </w:p>
        </w:tc>
        <w:tc>
          <w:tcPr>
            <w:tcW w:w="945"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53,779.45</w:t>
            </w: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231,038.64</w:t>
            </w:r>
          </w:p>
        </w:tc>
        <w:tc>
          <w:tcPr>
            <w:tcW w:w="84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2,688.97</w:t>
            </w:r>
          </w:p>
        </w:tc>
        <w:tc>
          <w:tcPr>
            <w:tcW w:w="945"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2,789.55</w:t>
            </w:r>
          </w:p>
        </w:tc>
        <w:tc>
          <w:tcPr>
            <w:tcW w:w="945"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6,883.50</w:t>
            </w:r>
          </w:p>
        </w:tc>
        <w:tc>
          <w:tcPr>
            <w:tcW w:w="126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6,141.68</w:t>
            </w:r>
          </w:p>
        </w:tc>
        <w:tc>
          <w:tcPr>
            <w:tcW w:w="852"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2,271.55</w:t>
            </w:r>
          </w:p>
        </w:tc>
        <w:tc>
          <w:tcPr>
            <w:tcW w:w="933"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4,611.94</w:t>
            </w:r>
          </w:p>
        </w:tc>
        <w:tc>
          <w:tcPr>
            <w:tcW w:w="1365" w:type="dxa"/>
            <w:gridSpan w:val="2"/>
            <w:tcBorders>
              <w:top w:val="single" w:sz="4"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4,114.93</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437,985.74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109,496.43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50,295.31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10,554.86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527.74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547.48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2,015.28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1,723.95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665.04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1,350.24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1,155.05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387,690.43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96,922.61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51,507.36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9,342.81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467.14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484.61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2,138.75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1,798.11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705.79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1,432.96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1,204.73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336,183.07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84,045.77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52,748.61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8,101.55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405.08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420.23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2,265.20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1,871.66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747.52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1,517.68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1,254.01 </w:t>
            </w:r>
          </w:p>
        </w:tc>
      </w:tr>
      <w:tr w:rsidR="00C9049E">
        <w:tblPrEx>
          <w:tblCellMar>
            <w:top w:w="0" w:type="dxa"/>
            <w:bottom w:w="0" w:type="dxa"/>
          </w:tblCellMar>
        </w:tblPrEx>
        <w:trPr>
          <w:trHeight w:val="225"/>
        </w:trPr>
        <w:tc>
          <w:tcPr>
            <w:tcW w:w="735" w:type="dxa"/>
            <w:gridSpan w:val="2"/>
            <w:tcBorders>
              <w:top w:val="single" w:sz="6"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05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283,434.46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70,858.61 </w:t>
            </w:r>
          </w:p>
        </w:tc>
        <w:tc>
          <w:tcPr>
            <w:tcW w:w="84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54,019.78 </w:t>
            </w:r>
          </w:p>
        </w:tc>
        <w:tc>
          <w:tcPr>
            <w:tcW w:w="94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6,830.38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341.52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354.29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2,394.69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1,944.63 </w:t>
            </w:r>
          </w:p>
        </w:tc>
        <w:tc>
          <w:tcPr>
            <w:tcW w:w="852"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790.25 </w:t>
            </w:r>
          </w:p>
        </w:tc>
        <w:tc>
          <w:tcPr>
            <w:tcW w:w="93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1,604.44 </w:t>
            </w:r>
          </w:p>
        </w:tc>
        <w:tc>
          <w:tcPr>
            <w:tcW w:w="1365" w:type="dxa"/>
            <w:gridSpan w:val="2"/>
            <w:tcBorders>
              <w:top w:val="single" w:sz="6"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1,302.90 </w:t>
            </w:r>
          </w:p>
        </w:tc>
      </w:tr>
      <w:tr w:rsidR="00C9049E">
        <w:tblPrEx>
          <w:tblCellMar>
            <w:top w:w="0" w:type="dxa"/>
            <w:bottom w:w="0" w:type="dxa"/>
          </w:tblCellMar>
        </w:tblPrEx>
        <w:trPr>
          <w:trHeight w:val="135"/>
        </w:trPr>
        <w:tc>
          <w:tcPr>
            <w:tcW w:w="735" w:type="dxa"/>
            <w:gridSpan w:val="2"/>
            <w:tcBorders>
              <w:top w:val="single" w:sz="4"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hint="eastAsia"/>
                <w:bCs/>
                <w:color w:val="000000"/>
                <w:sz w:val="18"/>
              </w:rPr>
            </w:pPr>
            <w:r>
              <w:rPr>
                <w:rFonts w:eastAsia="黑体" w:hint="eastAsia"/>
                <w:bCs/>
                <w:color w:val="000000"/>
                <w:sz w:val="18"/>
              </w:rPr>
              <w:t>小计</w:t>
            </w:r>
          </w:p>
        </w:tc>
        <w:tc>
          <w:tcPr>
            <w:tcW w:w="105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26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361,323.42</w:t>
            </w:r>
          </w:p>
        </w:tc>
        <w:tc>
          <w:tcPr>
            <w:tcW w:w="84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243,400.66</w:t>
            </w: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208,571.06</w:t>
            </w:r>
          </w:p>
        </w:tc>
        <w:tc>
          <w:tcPr>
            <w:tcW w:w="945"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34,829.60</w:t>
            </w:r>
          </w:p>
        </w:tc>
        <w:tc>
          <w:tcPr>
            <w:tcW w:w="105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231,038.64</w:t>
            </w:r>
          </w:p>
        </w:tc>
        <w:tc>
          <w:tcPr>
            <w:tcW w:w="840"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1,741.48</w:t>
            </w:r>
          </w:p>
        </w:tc>
        <w:tc>
          <w:tcPr>
            <w:tcW w:w="945"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1,806.62</w:t>
            </w:r>
          </w:p>
        </w:tc>
        <w:tc>
          <w:tcPr>
            <w:tcW w:w="945"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8,813.92</w:t>
            </w:r>
          </w:p>
        </w:tc>
        <w:tc>
          <w:tcPr>
            <w:tcW w:w="1260"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7,338.35</w:t>
            </w:r>
          </w:p>
        </w:tc>
        <w:tc>
          <w:tcPr>
            <w:tcW w:w="852" w:type="dxa"/>
            <w:gridSpan w:val="2"/>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2,908.59</w:t>
            </w:r>
          </w:p>
        </w:tc>
        <w:tc>
          <w:tcPr>
            <w:tcW w:w="933" w:type="dxa"/>
            <w:tcBorders>
              <w:top w:val="single" w:sz="4"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5,905.33</w:t>
            </w:r>
          </w:p>
        </w:tc>
        <w:tc>
          <w:tcPr>
            <w:tcW w:w="1365" w:type="dxa"/>
            <w:gridSpan w:val="2"/>
            <w:tcBorders>
              <w:top w:val="single" w:sz="4"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4,916.70</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229,414.68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57,353.67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55,321.59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5,528.58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276.43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286.77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2,527.31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2,017.02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834.01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1,693.30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1,351.40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174,093.09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43,523.27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56,654.76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4,195.41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209.77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217.62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2,663.12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2,088.86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878.83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1,784.29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1,399.53 </w:t>
            </w:r>
          </w:p>
        </w:tc>
      </w:tr>
      <w:tr w:rsidR="00C9049E">
        <w:tblPrEx>
          <w:tblCellMar>
            <w:top w:w="0" w:type="dxa"/>
            <w:bottom w:w="0" w:type="dxa"/>
          </w:tblCellMar>
        </w:tblPrEx>
        <w:trPr>
          <w:trHeight w:val="192"/>
        </w:trPr>
        <w:tc>
          <w:tcPr>
            <w:tcW w:w="735"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117,438.33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29,359.58 </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58,020.06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2,830.10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141.51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146.80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2,802.20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2,160.15 </w:t>
            </w:r>
          </w:p>
        </w:tc>
        <w:tc>
          <w:tcPr>
            <w:tcW w:w="85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924.73 </w:t>
            </w:r>
          </w:p>
        </w:tc>
        <w:tc>
          <w:tcPr>
            <w:tcW w:w="933"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1,877.47 </w:t>
            </w:r>
          </w:p>
        </w:tc>
        <w:tc>
          <w:tcPr>
            <w:tcW w:w="1365" w:type="dxa"/>
            <w:gridSpan w:val="2"/>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1,447.30 </w:t>
            </w:r>
          </w:p>
        </w:tc>
      </w:tr>
      <w:tr w:rsidR="00C9049E">
        <w:tblPrEx>
          <w:tblCellMar>
            <w:top w:w="0" w:type="dxa"/>
            <w:bottom w:w="0" w:type="dxa"/>
          </w:tblCellMar>
        </w:tblPrEx>
        <w:trPr>
          <w:trHeight w:val="115"/>
        </w:trPr>
        <w:tc>
          <w:tcPr>
            <w:tcW w:w="735" w:type="dxa"/>
            <w:gridSpan w:val="2"/>
            <w:tcBorders>
              <w:top w:val="single" w:sz="6" w:space="0" w:color="auto"/>
              <w:left w:val="single" w:sz="12"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05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59,418.27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14,854.57 </w:t>
            </w:r>
          </w:p>
        </w:tc>
        <w:tc>
          <w:tcPr>
            <w:tcW w:w="84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9.6395%</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60,850.17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59,418.27 </w:t>
            </w:r>
          </w:p>
        </w:tc>
        <w:tc>
          <w:tcPr>
            <w:tcW w:w="945"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1,431.90 </w:t>
            </w:r>
          </w:p>
        </w:tc>
        <w:tc>
          <w:tcPr>
            <w:tcW w:w="105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57,759.66 </w:t>
            </w:r>
          </w:p>
        </w:tc>
        <w:tc>
          <w:tcPr>
            <w:tcW w:w="840"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71.59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74.27 </w:t>
            </w:r>
          </w:p>
        </w:tc>
        <w:tc>
          <w:tcPr>
            <w:tcW w:w="945"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2,944.64 </w:t>
            </w:r>
          </w:p>
        </w:tc>
        <w:tc>
          <w:tcPr>
            <w:tcW w:w="1260"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2,230.90 </w:t>
            </w:r>
          </w:p>
        </w:tc>
        <w:tc>
          <w:tcPr>
            <w:tcW w:w="852" w:type="dxa"/>
            <w:gridSpan w:val="2"/>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971.73 </w:t>
            </w:r>
          </w:p>
        </w:tc>
        <w:tc>
          <w:tcPr>
            <w:tcW w:w="933" w:type="dxa"/>
            <w:tcBorders>
              <w:top w:val="single" w:sz="6" w:space="0" w:color="auto"/>
              <w:left w:val="single" w:sz="6" w:space="0" w:color="auto"/>
              <w:bottom w:val="single" w:sz="4"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1,972.91 </w:t>
            </w:r>
          </w:p>
        </w:tc>
        <w:tc>
          <w:tcPr>
            <w:tcW w:w="1365" w:type="dxa"/>
            <w:gridSpan w:val="2"/>
            <w:tcBorders>
              <w:top w:val="single" w:sz="6" w:space="0" w:color="auto"/>
              <w:left w:val="single" w:sz="6" w:space="0" w:color="auto"/>
              <w:bottom w:val="single" w:sz="4"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1,494.71 </w:t>
            </w:r>
          </w:p>
        </w:tc>
      </w:tr>
      <w:tr w:rsidR="00C9049E">
        <w:tblPrEx>
          <w:tblCellMar>
            <w:top w:w="0" w:type="dxa"/>
            <w:bottom w:w="0" w:type="dxa"/>
          </w:tblCellMar>
        </w:tblPrEx>
        <w:trPr>
          <w:trHeight w:val="150"/>
        </w:trPr>
        <w:tc>
          <w:tcPr>
            <w:tcW w:w="735" w:type="dxa"/>
            <w:gridSpan w:val="2"/>
            <w:tcBorders>
              <w:top w:val="single" w:sz="4"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hint="eastAsia"/>
                <w:bCs/>
                <w:color w:val="000000"/>
                <w:sz w:val="18"/>
              </w:rPr>
            </w:pPr>
            <w:r>
              <w:rPr>
                <w:rFonts w:eastAsia="黑体" w:hint="eastAsia"/>
                <w:bCs/>
                <w:color w:val="000000"/>
                <w:sz w:val="18"/>
              </w:rPr>
              <w:t>小计</w:t>
            </w:r>
          </w:p>
        </w:tc>
        <w:tc>
          <w:tcPr>
            <w:tcW w:w="1050" w:type="dxa"/>
            <w:gridSpan w:val="2"/>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260" w:type="dxa"/>
            <w:gridSpan w:val="2"/>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145,091.09</w:t>
            </w:r>
          </w:p>
        </w:tc>
        <w:tc>
          <w:tcPr>
            <w:tcW w:w="840" w:type="dxa"/>
            <w:gridSpan w:val="2"/>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rPr>
            </w:pPr>
          </w:p>
        </w:tc>
        <w:tc>
          <w:tcPr>
            <w:tcW w:w="1050"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243,400.66</w:t>
            </w:r>
          </w:p>
        </w:tc>
        <w:tc>
          <w:tcPr>
            <w:tcW w:w="1050"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229,414.68</w:t>
            </w:r>
          </w:p>
        </w:tc>
        <w:tc>
          <w:tcPr>
            <w:tcW w:w="945"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13,985.99</w:t>
            </w:r>
          </w:p>
        </w:tc>
        <w:tc>
          <w:tcPr>
            <w:tcW w:w="1050"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231,038.64</w:t>
            </w:r>
          </w:p>
        </w:tc>
        <w:tc>
          <w:tcPr>
            <w:tcW w:w="840"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699.30</w:t>
            </w:r>
          </w:p>
        </w:tc>
        <w:tc>
          <w:tcPr>
            <w:tcW w:w="945" w:type="dxa"/>
            <w:gridSpan w:val="2"/>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725.46</w:t>
            </w:r>
          </w:p>
        </w:tc>
        <w:tc>
          <w:tcPr>
            <w:tcW w:w="945" w:type="dxa"/>
            <w:gridSpan w:val="2"/>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10,937.26</w:t>
            </w:r>
          </w:p>
        </w:tc>
        <w:tc>
          <w:tcPr>
            <w:tcW w:w="1260" w:type="dxa"/>
            <w:gridSpan w:val="2"/>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8,496.93</w:t>
            </w:r>
          </w:p>
        </w:tc>
        <w:tc>
          <w:tcPr>
            <w:tcW w:w="852" w:type="dxa"/>
            <w:gridSpan w:val="2"/>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3,609.30</w:t>
            </w:r>
          </w:p>
        </w:tc>
        <w:tc>
          <w:tcPr>
            <w:tcW w:w="933" w:type="dxa"/>
            <w:tcBorders>
              <w:top w:val="single" w:sz="4"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7,327.97</w:t>
            </w:r>
          </w:p>
        </w:tc>
        <w:tc>
          <w:tcPr>
            <w:tcW w:w="1365" w:type="dxa"/>
            <w:gridSpan w:val="2"/>
            <w:tcBorders>
              <w:top w:val="single" w:sz="4"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hint="eastAsia"/>
                <w:bCs/>
                <w:i/>
                <w:color w:val="000000"/>
              </w:rPr>
            </w:pPr>
            <w:r>
              <w:rPr>
                <w:rFonts w:eastAsia="黑体" w:hint="eastAsia"/>
                <w:bCs/>
                <w:i/>
                <w:color w:val="000000"/>
              </w:rPr>
              <w:t>5,692.94</w:t>
            </w:r>
          </w:p>
        </w:tc>
      </w:tr>
      <w:tr w:rsidR="00C9049E">
        <w:tblPrEx>
          <w:tblCellMar>
            <w:top w:w="0" w:type="dxa"/>
            <w:bottom w:w="0" w:type="dxa"/>
          </w:tblCellMar>
        </w:tblPrEx>
        <w:trPr>
          <w:cantSplit/>
          <w:trHeight w:val="250"/>
        </w:trPr>
        <w:tc>
          <w:tcPr>
            <w:tcW w:w="1785" w:type="dxa"/>
            <w:gridSpan w:val="4"/>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r>
              <w:rPr>
                <w:bCs/>
                <w:i/>
                <w:color w:val="000000"/>
              </w:rPr>
              <w:t xml:space="preserve">1,800,959.61 </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973,602.65 </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800,000.00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73,602.65 </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924,154.58 </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8,680.13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9,004.80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31,763.14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26,879.99 </w:t>
            </w:r>
          </w:p>
        </w:tc>
        <w:tc>
          <w:tcPr>
            <w:tcW w:w="85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10,481.84 </w:t>
            </w:r>
          </w:p>
        </w:tc>
        <w:tc>
          <w:tcPr>
            <w:tcW w:w="93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21,281.31 </w:t>
            </w:r>
          </w:p>
        </w:tc>
        <w:tc>
          <w:tcPr>
            <w:tcW w:w="1365"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18,009.60 </w:t>
            </w:r>
          </w:p>
        </w:tc>
      </w:tr>
      <w:tr w:rsidR="00C9049E">
        <w:tblPrEx>
          <w:tblCellMar>
            <w:top w:w="0" w:type="dxa"/>
            <w:bottom w:w="0" w:type="dxa"/>
          </w:tblCellMar>
        </w:tblPrEx>
        <w:trPr>
          <w:trHeight w:val="415"/>
        </w:trPr>
        <w:tc>
          <w:tcPr>
            <w:tcW w:w="1785" w:type="dxa"/>
            <w:gridSpan w:val="4"/>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收益净现值</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26,879.99 </w:t>
            </w:r>
          </w:p>
        </w:tc>
        <w:tc>
          <w:tcPr>
            <w:tcW w:w="85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18,009.60 </w:t>
            </w:r>
          </w:p>
        </w:tc>
      </w:tr>
      <w:tr w:rsidR="00C9049E">
        <w:tblPrEx>
          <w:tblCellMar>
            <w:top w:w="0" w:type="dxa"/>
            <w:bottom w:w="0" w:type="dxa"/>
          </w:tblCellMar>
        </w:tblPrEx>
        <w:trPr>
          <w:trHeight w:val="421"/>
        </w:trPr>
        <w:tc>
          <w:tcPr>
            <w:tcW w:w="1785" w:type="dxa"/>
            <w:gridSpan w:val="4"/>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资金年净收益率</w:t>
            </w:r>
          </w:p>
        </w:tc>
        <w:tc>
          <w:tcPr>
            <w:tcW w:w="1260" w:type="dxa"/>
            <w:gridSpan w:val="2"/>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gridSpan w:val="2"/>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1.49253732%</w:t>
            </w:r>
          </w:p>
        </w:tc>
        <w:tc>
          <w:tcPr>
            <w:tcW w:w="85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933"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365" w:type="dxa"/>
            <w:gridSpan w:val="2"/>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1.00000000%</w:t>
            </w:r>
          </w:p>
        </w:tc>
      </w:tr>
      <w:tr w:rsidR="00C9049E">
        <w:tblPrEx>
          <w:tblCellMar>
            <w:top w:w="0" w:type="dxa"/>
            <w:bottom w:w="0" w:type="dxa"/>
          </w:tblCellMar>
        </w:tblPrEx>
        <w:trPr>
          <w:gridBefore w:val="1"/>
          <w:wBefore w:w="390" w:type="dxa"/>
          <w:cantSplit/>
          <w:trHeight w:val="2305"/>
        </w:trPr>
        <w:tc>
          <w:tcPr>
            <w:tcW w:w="14730" w:type="dxa"/>
            <w:gridSpan w:val="23"/>
            <w:tcBorders>
              <w:bottom w:val="single" w:sz="12" w:space="0" w:color="auto"/>
            </w:tcBorders>
          </w:tcPr>
          <w:p w:rsidR="00C9049E" w:rsidRDefault="00C9049E" w:rsidP="00E92C7E">
            <w:pPr>
              <w:autoSpaceDE w:val="0"/>
              <w:autoSpaceDN w:val="0"/>
              <w:adjustRightInd w:val="0"/>
              <w:spacing w:line="360" w:lineRule="auto"/>
              <w:ind w:firstLine="480"/>
              <w:rPr>
                <w:rFonts w:ascii="楷体_GB2312" w:eastAsia="楷体_GB2312"/>
                <w:bCs/>
                <w:color w:val="000000"/>
                <w:sz w:val="28"/>
              </w:rPr>
            </w:pPr>
            <w:r>
              <w:rPr>
                <w:rFonts w:ascii="黑体" w:eastAsia="黑体" w:hint="eastAsia"/>
                <w:bCs/>
                <w:color w:val="000000"/>
                <w:sz w:val="28"/>
              </w:rPr>
              <w:t>表</w:t>
            </w:r>
            <w:r>
              <w:rPr>
                <w:rFonts w:ascii="楷体_GB2312" w:eastAsia="楷体_GB2312"/>
                <w:bCs/>
                <w:color w:val="000000"/>
                <w:sz w:val="28"/>
              </w:rPr>
              <w:t>C1</w:t>
            </w:r>
            <w:r>
              <w:rPr>
                <w:rFonts w:ascii="楷体_GB2312" w:eastAsia="楷体_GB2312" w:hint="eastAsia"/>
                <w:bCs/>
                <w:color w:val="000000"/>
                <w:sz w:val="28"/>
              </w:rPr>
              <w:t>（营业税是租金中所含收益的</w:t>
            </w:r>
            <w:r>
              <w:rPr>
                <w:rFonts w:ascii="楷体_GB2312" w:eastAsia="楷体_GB2312"/>
                <w:bCs/>
                <w:color w:val="000000"/>
                <w:sz w:val="28"/>
              </w:rPr>
              <w:t>5%</w:t>
            </w:r>
            <w:r>
              <w:rPr>
                <w:rFonts w:ascii="楷体_GB2312" w:eastAsia="楷体_GB2312" w:hint="eastAsia"/>
                <w:bCs/>
                <w:color w:val="000000"/>
                <w:sz w:val="28"/>
              </w:rPr>
              <w:t>，营业费用率取折合占用一年资金的</w:t>
            </w:r>
            <w:r>
              <w:rPr>
                <w:rFonts w:ascii="楷体_GB2312" w:eastAsia="楷体_GB2312"/>
                <w:bCs/>
                <w:color w:val="000000"/>
                <w:sz w:val="28"/>
              </w:rPr>
              <w:t>0.5%</w:t>
            </w:r>
            <w:r>
              <w:rPr>
                <w:rFonts w:ascii="楷体_GB2312" w:eastAsia="楷体_GB2312" w:hint="eastAsia"/>
                <w:bCs/>
                <w:color w:val="000000"/>
                <w:sz w:val="28"/>
              </w:rPr>
              <w:t>，所得税前税后收益折现值取筹资</w:t>
            </w:r>
          </w:p>
          <w:p w:rsidR="00C9049E" w:rsidRDefault="00C9049E" w:rsidP="00E92C7E">
            <w:pPr>
              <w:autoSpaceDE w:val="0"/>
              <w:autoSpaceDN w:val="0"/>
              <w:adjustRightInd w:val="0"/>
              <w:spacing w:line="360" w:lineRule="auto"/>
              <w:ind w:firstLine="480"/>
              <w:rPr>
                <w:rFonts w:ascii="楷体_GB2312" w:eastAsia="楷体_GB2312"/>
                <w:bCs/>
                <w:color w:val="000000"/>
                <w:sz w:val="28"/>
              </w:rPr>
            </w:pPr>
            <w:r>
              <w:rPr>
                <w:rFonts w:ascii="楷体_GB2312" w:eastAsia="楷体_GB2312" w:hint="eastAsia"/>
                <w:bCs/>
                <w:color w:val="000000"/>
                <w:sz w:val="28"/>
              </w:rPr>
              <w:t>成本年利率为折现率，本例是</w:t>
            </w:r>
            <w:r>
              <w:rPr>
                <w:rFonts w:ascii="楷体_GB2312" w:eastAsia="楷体_GB2312"/>
                <w:bCs/>
                <w:color w:val="000000"/>
                <w:sz w:val="28"/>
              </w:rPr>
              <w:t>7%</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480"/>
              <w:rPr>
                <w:rFonts w:ascii="楷体_GB2312" w:eastAsia="楷体_GB2312"/>
                <w:bCs/>
                <w:color w:val="000000"/>
                <w:sz w:val="18"/>
              </w:rPr>
            </w:pPr>
          </w:p>
          <w:p w:rsidR="00C9049E" w:rsidRDefault="00C9049E" w:rsidP="00E92C7E">
            <w:pPr>
              <w:autoSpaceDE w:val="0"/>
              <w:autoSpaceDN w:val="0"/>
              <w:adjustRightInd w:val="0"/>
              <w:spacing w:line="360" w:lineRule="auto"/>
              <w:jc w:val="center"/>
              <w:rPr>
                <w:rFonts w:ascii="黑体" w:eastAsia="黑体"/>
                <w:bCs/>
                <w:color w:val="000000"/>
                <w:sz w:val="44"/>
              </w:rPr>
            </w:pPr>
            <w:r>
              <w:rPr>
                <w:rFonts w:ascii="仿宋_GB2312" w:eastAsia="仿宋_GB2312"/>
                <w:bCs/>
                <w:color w:val="000000"/>
                <w:sz w:val="18"/>
              </w:rPr>
              <w:t xml:space="preserve">  </w:t>
            </w:r>
            <w:r>
              <w:rPr>
                <w:rFonts w:ascii="仿宋_GB2312" w:eastAsia="仿宋_GB2312"/>
                <w:bCs/>
                <w:color w:val="000000"/>
                <w:sz w:val="44"/>
              </w:rPr>
              <w:t xml:space="preserve"> </w:t>
            </w:r>
            <w:r>
              <w:rPr>
                <w:rFonts w:ascii="黑体" w:eastAsia="黑体" w:hint="eastAsia"/>
                <w:bCs/>
                <w:color w:val="000000"/>
                <w:sz w:val="44"/>
              </w:rPr>
              <w:t>融资租赁合同的资金占用、租金构成、筹资成本、费用、税负、</w:t>
            </w:r>
          </w:p>
          <w:p w:rsidR="00C9049E" w:rsidRDefault="00C9049E" w:rsidP="00E92C7E">
            <w:pPr>
              <w:autoSpaceDE w:val="0"/>
              <w:autoSpaceDN w:val="0"/>
              <w:adjustRightInd w:val="0"/>
              <w:spacing w:line="360" w:lineRule="auto"/>
              <w:jc w:val="center"/>
              <w:rPr>
                <w:rFonts w:ascii="黑体" w:eastAsia="黑体" w:hint="eastAsia"/>
                <w:bCs/>
                <w:color w:val="000000"/>
                <w:sz w:val="44"/>
              </w:rPr>
            </w:pPr>
            <w:r>
              <w:rPr>
                <w:rFonts w:ascii="黑体" w:eastAsia="黑体" w:hint="eastAsia"/>
                <w:bCs/>
                <w:color w:val="000000"/>
                <w:sz w:val="44"/>
              </w:rPr>
              <w:t>税前税后收益净现值及资金年净收益率</w:t>
            </w:r>
          </w:p>
          <w:p w:rsidR="00C9049E" w:rsidRDefault="00C9049E" w:rsidP="00E92C7E">
            <w:pPr>
              <w:autoSpaceDE w:val="0"/>
              <w:autoSpaceDN w:val="0"/>
              <w:adjustRightInd w:val="0"/>
              <w:spacing w:line="360" w:lineRule="auto"/>
              <w:jc w:val="center"/>
              <w:rPr>
                <w:rFonts w:ascii="仿宋_GB2312" w:eastAsia="仿宋_GB2312"/>
                <w:bCs/>
                <w:color w:val="000000"/>
                <w:sz w:val="18"/>
              </w:rPr>
            </w:pPr>
          </w:p>
          <w:p w:rsidR="00C9049E" w:rsidRDefault="00C9049E" w:rsidP="00E92C7E">
            <w:pPr>
              <w:autoSpaceDE w:val="0"/>
              <w:autoSpaceDN w:val="0"/>
              <w:adjustRightInd w:val="0"/>
              <w:spacing w:line="360" w:lineRule="auto"/>
              <w:ind w:firstLine="465"/>
              <w:rPr>
                <w:rFonts w:ascii="楷体_GB2312" w:eastAsia="楷体_GB2312"/>
                <w:bCs/>
                <w:color w:val="000000"/>
                <w:sz w:val="28"/>
              </w:rPr>
            </w:pPr>
            <w:r>
              <w:rPr>
                <w:rFonts w:ascii="楷体_GB2312" w:eastAsia="楷体_GB2312" w:hint="eastAsia"/>
                <w:bCs/>
                <w:color w:val="000000"/>
                <w:sz w:val="28"/>
              </w:rPr>
              <w:t>本金：</w:t>
            </w:r>
            <w:r>
              <w:rPr>
                <w:rFonts w:ascii="楷体_GB2312" w:eastAsia="楷体_GB2312"/>
                <w:bCs/>
                <w:color w:val="000000"/>
                <w:sz w:val="28"/>
              </w:rPr>
              <w:t>2,224,526.11444</w:t>
            </w:r>
            <w:r>
              <w:rPr>
                <w:rFonts w:ascii="楷体_GB2312" w:eastAsia="楷体_GB2312" w:hint="eastAsia"/>
                <w:bCs/>
                <w:color w:val="000000"/>
                <w:sz w:val="28"/>
              </w:rPr>
              <w:t>，货币单位：千元，租赁期限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个月，租金后付，租赁年利率</w:t>
            </w:r>
            <w:r>
              <w:rPr>
                <w:rFonts w:ascii="楷体_GB2312" w:eastAsia="楷体_GB2312"/>
                <w:bCs/>
                <w:color w:val="000000"/>
                <w:sz w:val="28"/>
              </w:rPr>
              <w:t>9.3654365%</w:t>
            </w:r>
            <w:r>
              <w:rPr>
                <w:rFonts w:ascii="楷体_GB2312" w:eastAsia="楷体_GB2312" w:hint="eastAsia"/>
                <w:bCs/>
                <w:color w:val="000000"/>
                <w:sz w:val="28"/>
              </w:rPr>
              <w:t>，</w:t>
            </w:r>
          </w:p>
          <w:p w:rsidR="00C9049E" w:rsidRDefault="00C9049E" w:rsidP="00E92C7E">
            <w:pPr>
              <w:autoSpaceDE w:val="0"/>
              <w:autoSpaceDN w:val="0"/>
              <w:adjustRightInd w:val="0"/>
              <w:spacing w:line="360" w:lineRule="auto"/>
              <w:ind w:firstLine="465"/>
              <w:rPr>
                <w:rFonts w:ascii="宋体"/>
                <w:bCs/>
                <w:color w:val="000000"/>
                <w:sz w:val="18"/>
              </w:rPr>
            </w:pPr>
            <w:r>
              <w:rPr>
                <w:rFonts w:ascii="楷体_GB2312" w:eastAsia="楷体_GB2312" w:hint="eastAsia"/>
                <w:bCs/>
                <w:color w:val="000000"/>
                <w:sz w:val="28"/>
              </w:rPr>
              <w:t>残值：</w:t>
            </w:r>
            <w:r>
              <w:rPr>
                <w:rFonts w:ascii="楷体_GB2312" w:eastAsia="楷体_GB2312"/>
                <w:bCs/>
                <w:color w:val="000000"/>
                <w:sz w:val="28"/>
              </w:rPr>
              <w:t>0</w:t>
            </w:r>
          </w:p>
        </w:tc>
      </w:tr>
      <w:tr w:rsidR="00C9049E">
        <w:tblPrEx>
          <w:tblCellMar>
            <w:top w:w="0" w:type="dxa"/>
            <w:bottom w:w="0" w:type="dxa"/>
          </w:tblCellMar>
        </w:tblPrEx>
        <w:trPr>
          <w:gridBefore w:val="1"/>
          <w:wBefore w:w="390" w:type="dxa"/>
          <w:trHeight w:val="293"/>
        </w:trPr>
        <w:tc>
          <w:tcPr>
            <w:tcW w:w="648" w:type="dxa"/>
            <w:gridSpan w:val="2"/>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期次</w:t>
            </w:r>
          </w:p>
        </w:tc>
        <w:tc>
          <w:tcPr>
            <w:tcW w:w="1062"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本期初</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本金余额</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折合占用</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一年资金</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年利率</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本期</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租金</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本金</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其中含</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还本</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付息</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营业税</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营业</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费用</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前收益</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所得税前</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所得税</w:t>
            </w:r>
          </w:p>
        </w:tc>
        <w:tc>
          <w:tcPr>
            <w:tcW w:w="1050"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后收益</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hint="eastAsia"/>
                <w:bCs/>
                <w:color w:val="000000"/>
                <w:sz w:val="18"/>
              </w:rPr>
            </w:pPr>
            <w:r>
              <w:rPr>
                <w:rFonts w:ascii="黑体" w:eastAsia="黑体" w:hint="eastAsia"/>
                <w:bCs/>
                <w:color w:val="000000"/>
                <w:sz w:val="18"/>
              </w:rPr>
              <w:t>所得税后</w:t>
            </w:r>
          </w:p>
          <w:p w:rsidR="00C9049E" w:rsidRDefault="00C9049E" w:rsidP="00E92C7E">
            <w:pPr>
              <w:autoSpaceDE w:val="0"/>
              <w:autoSpaceDN w:val="0"/>
              <w:adjustRightInd w:val="0"/>
              <w:spacing w:line="360" w:lineRule="auto"/>
              <w:jc w:val="center"/>
              <w:rPr>
                <w:rFonts w:ascii="黑体" w:eastAsia="黑体"/>
                <w:bCs/>
                <w:color w:val="000000"/>
                <w:sz w:val="18"/>
              </w:rPr>
            </w:pPr>
            <w:r>
              <w:rPr>
                <w:rFonts w:ascii="黑体" w:eastAsia="黑体" w:hint="eastAsia"/>
                <w:bCs/>
                <w:color w:val="000000"/>
                <w:sz w:val="18"/>
              </w:rPr>
              <w:t>收益折现值</w:t>
            </w:r>
          </w:p>
        </w:tc>
      </w:tr>
      <w:tr w:rsidR="00C9049E">
        <w:tblPrEx>
          <w:tblCellMar>
            <w:top w:w="0" w:type="dxa"/>
            <w:bottom w:w="0" w:type="dxa"/>
          </w:tblCellMar>
        </w:tblPrEx>
        <w:trPr>
          <w:gridBefore w:val="1"/>
          <w:wBefore w:w="390" w:type="dxa"/>
          <w:trHeight w:val="192"/>
        </w:trPr>
        <w:tc>
          <w:tcPr>
            <w:tcW w:w="648" w:type="dxa"/>
            <w:gridSpan w:val="2"/>
            <w:tcBorders>
              <w:top w:val="single" w:sz="12"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lastRenderedPageBreak/>
              <w:t>1</w:t>
            </w:r>
          </w:p>
        </w:tc>
        <w:tc>
          <w:tcPr>
            <w:tcW w:w="1062"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2,224,526.11 </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556,131.53 </w:t>
            </w:r>
          </w:p>
        </w:tc>
        <w:tc>
          <w:tcPr>
            <w:tcW w:w="73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116,215.73 </w:t>
            </w:r>
          </w:p>
        </w:tc>
        <w:tc>
          <w:tcPr>
            <w:tcW w:w="945"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52,084.15 </w:t>
            </w:r>
          </w:p>
        </w:tc>
        <w:tc>
          <w:tcPr>
            <w:tcW w:w="105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2,604.21 </w:t>
            </w:r>
          </w:p>
        </w:tc>
        <w:tc>
          <w:tcPr>
            <w:tcW w:w="840" w:type="dxa"/>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2,780.66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2,305.16 </w:t>
            </w:r>
          </w:p>
        </w:tc>
        <w:tc>
          <w:tcPr>
            <w:tcW w:w="1260"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2,265.52 </w:t>
            </w:r>
          </w:p>
        </w:tc>
        <w:tc>
          <w:tcPr>
            <w:tcW w:w="945" w:type="dxa"/>
            <w:gridSpan w:val="2"/>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760.70 </w:t>
            </w:r>
          </w:p>
        </w:tc>
        <w:tc>
          <w:tcPr>
            <w:tcW w:w="1050" w:type="dxa"/>
            <w:gridSpan w:val="3"/>
            <w:tcBorders>
              <w:top w:val="single" w:sz="12"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1,544.46 </w:t>
            </w:r>
          </w:p>
        </w:tc>
        <w:tc>
          <w:tcPr>
            <w:tcW w:w="1260" w:type="dxa"/>
            <w:tcBorders>
              <w:top w:val="single" w:sz="12"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1,517.90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2</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2,108,310.38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527,077.60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118,936.75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49,363.12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2,468.16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2,635.39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2,586.48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2,498.28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853.54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1,732.94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1,673.85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3</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1,989,373.63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497,343.41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121,721.49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46,578.38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2,328.92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2,486.72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2,874.39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2,728.62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948.55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1,925.84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1,828.17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4</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1,867,652.14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466,913.04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124,571.43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43,728.44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2,186.42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2,334.57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3,169.04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2,956.58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1,045.78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2,123.26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1,980.91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5</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1,743,080.71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435,770.18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127,488.09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40,811.78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2,040.59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2,178.85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3,470.59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3,182.23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1,145.29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2,325.29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2,132.09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6</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1,615,592.62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403,898.16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130,473.05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37,826.83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1,891.34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2,019.49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3,779.20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3,405.59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1,247.13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2,532.06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2,281.75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7</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1</w:t>
            </w:r>
            <w:r>
              <w:rPr>
                <w:rFonts w:eastAsia="黑体"/>
                <w:bCs/>
                <w:i/>
                <w:color w:val="000000"/>
                <w:sz w:val="18"/>
              </w:rPr>
              <w:t xml:space="preserve">,485,119.58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371,279.89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133,527.89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34,771.98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1,738.60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1,856.40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4,095.03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3,626.74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1,351.36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2,743.67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2,429.91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8</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1,351,591.69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337,897.92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136,654.26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31,645.62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1,582.28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1,689.49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4,418.26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3,845.70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1,458.03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2,960.23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2,576.62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hint="eastAsia"/>
                <w:bCs/>
                <w:i/>
                <w:color w:val="000000"/>
                <w:sz w:val="18"/>
              </w:rPr>
              <w:t>1</w:t>
            </w:r>
            <w:r>
              <w:rPr>
                <w:rFonts w:eastAsia="黑体"/>
                <w:bCs/>
                <w:i/>
                <w:color w:val="000000"/>
                <w:sz w:val="18"/>
              </w:rPr>
              <w:t xml:space="preserve">,214,937.43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303,734.36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139,853.82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28,446.05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1,422.30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1,518.67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4,749.05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4,062.54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1,567.19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3,181.87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2,721.90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10</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1,075,083.61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268,770.90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143,128.30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25,171.57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1,258.58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1,343.85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5,087.60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4,277.29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1,678.91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3,408.69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2,865.78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11</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931,955.31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232,988.83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146,479.45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21,820.42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1,091.02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1,164.94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5,434.06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4,490.00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1,793.24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3,640.82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3,008.30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12</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785,475.86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196,368.96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149,909.06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18,390.81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919.54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981.84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5,788.64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4,700.71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1,910.25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3,878.39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3,149.48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13</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635,566.80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158,891.70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153,418.97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14,880.90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744.05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794.46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6,151.52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4,909.48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2,030.00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4,121.52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3,289.35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14</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482,147.83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120,536.96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157,011.06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11,288.81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564.44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602.68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6,522.90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5,116.34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2,152.56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4,370.34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3,427.95 </w:t>
            </w:r>
          </w:p>
        </w:tc>
      </w:tr>
      <w:tr w:rsidR="00C9049E">
        <w:tblPrEx>
          <w:tblCellMar>
            <w:top w:w="0" w:type="dxa"/>
            <w:bottom w:w="0" w:type="dxa"/>
          </w:tblCellMar>
        </w:tblPrEx>
        <w:trPr>
          <w:gridBefore w:val="1"/>
          <w:wBefore w:w="390" w:type="dxa"/>
          <w:trHeight w:val="192"/>
        </w:trPr>
        <w:tc>
          <w:tcPr>
            <w:tcW w:w="648" w:type="dxa"/>
            <w:gridSpan w:val="2"/>
            <w:tcBorders>
              <w:top w:val="single" w:sz="6" w:space="0" w:color="auto"/>
              <w:left w:val="single" w:sz="12"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15</w:t>
            </w:r>
          </w:p>
        </w:tc>
        <w:tc>
          <w:tcPr>
            <w:tcW w:w="1062"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325,136.77 </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81,284.19 </w:t>
            </w:r>
          </w:p>
        </w:tc>
        <w:tc>
          <w:tcPr>
            <w:tcW w:w="73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160,687.25 </w:t>
            </w:r>
          </w:p>
        </w:tc>
        <w:tc>
          <w:tcPr>
            <w:tcW w:w="945"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7,612.62 </w:t>
            </w:r>
          </w:p>
        </w:tc>
        <w:tc>
          <w:tcPr>
            <w:tcW w:w="105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380.63 </w:t>
            </w:r>
          </w:p>
        </w:tc>
        <w:tc>
          <w:tcPr>
            <w:tcW w:w="840" w:type="dxa"/>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406.42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6,902.98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5,321.33 </w:t>
            </w:r>
          </w:p>
        </w:tc>
        <w:tc>
          <w:tcPr>
            <w:tcW w:w="945" w:type="dxa"/>
            <w:gridSpan w:val="2"/>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2,277.98 </w:t>
            </w: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4,624.99 </w:t>
            </w:r>
          </w:p>
        </w:tc>
        <w:tc>
          <w:tcPr>
            <w:tcW w:w="1260" w:type="dxa"/>
            <w:tcBorders>
              <w:top w:val="single" w:sz="6" w:space="0" w:color="auto"/>
              <w:left w:val="single" w:sz="6" w:space="0" w:color="auto"/>
              <w:bottom w:val="single" w:sz="6"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3,565.29 </w:t>
            </w:r>
          </w:p>
        </w:tc>
      </w:tr>
      <w:tr w:rsidR="00C9049E">
        <w:tblPrEx>
          <w:tblCellMar>
            <w:top w:w="0" w:type="dxa"/>
            <w:bottom w:w="0" w:type="dxa"/>
          </w:tblCellMar>
        </w:tblPrEx>
        <w:trPr>
          <w:gridBefore w:val="1"/>
          <w:wBefore w:w="390" w:type="dxa"/>
          <w:trHeight w:val="202"/>
        </w:trPr>
        <w:tc>
          <w:tcPr>
            <w:tcW w:w="648" w:type="dxa"/>
            <w:gridSpan w:val="2"/>
            <w:tcBorders>
              <w:top w:val="single" w:sz="6"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16</w:t>
            </w:r>
          </w:p>
        </w:tc>
        <w:tc>
          <w:tcPr>
            <w:tcW w:w="1062"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164,449.52 </w:t>
            </w: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41,112.38 </w:t>
            </w:r>
          </w:p>
        </w:tc>
        <w:tc>
          <w:tcPr>
            <w:tcW w:w="73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eastAsia="黑体"/>
                <w:bCs/>
                <w:color w:val="000000"/>
                <w:sz w:val="18"/>
              </w:rPr>
            </w:pPr>
            <w:r>
              <w:rPr>
                <w:rFonts w:eastAsia="黑体"/>
                <w:bCs/>
                <w:color w:val="000000"/>
                <w:sz w:val="18"/>
              </w:rPr>
              <w:t>9.3654%</w:t>
            </w:r>
          </w:p>
        </w:tc>
        <w:tc>
          <w:tcPr>
            <w:tcW w:w="105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168,299.87 </w:t>
            </w:r>
          </w:p>
        </w:tc>
        <w:tc>
          <w:tcPr>
            <w:tcW w:w="105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164,449.52 </w:t>
            </w:r>
          </w:p>
        </w:tc>
        <w:tc>
          <w:tcPr>
            <w:tcW w:w="945"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3,850.35 </w:t>
            </w:r>
          </w:p>
        </w:tc>
        <w:tc>
          <w:tcPr>
            <w:tcW w:w="105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160,609.84 </w:t>
            </w:r>
          </w:p>
        </w:tc>
        <w:tc>
          <w:tcPr>
            <w:tcW w:w="84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192.52 </w:t>
            </w:r>
          </w:p>
        </w:tc>
        <w:tc>
          <w:tcPr>
            <w:tcW w:w="840" w:type="dxa"/>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205.56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7,291.95 </w:t>
            </w:r>
          </w:p>
        </w:tc>
        <w:tc>
          <w:tcPr>
            <w:tcW w:w="1260"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5,524.50 </w:t>
            </w:r>
          </w:p>
        </w:tc>
        <w:tc>
          <w:tcPr>
            <w:tcW w:w="945" w:type="dxa"/>
            <w:gridSpan w:val="2"/>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2,406.34 </w:t>
            </w:r>
          </w:p>
        </w:tc>
        <w:tc>
          <w:tcPr>
            <w:tcW w:w="1050" w:type="dxa"/>
            <w:gridSpan w:val="3"/>
            <w:tcBorders>
              <w:top w:val="single" w:sz="6"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4,885.61 </w:t>
            </w:r>
          </w:p>
        </w:tc>
        <w:tc>
          <w:tcPr>
            <w:tcW w:w="1260" w:type="dxa"/>
            <w:tcBorders>
              <w:top w:val="single" w:sz="6"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r>
              <w:rPr>
                <w:rFonts w:eastAsia="黑体"/>
                <w:bCs/>
                <w:i/>
                <w:color w:val="000000"/>
                <w:sz w:val="18"/>
              </w:rPr>
              <w:t xml:space="preserve">      3,701.41 </w:t>
            </w:r>
          </w:p>
        </w:tc>
      </w:tr>
      <w:tr w:rsidR="00C9049E">
        <w:tblPrEx>
          <w:tblCellMar>
            <w:top w:w="0" w:type="dxa"/>
            <w:bottom w:w="0" w:type="dxa"/>
          </w:tblCellMar>
        </w:tblPrEx>
        <w:trPr>
          <w:gridBefore w:val="1"/>
          <w:wBefore w:w="390" w:type="dxa"/>
          <w:cantSplit/>
          <w:trHeight w:val="250"/>
        </w:trPr>
        <w:tc>
          <w:tcPr>
            <w:tcW w:w="1710" w:type="dxa"/>
            <w:gridSpan w:val="4"/>
            <w:tcBorders>
              <w:top w:val="single" w:sz="12" w:space="0" w:color="auto"/>
              <w:left w:val="single" w:sz="12"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center"/>
              <w:rPr>
                <w:rFonts w:ascii="宋体"/>
                <w:bCs/>
                <w:color w:val="000000"/>
              </w:rPr>
            </w:pPr>
            <w:r>
              <w:rPr>
                <w:rFonts w:ascii="黑体" w:eastAsia="黑体" w:hint="eastAsia"/>
                <w:bCs/>
                <w:color w:val="000000"/>
              </w:rPr>
              <w:t>合</w:t>
            </w:r>
            <w:r>
              <w:rPr>
                <w:rFonts w:eastAsia="黑体"/>
                <w:bCs/>
                <w:color w:val="000000"/>
              </w:rPr>
              <w:t xml:space="preserve">    </w:t>
            </w:r>
            <w:r>
              <w:rPr>
                <w:rFonts w:ascii="黑体" w:eastAsia="黑体" w:hint="eastAsia"/>
                <w:bCs/>
                <w:color w:val="000000"/>
              </w:rPr>
              <w:t>计</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5,000,000.00 </w:t>
            </w: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2,692,797.93 </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2,224,526.11 </w:t>
            </w: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468,271.82 </w:t>
            </w: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2,569,757.49 </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23,413.59 </w:t>
            </w: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25,000.00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74,626.86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62,911.43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24,626.86 </w:t>
            </w:r>
          </w:p>
        </w:tc>
        <w:tc>
          <w:tcPr>
            <w:tcW w:w="1050"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rPr>
            </w:pPr>
            <w:r>
              <w:rPr>
                <w:bCs/>
                <w:i/>
                <w:color w:val="000000"/>
              </w:rPr>
              <w:t>50,000.00</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bCs/>
                <w:i/>
                <w:color w:val="000000"/>
                <w:sz w:val="18"/>
              </w:rPr>
            </w:pPr>
            <w:r>
              <w:rPr>
                <w:bCs/>
                <w:i/>
                <w:color w:val="000000"/>
                <w:sz w:val="18"/>
              </w:rPr>
              <w:t xml:space="preserve">     42,150.66 </w:t>
            </w:r>
          </w:p>
        </w:tc>
      </w:tr>
      <w:tr w:rsidR="00C9049E">
        <w:tblPrEx>
          <w:tblCellMar>
            <w:top w:w="0" w:type="dxa"/>
            <w:bottom w:w="0" w:type="dxa"/>
          </w:tblCellMar>
        </w:tblPrEx>
        <w:trPr>
          <w:gridBefore w:val="1"/>
          <w:wBefore w:w="390" w:type="dxa"/>
          <w:trHeight w:val="250"/>
        </w:trPr>
        <w:tc>
          <w:tcPr>
            <w:tcW w:w="1710" w:type="dxa"/>
            <w:gridSpan w:val="4"/>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收益净现值</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62,911.43 </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050"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 xml:space="preserve">   42,150.66 </w:t>
            </w:r>
          </w:p>
        </w:tc>
      </w:tr>
      <w:tr w:rsidR="00C9049E">
        <w:tblPrEx>
          <w:tblCellMar>
            <w:top w:w="0" w:type="dxa"/>
            <w:bottom w:w="0" w:type="dxa"/>
          </w:tblCellMar>
        </w:tblPrEx>
        <w:trPr>
          <w:gridBefore w:val="1"/>
          <w:wBefore w:w="390" w:type="dxa"/>
          <w:trHeight w:val="250"/>
        </w:trPr>
        <w:tc>
          <w:tcPr>
            <w:tcW w:w="1710" w:type="dxa"/>
            <w:gridSpan w:val="4"/>
            <w:tcBorders>
              <w:top w:val="single" w:sz="12" w:space="0" w:color="auto"/>
              <w:left w:val="single" w:sz="12" w:space="0" w:color="auto"/>
              <w:bottom w:val="single" w:sz="12" w:space="0" w:color="auto"/>
            </w:tcBorders>
            <w:vAlign w:val="center"/>
          </w:tcPr>
          <w:p w:rsidR="00C9049E" w:rsidRDefault="00C9049E" w:rsidP="00E92C7E">
            <w:pPr>
              <w:autoSpaceDE w:val="0"/>
              <w:autoSpaceDN w:val="0"/>
              <w:adjustRightInd w:val="0"/>
              <w:spacing w:line="360" w:lineRule="auto"/>
              <w:jc w:val="center"/>
              <w:rPr>
                <w:rFonts w:ascii="黑体" w:eastAsia="黑体"/>
                <w:bCs/>
                <w:color w:val="000000"/>
              </w:rPr>
            </w:pPr>
            <w:r>
              <w:rPr>
                <w:rFonts w:ascii="黑体" w:eastAsia="黑体" w:hint="eastAsia"/>
                <w:bCs/>
                <w:color w:val="000000"/>
              </w:rPr>
              <w:t>资金年净收益率</w:t>
            </w:r>
          </w:p>
        </w:tc>
        <w:tc>
          <w:tcPr>
            <w:tcW w:w="1050" w:type="dxa"/>
            <w:gridSpan w:val="2"/>
            <w:tcBorders>
              <w:top w:val="single" w:sz="12" w:space="0" w:color="auto"/>
              <w:left w:val="single" w:sz="12" w:space="0" w:color="auto"/>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735"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2" w:space="0" w:color="000000"/>
              <w:bottom w:val="single" w:sz="12" w:space="0" w:color="auto"/>
              <w:right w:val="single" w:sz="2" w:space="0" w:color="000000"/>
            </w:tcBorders>
            <w:vAlign w:val="center"/>
          </w:tcPr>
          <w:p w:rsidR="00C9049E" w:rsidRDefault="00C9049E" w:rsidP="00E92C7E">
            <w:pPr>
              <w:autoSpaceDE w:val="0"/>
              <w:autoSpaceDN w:val="0"/>
              <w:adjustRightInd w:val="0"/>
              <w:spacing w:line="360" w:lineRule="auto"/>
              <w:jc w:val="right"/>
              <w:rPr>
                <w:bCs/>
                <w:i/>
                <w:color w:val="000000"/>
                <w:sz w:val="18"/>
              </w:rPr>
            </w:pPr>
          </w:p>
        </w:tc>
        <w:tc>
          <w:tcPr>
            <w:tcW w:w="945" w:type="dxa"/>
            <w:tcBorders>
              <w:top w:val="single" w:sz="12" w:space="0" w:color="auto"/>
              <w:left w:val="single" w:sz="2" w:space="0" w:color="000000"/>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bCs/>
                <w:i/>
                <w:color w:val="000000"/>
                <w:sz w:val="18"/>
              </w:rPr>
            </w:pPr>
          </w:p>
        </w:tc>
        <w:tc>
          <w:tcPr>
            <w:tcW w:w="840" w:type="dxa"/>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ascii="黑体" w:eastAsia="黑体"/>
                <w:bCs/>
                <w:color w:val="000000"/>
                <w:sz w:val="18"/>
              </w:rPr>
            </w:pP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所得税前</w:t>
            </w:r>
            <w:r>
              <w:rPr>
                <w:rFonts w:ascii="黑体" w:eastAsia="黑体"/>
                <w:bCs/>
                <w:color w:val="000000"/>
                <w:sz w:val="18"/>
              </w:rPr>
              <w:t xml:space="preserve">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1.25822865%</w:t>
            </w:r>
          </w:p>
        </w:tc>
        <w:tc>
          <w:tcPr>
            <w:tcW w:w="945" w:type="dxa"/>
            <w:gridSpan w:val="2"/>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jc w:val="right"/>
              <w:rPr>
                <w:rFonts w:eastAsia="黑体"/>
                <w:bCs/>
                <w:i/>
                <w:color w:val="000000"/>
                <w:sz w:val="18"/>
              </w:rPr>
            </w:pPr>
          </w:p>
        </w:tc>
        <w:tc>
          <w:tcPr>
            <w:tcW w:w="1050" w:type="dxa"/>
            <w:gridSpan w:val="3"/>
            <w:tcBorders>
              <w:top w:val="single" w:sz="12" w:space="0" w:color="auto"/>
              <w:left w:val="single" w:sz="6" w:space="0" w:color="auto"/>
              <w:bottom w:val="single" w:sz="12" w:space="0" w:color="auto"/>
              <w:right w:val="single" w:sz="6" w:space="0" w:color="auto"/>
            </w:tcBorders>
            <w:vAlign w:val="center"/>
          </w:tcPr>
          <w:p w:rsidR="00C9049E" w:rsidRDefault="00C9049E" w:rsidP="00E92C7E">
            <w:pPr>
              <w:autoSpaceDE w:val="0"/>
              <w:autoSpaceDN w:val="0"/>
              <w:adjustRightInd w:val="0"/>
              <w:spacing w:line="360" w:lineRule="auto"/>
              <w:rPr>
                <w:rFonts w:ascii="黑体" w:eastAsia="黑体"/>
                <w:bCs/>
                <w:color w:val="000000"/>
                <w:sz w:val="18"/>
              </w:rPr>
            </w:pPr>
            <w:r>
              <w:rPr>
                <w:rFonts w:ascii="黑体" w:eastAsia="黑体"/>
                <w:bCs/>
                <w:color w:val="000000"/>
                <w:sz w:val="18"/>
              </w:rPr>
              <w:t xml:space="preserve"> </w:t>
            </w:r>
            <w:r>
              <w:rPr>
                <w:rFonts w:ascii="黑体" w:eastAsia="黑体" w:hint="eastAsia"/>
                <w:bCs/>
                <w:color w:val="000000"/>
                <w:sz w:val="18"/>
              </w:rPr>
              <w:t>所得税后</w:t>
            </w:r>
            <w:r>
              <w:rPr>
                <w:rFonts w:ascii="黑体" w:eastAsia="黑体"/>
                <w:bCs/>
                <w:color w:val="000000"/>
                <w:sz w:val="18"/>
              </w:rPr>
              <w:t xml:space="preserve"> </w:t>
            </w:r>
          </w:p>
        </w:tc>
        <w:tc>
          <w:tcPr>
            <w:tcW w:w="1260" w:type="dxa"/>
            <w:tcBorders>
              <w:top w:val="single" w:sz="12" w:space="0" w:color="auto"/>
              <w:left w:val="single" w:sz="6" w:space="0" w:color="auto"/>
              <w:bottom w:val="single" w:sz="12" w:space="0" w:color="auto"/>
              <w:right w:val="single" w:sz="12" w:space="0" w:color="auto"/>
            </w:tcBorders>
            <w:vAlign w:val="center"/>
          </w:tcPr>
          <w:p w:rsidR="00C9049E" w:rsidRDefault="00C9049E" w:rsidP="00E92C7E">
            <w:pPr>
              <w:autoSpaceDE w:val="0"/>
              <w:autoSpaceDN w:val="0"/>
              <w:adjustRightInd w:val="0"/>
              <w:spacing w:line="360" w:lineRule="auto"/>
              <w:jc w:val="right"/>
              <w:rPr>
                <w:rFonts w:eastAsia="黑体"/>
                <w:bCs/>
                <w:i/>
                <w:color w:val="000000"/>
              </w:rPr>
            </w:pPr>
            <w:r>
              <w:rPr>
                <w:rFonts w:eastAsia="黑体"/>
                <w:bCs/>
                <w:i/>
                <w:color w:val="000000"/>
              </w:rPr>
              <w:t>0.84301320%</w:t>
            </w:r>
          </w:p>
        </w:tc>
      </w:tr>
    </w:tbl>
    <w:p w:rsidR="00C9049E" w:rsidRDefault="00C9049E" w:rsidP="00E92C7E">
      <w:pPr>
        <w:spacing w:line="360" w:lineRule="auto"/>
        <w:rPr>
          <w:rFonts w:eastAsia="楷体_GB2312"/>
          <w:bCs/>
          <w:sz w:val="24"/>
        </w:rPr>
      </w:pPr>
    </w:p>
    <w:p w:rsidR="00C9049E" w:rsidRDefault="00C9049E" w:rsidP="00E92C7E">
      <w:pPr>
        <w:spacing w:line="360" w:lineRule="auto"/>
        <w:ind w:left="465"/>
        <w:rPr>
          <w:rFonts w:eastAsia="楷体_GB2312"/>
          <w:bCs/>
          <w:sz w:val="24"/>
        </w:rPr>
      </w:pPr>
    </w:p>
    <w:p w:rsidR="00C9049E" w:rsidRDefault="00C9049E" w:rsidP="00E92C7E">
      <w:pPr>
        <w:spacing w:line="360" w:lineRule="auto"/>
        <w:ind w:left="465"/>
        <w:rPr>
          <w:rFonts w:eastAsia="黑体" w:hint="eastAsia"/>
          <w:bCs/>
          <w:sz w:val="28"/>
        </w:rPr>
      </w:pPr>
      <w:r>
        <w:rPr>
          <w:rFonts w:eastAsia="楷体_GB2312" w:hint="eastAsia"/>
          <w:bCs/>
          <w:sz w:val="24"/>
        </w:rPr>
        <w:t xml:space="preserve">                                                                                                         </w:t>
      </w:r>
      <w:r>
        <w:rPr>
          <w:rFonts w:eastAsia="黑体" w:hint="eastAsia"/>
          <w:bCs/>
          <w:sz w:val="28"/>
        </w:rPr>
        <w:t>裘</w:t>
      </w:r>
      <w:r>
        <w:rPr>
          <w:rFonts w:eastAsia="黑体" w:hint="eastAsia"/>
          <w:bCs/>
          <w:sz w:val="28"/>
        </w:rPr>
        <w:t xml:space="preserve"> </w:t>
      </w:r>
      <w:r>
        <w:rPr>
          <w:rFonts w:eastAsia="黑体" w:hint="eastAsia"/>
          <w:bCs/>
          <w:sz w:val="28"/>
        </w:rPr>
        <w:t>企</w:t>
      </w:r>
      <w:r>
        <w:rPr>
          <w:rFonts w:eastAsia="黑体" w:hint="eastAsia"/>
          <w:bCs/>
          <w:sz w:val="28"/>
        </w:rPr>
        <w:t xml:space="preserve"> </w:t>
      </w:r>
      <w:r>
        <w:rPr>
          <w:rFonts w:eastAsia="黑体" w:hint="eastAsia"/>
          <w:bCs/>
          <w:sz w:val="28"/>
        </w:rPr>
        <w:t>阳</w:t>
      </w:r>
    </w:p>
    <w:p w:rsidR="00C9049E" w:rsidRDefault="00C9049E" w:rsidP="00E92C7E">
      <w:pPr>
        <w:spacing w:line="360" w:lineRule="auto"/>
        <w:ind w:left="465"/>
        <w:rPr>
          <w:rFonts w:eastAsia="黑体" w:hint="eastAsia"/>
          <w:bCs/>
          <w:sz w:val="28"/>
        </w:rPr>
      </w:pPr>
      <w:r>
        <w:rPr>
          <w:rFonts w:eastAsia="黑体" w:hint="eastAsia"/>
          <w:bCs/>
          <w:sz w:val="28"/>
        </w:rPr>
        <w:t xml:space="preserve">                                                                                          2002.04.10</w:t>
      </w:r>
    </w:p>
    <w:sectPr w:rsidR="00C9049E">
      <w:pgSz w:w="16840" w:h="11907" w:orient="landscape" w:code="9"/>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EA0" w:rsidRDefault="00982EA0">
      <w:r>
        <w:separator/>
      </w:r>
    </w:p>
  </w:endnote>
  <w:endnote w:type="continuationSeparator" w:id="0">
    <w:p w:rsidR="00982EA0" w:rsidRDefault="0098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楷体_GB2312">
    <w:altName w:val="楷体"/>
    <w:charset w:val="86"/>
    <w:family w:val="modern"/>
    <w:pitch w:val="fixed"/>
    <w:sig w:usb0="00000001" w:usb1="080E0000" w:usb2="00000010" w:usb3="00000000" w:csb0="00040000" w:csb1="00000000"/>
    <w:embedRegular r:id="rId1" w:subsetted="1" w:fontKey="{F5DEEDFA-3EB6-4D7B-8389-8609219D12E1}"/>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2" w:subsetted="1" w:fontKey="{CEF56FF8-309C-4EF3-92AB-9BB4827B7A5D}"/>
  </w:font>
  <w:font w:name="方正粗宋简体">
    <w:panose1 w:val="03000509000000000000"/>
    <w:charset w:val="86"/>
    <w:family w:val="script"/>
    <w:pitch w:val="fixed"/>
    <w:sig w:usb0="00000001" w:usb1="080E0000" w:usb2="00000010" w:usb3="00000000" w:csb0="00040000" w:csb1="00000000"/>
    <w:embedRegular r:id="rId3" w:subsetted="1" w:fontKey="{898225DD-AE83-41BD-8B8F-0E4CA9005182}"/>
  </w:font>
  <w:font w:name="仿宋_GB2312">
    <w:panose1 w:val="02010609030101010101"/>
    <w:charset w:val="86"/>
    <w:family w:val="modern"/>
    <w:pitch w:val="fixed"/>
    <w:sig w:usb0="00000001" w:usb1="080E0000" w:usb2="00000010" w:usb3="00000000" w:csb0="00040000" w:csb1="00000000"/>
    <w:embedRegular r:id="rId4" w:subsetted="1" w:fontKey="{64C2A833-60A5-4E2D-B8A1-FBEE4A55083D}"/>
  </w:font>
  <w:font w:name="微软雅黑">
    <w:panose1 w:val="020B0503020204020204"/>
    <w:charset w:val="86"/>
    <w:family w:val="swiss"/>
    <w:pitch w:val="variable"/>
    <w:sig w:usb0="80000287" w:usb1="280F3C52" w:usb2="00000016" w:usb3="00000000" w:csb0="0004001F" w:csb1="00000000"/>
    <w:embedRegular r:id="rId5" w:subsetted="1" w:fontKey="{B87DDD8D-9825-4BAF-A8B5-FCA9F9F9B53E}"/>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49E" w:rsidRDefault="00C9049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9049E" w:rsidRDefault="00C9049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49E" w:rsidRDefault="00C9049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61EBE">
      <w:rPr>
        <w:rStyle w:val="a4"/>
        <w:noProof/>
      </w:rPr>
      <w:t>1</w:t>
    </w:r>
    <w:r>
      <w:rPr>
        <w:rStyle w:val="a4"/>
      </w:rPr>
      <w:fldChar w:fldCharType="end"/>
    </w:r>
  </w:p>
  <w:p w:rsidR="00C9049E" w:rsidRDefault="00C9049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EA0" w:rsidRDefault="00982EA0">
      <w:r>
        <w:separator/>
      </w:r>
    </w:p>
  </w:footnote>
  <w:footnote w:type="continuationSeparator" w:id="0">
    <w:p w:rsidR="00982EA0" w:rsidRDefault="00982E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67EC"/>
    <w:multiLevelType w:val="singleLevel"/>
    <w:tmpl w:val="231AFC38"/>
    <w:lvl w:ilvl="0">
      <w:start w:val="1"/>
      <w:numFmt w:val="japaneseCounting"/>
      <w:lvlText w:val="%1、"/>
      <w:lvlJc w:val="left"/>
      <w:pPr>
        <w:tabs>
          <w:tab w:val="num" w:pos="1425"/>
        </w:tabs>
        <w:ind w:left="1425" w:hanging="480"/>
      </w:pPr>
      <w:rPr>
        <w:rFonts w:hint="eastAsia"/>
      </w:rPr>
    </w:lvl>
  </w:abstractNum>
  <w:abstractNum w:abstractNumId="1">
    <w:nsid w:val="085E3357"/>
    <w:multiLevelType w:val="singleLevel"/>
    <w:tmpl w:val="B658E324"/>
    <w:lvl w:ilvl="0">
      <w:start w:val="1"/>
      <w:numFmt w:val="japaneseCounting"/>
      <w:lvlText w:val="%1、"/>
      <w:lvlJc w:val="left"/>
      <w:pPr>
        <w:tabs>
          <w:tab w:val="num" w:pos="1035"/>
        </w:tabs>
        <w:ind w:left="1035" w:hanging="570"/>
      </w:pPr>
      <w:rPr>
        <w:rFonts w:hint="eastAsia"/>
      </w:rPr>
    </w:lvl>
  </w:abstractNum>
  <w:abstractNum w:abstractNumId="2">
    <w:nsid w:val="2EFE7C7A"/>
    <w:multiLevelType w:val="singleLevel"/>
    <w:tmpl w:val="45565380"/>
    <w:lvl w:ilvl="0">
      <w:start w:val="1"/>
      <w:numFmt w:val="japaneseCounting"/>
      <w:lvlText w:val="（%1）"/>
      <w:lvlJc w:val="left"/>
      <w:pPr>
        <w:tabs>
          <w:tab w:val="num" w:pos="1170"/>
        </w:tabs>
        <w:ind w:left="1170" w:hanging="690"/>
      </w:pPr>
      <w:rPr>
        <w:rFonts w:hint="eastAsia"/>
      </w:rPr>
    </w:lvl>
  </w:abstractNum>
  <w:abstractNum w:abstractNumId="3">
    <w:nsid w:val="34183472"/>
    <w:multiLevelType w:val="singleLevel"/>
    <w:tmpl w:val="7EAC2494"/>
    <w:lvl w:ilvl="0">
      <w:numFmt w:val="bullet"/>
      <w:lvlText w:val="▲"/>
      <w:lvlJc w:val="left"/>
      <w:pPr>
        <w:tabs>
          <w:tab w:val="num" w:pos="855"/>
        </w:tabs>
        <w:ind w:left="855" w:hanging="375"/>
      </w:pPr>
      <w:rPr>
        <w:rFonts w:ascii="楷体_GB2312" w:hint="eastAsia"/>
      </w:rPr>
    </w:lvl>
  </w:abstractNum>
  <w:abstractNum w:abstractNumId="4">
    <w:nsid w:val="355D6080"/>
    <w:multiLevelType w:val="singleLevel"/>
    <w:tmpl w:val="BE9C1400"/>
    <w:lvl w:ilvl="0">
      <w:start w:val="1"/>
      <w:numFmt w:val="japaneseCounting"/>
      <w:lvlText w:val="%1、"/>
      <w:lvlJc w:val="left"/>
      <w:pPr>
        <w:tabs>
          <w:tab w:val="num" w:pos="960"/>
        </w:tabs>
        <w:ind w:left="960" w:hanging="480"/>
      </w:pPr>
      <w:rPr>
        <w:rFonts w:hint="eastAsia"/>
      </w:rPr>
    </w:lvl>
  </w:abstractNum>
  <w:abstractNum w:abstractNumId="5">
    <w:nsid w:val="35DC722F"/>
    <w:multiLevelType w:val="singleLevel"/>
    <w:tmpl w:val="A9A6B8B6"/>
    <w:lvl w:ilvl="0">
      <w:start w:val="1"/>
      <w:numFmt w:val="japaneseCounting"/>
      <w:lvlText w:val="%1）"/>
      <w:lvlJc w:val="left"/>
      <w:pPr>
        <w:tabs>
          <w:tab w:val="num" w:pos="960"/>
        </w:tabs>
        <w:ind w:left="960" w:hanging="480"/>
      </w:pPr>
      <w:rPr>
        <w:rFonts w:hint="eastAsia"/>
      </w:rPr>
    </w:lvl>
  </w:abstractNum>
  <w:abstractNum w:abstractNumId="6">
    <w:nsid w:val="451913B4"/>
    <w:multiLevelType w:val="singleLevel"/>
    <w:tmpl w:val="0E38F586"/>
    <w:lvl w:ilvl="0">
      <w:start w:val="1"/>
      <w:numFmt w:val="japaneseCounting"/>
      <w:lvlText w:val="%1、"/>
      <w:lvlJc w:val="left"/>
      <w:pPr>
        <w:tabs>
          <w:tab w:val="num" w:pos="960"/>
        </w:tabs>
        <w:ind w:left="960" w:hanging="480"/>
      </w:pPr>
      <w:rPr>
        <w:rFonts w:hint="eastAsia"/>
      </w:rPr>
    </w:lvl>
  </w:abstractNum>
  <w:abstractNum w:abstractNumId="7">
    <w:nsid w:val="46463DA8"/>
    <w:multiLevelType w:val="singleLevel"/>
    <w:tmpl w:val="2730B8FE"/>
    <w:lvl w:ilvl="0">
      <w:start w:val="1"/>
      <w:numFmt w:val="japaneseCounting"/>
      <w:lvlText w:val="%1、"/>
      <w:lvlJc w:val="left"/>
      <w:pPr>
        <w:tabs>
          <w:tab w:val="num" w:pos="960"/>
        </w:tabs>
        <w:ind w:left="960" w:hanging="480"/>
      </w:pPr>
      <w:rPr>
        <w:rFonts w:hint="eastAsia"/>
      </w:rPr>
    </w:lvl>
  </w:abstractNum>
  <w:abstractNum w:abstractNumId="8">
    <w:nsid w:val="4AA26980"/>
    <w:multiLevelType w:val="singleLevel"/>
    <w:tmpl w:val="5E126574"/>
    <w:lvl w:ilvl="0">
      <w:numFmt w:val="bullet"/>
      <w:lvlText w:val="▲"/>
      <w:lvlJc w:val="left"/>
      <w:pPr>
        <w:tabs>
          <w:tab w:val="num" w:pos="870"/>
        </w:tabs>
        <w:ind w:left="870" w:hanging="375"/>
      </w:pPr>
      <w:rPr>
        <w:rFonts w:hint="eastAsia"/>
      </w:rPr>
    </w:lvl>
  </w:abstractNum>
  <w:abstractNum w:abstractNumId="9">
    <w:nsid w:val="50127862"/>
    <w:multiLevelType w:val="singleLevel"/>
    <w:tmpl w:val="47FE6D20"/>
    <w:lvl w:ilvl="0">
      <w:start w:val="1"/>
      <w:numFmt w:val="japaneseCounting"/>
      <w:lvlText w:val="%1、"/>
      <w:lvlJc w:val="left"/>
      <w:pPr>
        <w:tabs>
          <w:tab w:val="num" w:pos="1425"/>
        </w:tabs>
        <w:ind w:left="1425" w:hanging="480"/>
      </w:pPr>
      <w:rPr>
        <w:rFonts w:hint="eastAsia"/>
      </w:rPr>
    </w:lvl>
  </w:abstractNum>
  <w:abstractNum w:abstractNumId="10">
    <w:nsid w:val="5CEA3876"/>
    <w:multiLevelType w:val="singleLevel"/>
    <w:tmpl w:val="7010A132"/>
    <w:lvl w:ilvl="0">
      <w:numFmt w:val="bullet"/>
      <w:lvlText w:val="★"/>
      <w:lvlJc w:val="left"/>
      <w:pPr>
        <w:tabs>
          <w:tab w:val="num" w:pos="1110"/>
        </w:tabs>
        <w:ind w:left="1110" w:hanging="255"/>
      </w:pPr>
      <w:rPr>
        <w:rFonts w:ascii="楷体_GB2312" w:hint="eastAsia"/>
      </w:rPr>
    </w:lvl>
  </w:abstractNum>
  <w:abstractNum w:abstractNumId="11">
    <w:nsid w:val="5F602DC3"/>
    <w:multiLevelType w:val="singleLevel"/>
    <w:tmpl w:val="771C0962"/>
    <w:lvl w:ilvl="0">
      <w:start w:val="3"/>
      <w:numFmt w:val="none"/>
      <w:lvlText w:val="三、"/>
      <w:lvlJc w:val="left"/>
      <w:pPr>
        <w:tabs>
          <w:tab w:val="num" w:pos="825"/>
        </w:tabs>
        <w:ind w:left="825" w:hanging="825"/>
      </w:pPr>
      <w:rPr>
        <w:rFonts w:hint="eastAsia"/>
      </w:rPr>
    </w:lvl>
  </w:abstractNum>
  <w:abstractNum w:abstractNumId="12">
    <w:nsid w:val="705D5F41"/>
    <w:multiLevelType w:val="singleLevel"/>
    <w:tmpl w:val="1F72D6C4"/>
    <w:lvl w:ilvl="0">
      <w:start w:val="1"/>
      <w:numFmt w:val="bullet"/>
      <w:lvlText w:val="▲"/>
      <w:lvlJc w:val="left"/>
      <w:pPr>
        <w:tabs>
          <w:tab w:val="num" w:pos="720"/>
        </w:tabs>
        <w:ind w:left="720" w:hanging="225"/>
      </w:pPr>
      <w:rPr>
        <w:rFonts w:ascii="楷体_GB2312" w:hint="eastAsia"/>
      </w:rPr>
    </w:lvl>
  </w:abstractNum>
  <w:num w:numId="1">
    <w:abstractNumId w:val="6"/>
  </w:num>
  <w:num w:numId="2">
    <w:abstractNumId w:val="7"/>
  </w:num>
  <w:num w:numId="3">
    <w:abstractNumId w:val="2"/>
  </w:num>
  <w:num w:numId="4">
    <w:abstractNumId w:val="11"/>
  </w:num>
  <w:num w:numId="5">
    <w:abstractNumId w:val="4"/>
  </w:num>
  <w:num w:numId="6">
    <w:abstractNumId w:val="3"/>
  </w:num>
  <w:num w:numId="7">
    <w:abstractNumId w:val="10"/>
  </w:num>
  <w:num w:numId="8">
    <w:abstractNumId w:val="8"/>
  </w:num>
  <w:num w:numId="9">
    <w:abstractNumId w:val="12"/>
  </w:num>
  <w:num w:numId="10">
    <w:abstractNumId w:val="5"/>
  </w:num>
  <w:num w:numId="11">
    <w:abstractNumId w:val="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1"/>
  <w:embedTrueTypeFonts/>
  <w:saveSubsetFonts/>
  <w:mirrorMargins/>
  <w:bordersDoNotSurroundHeader/>
  <w:bordersDoNotSurroundFooter/>
  <w:proofState w:grammar="clean"/>
  <w:defaultTabStop w:val="425"/>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A3D"/>
    <w:rsid w:val="0012106F"/>
    <w:rsid w:val="00255C18"/>
    <w:rsid w:val="0028674A"/>
    <w:rsid w:val="002C043C"/>
    <w:rsid w:val="002E14AC"/>
    <w:rsid w:val="003235CA"/>
    <w:rsid w:val="003B4A3D"/>
    <w:rsid w:val="003C582C"/>
    <w:rsid w:val="003D3AE8"/>
    <w:rsid w:val="0048485B"/>
    <w:rsid w:val="005B034A"/>
    <w:rsid w:val="005C01E2"/>
    <w:rsid w:val="005E3F94"/>
    <w:rsid w:val="00691C75"/>
    <w:rsid w:val="0073269A"/>
    <w:rsid w:val="00751E42"/>
    <w:rsid w:val="00761EBE"/>
    <w:rsid w:val="007A1904"/>
    <w:rsid w:val="007F0C88"/>
    <w:rsid w:val="00830190"/>
    <w:rsid w:val="009017F7"/>
    <w:rsid w:val="00982EA0"/>
    <w:rsid w:val="00995CAD"/>
    <w:rsid w:val="00A708FA"/>
    <w:rsid w:val="00BD5501"/>
    <w:rsid w:val="00C9049E"/>
    <w:rsid w:val="00D47E6C"/>
    <w:rsid w:val="00D8381A"/>
    <w:rsid w:val="00DA633A"/>
    <w:rsid w:val="00E00ECB"/>
    <w:rsid w:val="00E92C7E"/>
    <w:rsid w:val="00F468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68928D-EABB-4085-B43F-2B883E6AA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autoRedefine/>
    <w:qFormat/>
    <w:rsid w:val="005E3F94"/>
    <w:pPr>
      <w:keepNext/>
      <w:autoSpaceDE w:val="0"/>
      <w:autoSpaceDN w:val="0"/>
      <w:adjustRightInd w:val="0"/>
      <w:jc w:val="center"/>
      <w:outlineLvl w:val="0"/>
    </w:pPr>
    <w:rPr>
      <w:b/>
      <w:color w:val="000000"/>
      <w:sz w:val="4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header"/>
    <w:basedOn w:val="a"/>
    <w:semiHidden/>
    <w:pPr>
      <w:pBdr>
        <w:bottom w:val="single" w:sz="6" w:space="1" w:color="auto"/>
      </w:pBdr>
      <w:tabs>
        <w:tab w:val="center" w:pos="4153"/>
        <w:tab w:val="right" w:pos="8306"/>
      </w:tabs>
      <w:snapToGrid w:val="0"/>
      <w:jc w:val="center"/>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8905</Words>
  <Characters>50759</Characters>
  <Application>Microsoft Office Word</Application>
  <DocSecurity>0</DocSecurity>
  <Lines>422</Lines>
  <Paragraphs>119</Paragraphs>
  <ScaleCrop>false</ScaleCrop>
  <HeadingPairs>
    <vt:vector size="2" baseType="variant">
      <vt:variant>
        <vt:lpstr>题目</vt:lpstr>
      </vt:variant>
      <vt:variant>
        <vt:i4>1</vt:i4>
      </vt:variant>
    </vt:vector>
  </HeadingPairs>
  <TitlesOfParts>
    <vt:vector size="1" baseType="lpstr">
      <vt:lpstr>问  题  探  讨</vt:lpstr>
    </vt:vector>
  </TitlesOfParts>
  <Company>kf</Company>
  <LinksUpToDate>false</LinksUpToDate>
  <CharactersWithSpaces>59545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问  题  探  讨</dc:title>
  <dc:subject/>
  <dc:creator>kf</dc:creator>
  <cp:keywords/>
  <cp:lastModifiedBy>张艳坤</cp:lastModifiedBy>
  <cp:revision>3</cp:revision>
  <cp:lastPrinted>2002-04-11T07:06:00Z</cp:lastPrinted>
  <dcterms:created xsi:type="dcterms:W3CDTF">2014-07-04T07:44:00Z</dcterms:created>
  <dcterms:modified xsi:type="dcterms:W3CDTF">2014-07-04T07:45:00Z</dcterms:modified>
</cp:coreProperties>
</file>