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B5C" w:rsidRPr="00136B5C" w:rsidRDefault="00136B5C" w:rsidP="00136B5C">
      <w:pPr>
        <w:pStyle w:val="a5"/>
        <w:rPr>
          <w:rStyle w:val="a6"/>
          <w:rFonts w:ascii="Verdana" w:hAnsi="Verdana"/>
          <w:color w:val="363636"/>
          <w:sz w:val="18"/>
          <w:szCs w:val="18"/>
        </w:rPr>
      </w:pPr>
      <w:r w:rsidRPr="00136B5C">
        <w:rPr>
          <w:rStyle w:val="a6"/>
          <w:rFonts w:ascii="Verdana" w:hAnsi="Verdana" w:hint="eastAsia"/>
          <w:color w:val="363636"/>
          <w:sz w:val="18"/>
          <w:szCs w:val="18"/>
        </w:rPr>
        <w:t>1</w:t>
      </w:r>
      <w:r w:rsidRPr="00136B5C">
        <w:rPr>
          <w:rStyle w:val="a6"/>
          <w:rFonts w:ascii="Verdana" w:hAnsi="Verdana" w:hint="eastAsia"/>
          <w:color w:val="363636"/>
          <w:sz w:val="18"/>
          <w:szCs w:val="18"/>
        </w:rPr>
        <w:t>负债业务</w:t>
      </w:r>
      <w:r>
        <w:rPr>
          <w:rStyle w:val="a6"/>
          <w:rFonts w:ascii="Verdana" w:hAnsi="Verdana" w:hint="eastAsia"/>
          <w:color w:val="363636"/>
          <w:sz w:val="18"/>
          <w:szCs w:val="18"/>
        </w:rPr>
        <w:t xml:space="preserve"> </w:t>
      </w:r>
    </w:p>
    <w:p w:rsidR="00136B5C" w:rsidRPr="0096198E" w:rsidRDefault="00136B5C" w:rsidP="00136B5C">
      <w:pPr>
        <w:pStyle w:val="a5"/>
        <w:rPr>
          <w:rStyle w:val="a6"/>
          <w:rFonts w:ascii="Verdana" w:hAnsi="Verdana"/>
          <w:b w:val="0"/>
          <w:color w:val="363636"/>
          <w:sz w:val="18"/>
          <w:szCs w:val="18"/>
        </w:rPr>
      </w:pPr>
      <w:r w:rsidRPr="0096198E">
        <w:rPr>
          <w:rStyle w:val="a6"/>
          <w:rFonts w:ascii="Verdana" w:hAnsi="Verdana" w:hint="eastAsia"/>
          <w:b w:val="0"/>
          <w:color w:val="363636"/>
          <w:sz w:val="18"/>
          <w:szCs w:val="18"/>
        </w:rPr>
        <w:t xml:space="preserve">　　存款业务</w:t>
      </w:r>
      <w:r w:rsidRPr="0096198E">
        <w:rPr>
          <w:rStyle w:val="a6"/>
          <w:rFonts w:ascii="Verdana" w:hAnsi="Verdana" w:hint="eastAsia"/>
          <w:b w:val="0"/>
          <w:color w:val="363636"/>
          <w:sz w:val="18"/>
          <w:szCs w:val="18"/>
        </w:rPr>
        <w:t xml:space="preserve"> </w:t>
      </w:r>
      <w:r w:rsidRPr="0096198E">
        <w:rPr>
          <w:rStyle w:val="a6"/>
          <w:rFonts w:ascii="Verdana" w:hAnsi="Verdana"/>
          <w:b w:val="0"/>
          <w:color w:val="363636"/>
          <w:sz w:val="18"/>
          <w:szCs w:val="18"/>
        </w:rPr>
        <w:t>、</w:t>
      </w:r>
      <w:r w:rsidRPr="0096198E">
        <w:rPr>
          <w:rStyle w:val="a6"/>
          <w:rFonts w:ascii="Verdana" w:hAnsi="Verdana" w:hint="eastAsia"/>
          <w:b w:val="0"/>
          <w:color w:val="363636"/>
          <w:sz w:val="18"/>
          <w:szCs w:val="18"/>
        </w:rPr>
        <w:t>借款业务</w:t>
      </w:r>
      <w:r w:rsidRPr="0096198E">
        <w:rPr>
          <w:rStyle w:val="a6"/>
          <w:rFonts w:ascii="Verdana" w:hAnsi="Verdana" w:hint="eastAsia"/>
          <w:b w:val="0"/>
          <w:color w:val="363636"/>
          <w:sz w:val="18"/>
          <w:szCs w:val="18"/>
        </w:rPr>
        <w:t xml:space="preserve"> </w:t>
      </w:r>
    </w:p>
    <w:p w:rsidR="00136B5C" w:rsidRPr="00136B5C" w:rsidRDefault="00136B5C" w:rsidP="00136B5C">
      <w:pPr>
        <w:pStyle w:val="a5"/>
        <w:rPr>
          <w:rStyle w:val="a6"/>
          <w:rFonts w:ascii="Verdana" w:hAnsi="Verdana"/>
          <w:color w:val="363636"/>
          <w:sz w:val="18"/>
          <w:szCs w:val="18"/>
        </w:rPr>
      </w:pPr>
      <w:r w:rsidRPr="00136B5C">
        <w:rPr>
          <w:rStyle w:val="a6"/>
          <w:rFonts w:ascii="Verdana" w:hAnsi="Verdana" w:hint="eastAsia"/>
          <w:color w:val="363636"/>
          <w:sz w:val="18"/>
          <w:szCs w:val="18"/>
        </w:rPr>
        <w:t>2</w:t>
      </w:r>
      <w:r w:rsidRPr="00136B5C">
        <w:rPr>
          <w:rStyle w:val="a6"/>
          <w:rFonts w:ascii="Verdana" w:hAnsi="Verdana" w:hint="eastAsia"/>
          <w:color w:val="363636"/>
          <w:sz w:val="18"/>
          <w:szCs w:val="18"/>
        </w:rPr>
        <w:t>资产业务</w:t>
      </w:r>
      <w:r w:rsidRPr="00136B5C">
        <w:rPr>
          <w:rStyle w:val="a6"/>
          <w:rFonts w:ascii="Verdana" w:hAnsi="Verdana" w:hint="eastAsia"/>
          <w:color w:val="363636"/>
          <w:sz w:val="18"/>
          <w:szCs w:val="18"/>
        </w:rPr>
        <w:t xml:space="preserve"> </w:t>
      </w:r>
    </w:p>
    <w:p w:rsidR="00136B5C" w:rsidRPr="0096198E" w:rsidRDefault="00136B5C" w:rsidP="00136B5C">
      <w:pPr>
        <w:pStyle w:val="a5"/>
        <w:rPr>
          <w:rStyle w:val="a6"/>
          <w:rFonts w:ascii="Verdana" w:hAnsi="Verdana"/>
          <w:b w:val="0"/>
          <w:color w:val="363636"/>
          <w:sz w:val="18"/>
          <w:szCs w:val="18"/>
        </w:rPr>
      </w:pPr>
      <w:r w:rsidRPr="0096198E">
        <w:rPr>
          <w:rStyle w:val="a6"/>
          <w:rFonts w:ascii="Verdana" w:hAnsi="Verdana" w:hint="eastAsia"/>
          <w:b w:val="0"/>
          <w:color w:val="363636"/>
          <w:sz w:val="18"/>
          <w:szCs w:val="18"/>
        </w:rPr>
        <w:t>贷款业务</w:t>
      </w:r>
      <w:r w:rsidRPr="0096198E">
        <w:rPr>
          <w:rStyle w:val="a6"/>
          <w:rFonts w:ascii="Verdana" w:hAnsi="Verdana" w:hint="eastAsia"/>
          <w:b w:val="0"/>
          <w:color w:val="363636"/>
          <w:sz w:val="18"/>
          <w:szCs w:val="18"/>
        </w:rPr>
        <w:t xml:space="preserve"> </w:t>
      </w:r>
      <w:r w:rsidRPr="0096198E">
        <w:rPr>
          <w:rStyle w:val="a6"/>
          <w:rFonts w:ascii="Verdana" w:hAnsi="Verdana" w:hint="eastAsia"/>
          <w:b w:val="0"/>
          <w:color w:val="363636"/>
          <w:sz w:val="18"/>
          <w:szCs w:val="18"/>
        </w:rPr>
        <w:t>、债券投资业务</w:t>
      </w:r>
      <w:r w:rsidRPr="0096198E">
        <w:rPr>
          <w:rStyle w:val="a6"/>
          <w:rFonts w:ascii="Verdana" w:hAnsi="Verdana" w:hint="eastAsia"/>
          <w:b w:val="0"/>
          <w:color w:val="363636"/>
          <w:sz w:val="18"/>
          <w:szCs w:val="18"/>
        </w:rPr>
        <w:t xml:space="preserve"> </w:t>
      </w:r>
      <w:r w:rsidRPr="0096198E">
        <w:rPr>
          <w:rStyle w:val="a6"/>
          <w:rFonts w:ascii="Verdana" w:hAnsi="Verdana" w:hint="eastAsia"/>
          <w:b w:val="0"/>
          <w:color w:val="363636"/>
          <w:sz w:val="18"/>
          <w:szCs w:val="18"/>
        </w:rPr>
        <w:t>、现金资产业务</w:t>
      </w:r>
      <w:r w:rsidRPr="0096198E">
        <w:rPr>
          <w:rStyle w:val="a6"/>
          <w:rFonts w:ascii="Verdana" w:hAnsi="Verdana" w:hint="eastAsia"/>
          <w:b w:val="0"/>
          <w:color w:val="363636"/>
          <w:sz w:val="18"/>
          <w:szCs w:val="18"/>
        </w:rPr>
        <w:t xml:space="preserve"> </w:t>
      </w:r>
    </w:p>
    <w:p w:rsidR="00136B5C" w:rsidRDefault="00136B5C" w:rsidP="00136B5C">
      <w:pPr>
        <w:pStyle w:val="a5"/>
        <w:rPr>
          <w:rStyle w:val="a6"/>
          <w:rFonts w:ascii="Verdana" w:hAnsi="Verdana"/>
          <w:color w:val="363636"/>
          <w:sz w:val="18"/>
          <w:szCs w:val="18"/>
        </w:rPr>
      </w:pPr>
      <w:r w:rsidRPr="00136B5C">
        <w:rPr>
          <w:rStyle w:val="a6"/>
          <w:rFonts w:ascii="Verdana" w:hAnsi="Verdana" w:hint="eastAsia"/>
          <w:color w:val="363636"/>
          <w:sz w:val="18"/>
          <w:szCs w:val="18"/>
        </w:rPr>
        <w:t>3</w:t>
      </w:r>
      <w:r w:rsidRPr="00136B5C">
        <w:rPr>
          <w:rStyle w:val="a6"/>
          <w:rFonts w:ascii="Verdana" w:hAnsi="Verdana" w:hint="eastAsia"/>
          <w:color w:val="363636"/>
          <w:sz w:val="18"/>
          <w:szCs w:val="18"/>
        </w:rPr>
        <w:t>中间业务</w:t>
      </w:r>
      <w:r>
        <w:rPr>
          <w:rStyle w:val="a6"/>
          <w:rFonts w:ascii="Verdana" w:hAnsi="Verdana" w:hint="eastAsia"/>
          <w:color w:val="363636"/>
          <w:sz w:val="18"/>
          <w:szCs w:val="18"/>
        </w:rPr>
        <w:t xml:space="preserve"> </w:t>
      </w:r>
    </w:p>
    <w:p w:rsidR="00136B5C" w:rsidRPr="00136B5C" w:rsidRDefault="00136B5C" w:rsidP="00136B5C">
      <w:pPr>
        <w:pStyle w:val="a5"/>
        <w:rPr>
          <w:rStyle w:val="a6"/>
          <w:rFonts w:ascii="Verdana" w:hAnsi="Verdana"/>
          <w:b w:val="0"/>
          <w:bCs w:val="0"/>
          <w:color w:val="363636"/>
          <w:sz w:val="18"/>
          <w:szCs w:val="18"/>
        </w:rPr>
      </w:pPr>
      <w:r w:rsidRPr="0096198E">
        <w:rPr>
          <w:rStyle w:val="a6"/>
          <w:rFonts w:ascii="Verdana" w:hAnsi="Verdana" w:hint="eastAsia"/>
          <w:b w:val="0"/>
          <w:color w:val="363636"/>
          <w:sz w:val="18"/>
          <w:szCs w:val="18"/>
        </w:rPr>
        <w:t>交易业务</w:t>
      </w:r>
      <w:r w:rsidRPr="0096198E">
        <w:rPr>
          <w:rStyle w:val="a6"/>
          <w:rFonts w:ascii="Verdana" w:hAnsi="Verdana" w:hint="eastAsia"/>
          <w:b w:val="0"/>
          <w:color w:val="363636"/>
          <w:sz w:val="18"/>
          <w:szCs w:val="18"/>
        </w:rPr>
        <w:t xml:space="preserve"> </w:t>
      </w:r>
      <w:r>
        <w:rPr>
          <w:rStyle w:val="a6"/>
          <w:rFonts w:ascii="Verdana" w:hAnsi="Verdana" w:hint="eastAsia"/>
          <w:color w:val="363636"/>
          <w:sz w:val="18"/>
          <w:szCs w:val="18"/>
        </w:rPr>
        <w:t>、</w:t>
      </w:r>
      <w:r>
        <w:rPr>
          <w:rFonts w:ascii="Verdana" w:hAnsi="Verdana"/>
          <w:color w:val="363636"/>
          <w:sz w:val="18"/>
          <w:szCs w:val="18"/>
        </w:rPr>
        <w:t>清算业务</w:t>
      </w:r>
      <w:r>
        <w:rPr>
          <w:rFonts w:ascii="Verdana" w:hAnsi="Verdana"/>
          <w:color w:val="363636"/>
          <w:sz w:val="18"/>
          <w:szCs w:val="18"/>
        </w:rPr>
        <w:t xml:space="preserve"> </w:t>
      </w:r>
      <w:r>
        <w:rPr>
          <w:rFonts w:ascii="Verdana" w:hAnsi="Verdana" w:hint="eastAsia"/>
          <w:color w:val="363636"/>
          <w:sz w:val="18"/>
          <w:szCs w:val="18"/>
        </w:rPr>
        <w:t>、</w:t>
      </w:r>
      <w:r>
        <w:rPr>
          <w:rFonts w:ascii="Verdana" w:hAnsi="Verdana"/>
          <w:color w:val="363636"/>
          <w:sz w:val="18"/>
          <w:szCs w:val="18"/>
        </w:rPr>
        <w:t>支付结算业务</w:t>
      </w:r>
      <w:r>
        <w:rPr>
          <w:rFonts w:ascii="Verdana" w:hAnsi="Verdana"/>
          <w:color w:val="363636"/>
          <w:sz w:val="18"/>
          <w:szCs w:val="18"/>
        </w:rPr>
        <w:t xml:space="preserve"> </w:t>
      </w:r>
      <w:r>
        <w:rPr>
          <w:rFonts w:ascii="Verdana" w:hAnsi="Verdana" w:hint="eastAsia"/>
          <w:color w:val="363636"/>
          <w:sz w:val="18"/>
          <w:szCs w:val="18"/>
        </w:rPr>
        <w:t>、</w:t>
      </w:r>
      <w:r>
        <w:rPr>
          <w:rFonts w:ascii="Verdana" w:hAnsi="Verdana"/>
          <w:color w:val="363636"/>
          <w:sz w:val="18"/>
          <w:szCs w:val="18"/>
        </w:rPr>
        <w:t>银行卡业务</w:t>
      </w:r>
      <w:r>
        <w:rPr>
          <w:rFonts w:ascii="Verdana" w:hAnsi="Verdana"/>
          <w:color w:val="363636"/>
          <w:sz w:val="18"/>
          <w:szCs w:val="18"/>
        </w:rPr>
        <w:t xml:space="preserve"> </w:t>
      </w:r>
      <w:r>
        <w:rPr>
          <w:rFonts w:ascii="Verdana" w:hAnsi="Verdana" w:hint="eastAsia"/>
          <w:color w:val="363636"/>
          <w:sz w:val="18"/>
          <w:szCs w:val="18"/>
        </w:rPr>
        <w:t>、</w:t>
      </w:r>
      <w:r>
        <w:rPr>
          <w:rFonts w:ascii="Verdana" w:hAnsi="Verdana"/>
          <w:color w:val="363636"/>
          <w:sz w:val="18"/>
          <w:szCs w:val="18"/>
        </w:rPr>
        <w:t>代理业务</w:t>
      </w:r>
      <w:r>
        <w:rPr>
          <w:rFonts w:ascii="Verdana" w:hAnsi="Verdana"/>
          <w:color w:val="363636"/>
          <w:sz w:val="18"/>
          <w:szCs w:val="18"/>
        </w:rPr>
        <w:t xml:space="preserve"> </w:t>
      </w:r>
      <w:r>
        <w:rPr>
          <w:rFonts w:ascii="Verdana" w:hAnsi="Verdana" w:hint="eastAsia"/>
          <w:color w:val="363636"/>
          <w:sz w:val="18"/>
          <w:szCs w:val="18"/>
        </w:rPr>
        <w:t>、</w:t>
      </w:r>
      <w:r>
        <w:rPr>
          <w:rFonts w:ascii="Verdana" w:hAnsi="Verdana"/>
          <w:color w:val="363636"/>
          <w:sz w:val="18"/>
          <w:szCs w:val="18"/>
        </w:rPr>
        <w:t>托管业务</w:t>
      </w:r>
      <w:r>
        <w:rPr>
          <w:rFonts w:ascii="Verdana" w:hAnsi="Verdana"/>
          <w:color w:val="363636"/>
          <w:sz w:val="18"/>
          <w:szCs w:val="18"/>
        </w:rPr>
        <w:t xml:space="preserve"> </w:t>
      </w:r>
      <w:r>
        <w:rPr>
          <w:rFonts w:ascii="Verdana" w:hAnsi="Verdana" w:hint="eastAsia"/>
          <w:color w:val="363636"/>
          <w:sz w:val="18"/>
          <w:szCs w:val="18"/>
        </w:rPr>
        <w:t>、</w:t>
      </w:r>
      <w:r>
        <w:rPr>
          <w:rFonts w:ascii="Verdana" w:hAnsi="Verdana"/>
          <w:color w:val="363636"/>
          <w:sz w:val="18"/>
          <w:szCs w:val="18"/>
        </w:rPr>
        <w:t>担保业务</w:t>
      </w:r>
      <w:r>
        <w:rPr>
          <w:rFonts w:ascii="Verdana" w:hAnsi="Verdana"/>
          <w:color w:val="363636"/>
          <w:sz w:val="18"/>
          <w:szCs w:val="18"/>
        </w:rPr>
        <w:t xml:space="preserve"> </w:t>
      </w:r>
      <w:r>
        <w:rPr>
          <w:rFonts w:ascii="Verdana" w:hAnsi="Verdana" w:hint="eastAsia"/>
          <w:color w:val="363636"/>
          <w:sz w:val="18"/>
          <w:szCs w:val="18"/>
        </w:rPr>
        <w:t>、</w:t>
      </w:r>
      <w:r>
        <w:rPr>
          <w:rFonts w:ascii="Verdana" w:hAnsi="Verdana"/>
          <w:color w:val="363636"/>
          <w:sz w:val="18"/>
          <w:szCs w:val="18"/>
        </w:rPr>
        <w:t>承诺业务</w:t>
      </w:r>
      <w:r>
        <w:rPr>
          <w:rFonts w:ascii="Verdana" w:hAnsi="Verdana"/>
          <w:color w:val="363636"/>
          <w:sz w:val="18"/>
          <w:szCs w:val="18"/>
        </w:rPr>
        <w:t xml:space="preserve"> </w:t>
      </w:r>
      <w:r>
        <w:rPr>
          <w:rFonts w:ascii="Verdana" w:hAnsi="Verdana" w:hint="eastAsia"/>
          <w:color w:val="363636"/>
          <w:sz w:val="18"/>
          <w:szCs w:val="18"/>
        </w:rPr>
        <w:t>、</w:t>
      </w:r>
      <w:hyperlink r:id="rId6" w:tgtFrame="_blank" w:history="1">
        <w:r>
          <w:rPr>
            <w:rFonts w:ascii="Verdana" w:hAnsi="Verdana"/>
            <w:color w:val="0000FF"/>
            <w:sz w:val="18"/>
            <w:szCs w:val="18"/>
          </w:rPr>
          <w:t>理财</w:t>
        </w:r>
      </w:hyperlink>
      <w:r>
        <w:rPr>
          <w:rFonts w:ascii="Verdana" w:hAnsi="Verdana"/>
          <w:color w:val="363636"/>
          <w:sz w:val="18"/>
          <w:szCs w:val="18"/>
        </w:rPr>
        <w:t>业务</w:t>
      </w:r>
      <w:r>
        <w:rPr>
          <w:rFonts w:ascii="Verdana" w:hAnsi="Verdana"/>
          <w:color w:val="363636"/>
          <w:sz w:val="18"/>
          <w:szCs w:val="18"/>
        </w:rPr>
        <w:t xml:space="preserve"> </w:t>
      </w:r>
      <w:r>
        <w:rPr>
          <w:rFonts w:ascii="Verdana" w:hAnsi="Verdana" w:hint="eastAsia"/>
          <w:color w:val="363636"/>
          <w:sz w:val="18"/>
          <w:szCs w:val="18"/>
        </w:rPr>
        <w:t>、</w:t>
      </w:r>
      <w:r>
        <w:rPr>
          <w:rFonts w:ascii="Verdana" w:hAnsi="Verdana"/>
          <w:color w:val="363636"/>
          <w:sz w:val="18"/>
          <w:szCs w:val="18"/>
        </w:rPr>
        <w:t>电子银行业务</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sidRPr="00136B5C">
        <w:rPr>
          <w:rFonts w:ascii="Verdana" w:hAnsi="Verdana"/>
          <w:color w:val="363636"/>
          <w:sz w:val="18"/>
          <w:szCs w:val="18"/>
          <w:highlight w:val="yellow"/>
        </w:rPr>
        <w:t>本章通过负债业务、资产业务和中间业务三大类对</w:t>
      </w:r>
      <w:hyperlink r:id="rId7" w:tgtFrame="_blank" w:history="1">
        <w:r w:rsidRPr="00136B5C">
          <w:rPr>
            <w:rFonts w:ascii="Verdana" w:hAnsi="Verdana"/>
            <w:color w:val="0000FF"/>
            <w:sz w:val="18"/>
            <w:szCs w:val="18"/>
            <w:highlight w:val="yellow"/>
          </w:rPr>
          <w:t>银行</w:t>
        </w:r>
      </w:hyperlink>
      <w:r w:rsidRPr="00136B5C">
        <w:rPr>
          <w:rFonts w:ascii="Verdana" w:hAnsi="Verdana"/>
          <w:color w:val="363636"/>
          <w:sz w:val="18"/>
          <w:szCs w:val="18"/>
          <w:highlight w:val="yellow"/>
        </w:rPr>
        <w:t>的主要业务进行介绍。</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负债业务是商业银行形成资金来源的业务，是商业银行资产业务和中间业务的重要基础。商业银行负债主要由存款和借款构成。存款包括人民币存款和外币存款两类，而借款包括短期借款和长期借款两大类。存款是商业银行最主要的资金来源，存款业务也是商业银行的传统业务。本章对银行负债业务的介绍主要针对存款业务。</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资产是银行过去的交易或事项形成的、由银行拥有或控制、预期会给银行带来经济利益的资源。商业银行的资产主要包括贷款、</w:t>
      </w:r>
      <w:hyperlink r:id="rId8" w:tgtFrame="_blank" w:history="1">
        <w:r w:rsidRPr="0096198E">
          <w:rPr>
            <w:rFonts w:ascii="Verdana" w:hAnsi="Verdana"/>
            <w:sz w:val="18"/>
            <w:szCs w:val="18"/>
          </w:rPr>
          <w:t>债券</w:t>
        </w:r>
      </w:hyperlink>
      <w:hyperlink r:id="rId9" w:tgtFrame="_blank" w:history="1">
        <w:r w:rsidRPr="0096198E">
          <w:rPr>
            <w:rFonts w:ascii="Verdana" w:hAnsi="Verdana"/>
            <w:sz w:val="18"/>
            <w:szCs w:val="18"/>
          </w:rPr>
          <w:t>投资</w:t>
        </w:r>
      </w:hyperlink>
      <w:r>
        <w:rPr>
          <w:rFonts w:ascii="Verdana" w:hAnsi="Verdana"/>
          <w:color w:val="363636"/>
          <w:sz w:val="18"/>
          <w:szCs w:val="18"/>
        </w:rPr>
        <w:t>和现金资产三大类。贷款是商业银行最主要的资产，也是最主要的资金运用。本章对银行资产业务的介绍主要针对贷款业务。</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中间业务是指不构成商业银行表内资产、表内负债，形成银行非利息收入的业务，包括交易业务、清算业务、支付结算业务、银行卡业务、代理业务、托管业务、担保业务、承诺业务、理财业务和电子银行业务等。</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本章包括负债、资产、中间业务三节内容。</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 xml:space="preserve">3.1 </w:t>
      </w:r>
      <w:r>
        <w:rPr>
          <w:rFonts w:ascii="Verdana" w:hAnsi="Verdana"/>
          <w:color w:val="363636"/>
          <w:sz w:val="18"/>
          <w:szCs w:val="18"/>
        </w:rPr>
        <w:t>负债业务</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商业银行的负债主要由存款和借款构成。</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存款包括人民币存款和外币存款两大类。</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人民币存款：又分为个人存款、单位存款和同业存款，外币存款又分为个人</w:t>
      </w:r>
      <w:hyperlink r:id="rId10" w:tgtFrame="_blank" w:history="1">
        <w:r>
          <w:rPr>
            <w:rFonts w:ascii="Verdana" w:hAnsi="Verdana"/>
            <w:color w:val="0000FF"/>
            <w:sz w:val="18"/>
            <w:szCs w:val="18"/>
          </w:rPr>
          <w:t>外汇</w:t>
        </w:r>
      </w:hyperlink>
      <w:r>
        <w:rPr>
          <w:rFonts w:ascii="Verdana" w:hAnsi="Verdana"/>
          <w:color w:val="363636"/>
          <w:sz w:val="18"/>
          <w:szCs w:val="18"/>
        </w:rPr>
        <w:t>存款和机构外汇存款。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借款：包括短期借款和长期借款两大类。短期借款是指期限在一年或一年以下的借款。主要包括同业拆借、</w:t>
      </w:r>
      <w:hyperlink r:id="rId11" w:tgtFrame="_blank" w:history="1">
        <w:r>
          <w:rPr>
            <w:rFonts w:ascii="Verdana" w:hAnsi="Verdana"/>
            <w:color w:val="0000FF"/>
            <w:sz w:val="18"/>
            <w:szCs w:val="18"/>
          </w:rPr>
          <w:t>证券</w:t>
        </w:r>
      </w:hyperlink>
      <w:r>
        <w:rPr>
          <w:rFonts w:ascii="Verdana" w:hAnsi="Verdana"/>
          <w:color w:val="363636"/>
          <w:sz w:val="18"/>
          <w:szCs w:val="18"/>
        </w:rPr>
        <w:t>回购协议和向中央银行借款等。长期借款是指期限在一年以上的借款，一般采用发行金融债券</w:t>
      </w:r>
      <w:r>
        <w:rPr>
          <w:rFonts w:ascii="Verdana" w:hAnsi="Verdana"/>
          <w:color w:val="363636"/>
          <w:sz w:val="18"/>
          <w:szCs w:val="18"/>
        </w:rPr>
        <w:lastRenderedPageBreak/>
        <w:t>的形式，具体包括发行普通金融债券、次级金融债券、混合资本债券、可转换债券等。</w:t>
      </w:r>
      <w:r>
        <w:rPr>
          <w:rFonts w:ascii="Verdana" w:hAnsi="Verdana"/>
          <w:color w:val="363636"/>
          <w:sz w:val="18"/>
          <w:szCs w:val="18"/>
        </w:rPr>
        <w:t xml:space="preserve"> </w:t>
      </w:r>
      <w:r>
        <w:rPr>
          <w:rFonts w:ascii="Verdana" w:hAnsi="Verdana"/>
          <w:noProof/>
          <w:color w:val="363636"/>
          <w:sz w:val="18"/>
          <w:szCs w:val="18"/>
        </w:rPr>
        <w:drawing>
          <wp:inline distT="0" distB="0" distL="0" distR="0">
            <wp:extent cx="5705475" cy="3343275"/>
            <wp:effectExtent l="19050" t="0" r="9525" b="0"/>
            <wp:docPr id="1" name="图片 1" descr="http://image.chinaacc.com/upload/html/2011/6/13/lihong3366201161311545635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chinaacc.com/upload/html/2011/6/13/lihong3366201161311545635895.jpg"/>
                    <pic:cNvPicPr>
                      <a:picLocks noChangeAspect="1" noChangeArrowheads="1"/>
                    </pic:cNvPicPr>
                  </pic:nvPicPr>
                  <pic:blipFill>
                    <a:blip r:embed="rId12"/>
                    <a:srcRect/>
                    <a:stretch>
                      <a:fillRect/>
                    </a:stretch>
                  </pic:blipFill>
                  <pic:spPr bwMode="auto">
                    <a:xfrm>
                      <a:off x="0" y="0"/>
                      <a:ext cx="5705475" cy="3343275"/>
                    </a:xfrm>
                    <a:prstGeom prst="rect">
                      <a:avLst/>
                    </a:prstGeom>
                    <a:noFill/>
                    <a:ln w="9525">
                      <a:noFill/>
                      <a:miter lim="800000"/>
                      <a:headEnd/>
                      <a:tailEnd/>
                    </a:ln>
                  </pic:spPr>
                </pic:pic>
              </a:graphicData>
            </a:graphic>
          </wp:inline>
        </w:drawing>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存款是银行对存款人的负债，是银行最主要的资金来源。存款业务是银行的传统业务。</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我国商业银行的存款包括人民币存款和外币存款两大类。人民币存款又分为个人存款、单位存款和同业存款。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Style w:val="a6"/>
          <w:rFonts w:ascii="Verdana" w:hAnsi="Verdana" w:hint="eastAsia"/>
          <w:color w:val="363636"/>
          <w:sz w:val="18"/>
          <w:szCs w:val="18"/>
        </w:rPr>
        <w:t>存款业务细讲</w:t>
      </w:r>
      <w:r>
        <w:rPr>
          <w:rStyle w:val="a6"/>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1.</w:t>
      </w:r>
      <w:r>
        <w:rPr>
          <w:rFonts w:ascii="Verdana" w:hAnsi="Verdana"/>
          <w:color w:val="363636"/>
          <w:sz w:val="18"/>
          <w:szCs w:val="18"/>
        </w:rPr>
        <w:t>个人存款业务</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个人存款又叫储蓄存款。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办理储蓄业务，应当遵循</w:t>
      </w:r>
      <w:r>
        <w:rPr>
          <w:rFonts w:ascii="Verdana" w:hAnsi="Verdana"/>
          <w:color w:val="363636"/>
          <w:sz w:val="18"/>
          <w:szCs w:val="18"/>
        </w:rPr>
        <w:t>“</w:t>
      </w:r>
      <w:r>
        <w:rPr>
          <w:rFonts w:ascii="Verdana" w:hAnsi="Verdana"/>
          <w:color w:val="363636"/>
          <w:sz w:val="18"/>
          <w:szCs w:val="18"/>
        </w:rPr>
        <w:t>存款自愿、取款自由、存款有息、为存款人保密</w:t>
      </w:r>
      <w:r>
        <w:rPr>
          <w:rFonts w:ascii="Verdana" w:hAnsi="Verdana"/>
          <w:color w:val="363636"/>
          <w:sz w:val="18"/>
          <w:szCs w:val="18"/>
        </w:rPr>
        <w:t>”</w:t>
      </w:r>
      <w:r>
        <w:rPr>
          <w:rFonts w:ascii="Verdana" w:hAnsi="Verdana"/>
          <w:color w:val="363636"/>
          <w:sz w:val="18"/>
          <w:szCs w:val="18"/>
        </w:rPr>
        <w:t>的原则</w:t>
      </w:r>
      <w:r>
        <w:rPr>
          <w:rFonts w:ascii="Verdana" w:hAnsi="Verdana"/>
          <w:color w:val="363636"/>
          <w:sz w:val="18"/>
          <w:szCs w:val="18"/>
        </w:rPr>
        <w:t>(18</w:t>
      </w:r>
      <w:r>
        <w:rPr>
          <w:rFonts w:ascii="Verdana" w:hAnsi="Verdana"/>
          <w:color w:val="363636"/>
          <w:sz w:val="18"/>
          <w:szCs w:val="18"/>
        </w:rPr>
        <w:t>字原则</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自</w:t>
      </w:r>
      <w:r>
        <w:rPr>
          <w:rFonts w:ascii="Verdana" w:hAnsi="Verdana"/>
          <w:color w:val="363636"/>
          <w:sz w:val="18"/>
          <w:szCs w:val="18"/>
        </w:rPr>
        <w:t>2000</w:t>
      </w:r>
      <w:r>
        <w:rPr>
          <w:rFonts w:ascii="Verdana" w:hAnsi="Verdana"/>
          <w:color w:val="363636"/>
          <w:sz w:val="18"/>
          <w:szCs w:val="18"/>
        </w:rPr>
        <w:t>年</w:t>
      </w:r>
      <w:r>
        <w:rPr>
          <w:rFonts w:ascii="Verdana" w:hAnsi="Verdana"/>
          <w:color w:val="363636"/>
          <w:sz w:val="18"/>
          <w:szCs w:val="18"/>
        </w:rPr>
        <w:t>4</w:t>
      </w:r>
      <w:r>
        <w:rPr>
          <w:rFonts w:ascii="Verdana" w:hAnsi="Verdana"/>
          <w:color w:val="363636"/>
          <w:sz w:val="18"/>
          <w:szCs w:val="18"/>
        </w:rPr>
        <w:t>月</w:t>
      </w:r>
      <w:r>
        <w:rPr>
          <w:rFonts w:ascii="Verdana" w:hAnsi="Verdana"/>
          <w:color w:val="363636"/>
          <w:sz w:val="18"/>
          <w:szCs w:val="18"/>
        </w:rPr>
        <w:t>1</w:t>
      </w:r>
      <w:r>
        <w:rPr>
          <w:rFonts w:ascii="Verdana" w:hAnsi="Verdana"/>
          <w:color w:val="363636"/>
          <w:sz w:val="18"/>
          <w:szCs w:val="18"/>
        </w:rPr>
        <w:t>日起，个人在</w:t>
      </w:r>
      <w:hyperlink r:id="rId13" w:tgtFrame="_blank" w:history="1">
        <w:r>
          <w:rPr>
            <w:rFonts w:ascii="Verdana" w:hAnsi="Verdana"/>
            <w:color w:val="0000FF"/>
            <w:sz w:val="18"/>
            <w:szCs w:val="18"/>
          </w:rPr>
          <w:t>金融</w:t>
        </w:r>
      </w:hyperlink>
      <w:r>
        <w:rPr>
          <w:rFonts w:ascii="Verdana" w:hAnsi="Verdana"/>
          <w:color w:val="363636"/>
          <w:sz w:val="18"/>
          <w:szCs w:val="18"/>
        </w:rPr>
        <w:t>机构开立个人存款账户时，实行实名制。</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(1)</w:t>
      </w:r>
      <w:r>
        <w:rPr>
          <w:rFonts w:ascii="Verdana" w:hAnsi="Verdana"/>
          <w:color w:val="363636"/>
          <w:sz w:val="18"/>
          <w:szCs w:val="18"/>
        </w:rPr>
        <w:t>活期存款的主要规定</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活期存款是指不规定存款期限，客户可以随时存取的存款。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客户凭存折或</w:t>
      </w:r>
      <w:hyperlink r:id="rId14" w:tgtFrame="_blank" w:history="1">
        <w:r>
          <w:rPr>
            <w:rFonts w:ascii="Verdana" w:hAnsi="Verdana"/>
            <w:color w:val="0000FF"/>
            <w:sz w:val="18"/>
            <w:szCs w:val="18"/>
          </w:rPr>
          <w:t>银行</w:t>
        </w:r>
      </w:hyperlink>
      <w:r>
        <w:rPr>
          <w:rFonts w:ascii="Verdana" w:hAnsi="Verdana"/>
          <w:color w:val="363636"/>
          <w:sz w:val="18"/>
          <w:szCs w:val="18"/>
        </w:rPr>
        <w:t>卡及预留密码可在银行营业时间内通过银行柜面或通过银行自助设备随时存取现金。</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活期存款通常</w:t>
      </w:r>
      <w:r>
        <w:rPr>
          <w:rFonts w:ascii="Verdana" w:hAnsi="Verdana"/>
          <w:color w:val="363636"/>
          <w:sz w:val="18"/>
          <w:szCs w:val="18"/>
        </w:rPr>
        <w:t>1</w:t>
      </w:r>
      <w:r>
        <w:rPr>
          <w:rFonts w:ascii="Verdana" w:hAnsi="Verdana"/>
          <w:color w:val="363636"/>
          <w:sz w:val="18"/>
          <w:szCs w:val="18"/>
        </w:rPr>
        <w:t>元起存，部分银行的客户可凭存折或银行卡在全国各网点通存通兑。</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①</w:t>
      </w:r>
      <w:r>
        <w:rPr>
          <w:rFonts w:ascii="Verdana" w:hAnsi="Verdana"/>
          <w:color w:val="363636"/>
          <w:sz w:val="18"/>
          <w:szCs w:val="18"/>
        </w:rPr>
        <w:t>计息金额</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lastRenderedPageBreak/>
        <w:t xml:space="preserve">　　存款的计息起点为元，元以下角分不计利息。利息金额算至分位，分以下尾数四舍五入。分段计息算至厘位，合计利息后分以下四舍五入。除活期存款在每季结息日时将利息计入本金作为下季的本金计算复利外，其他存款不论存期多长，一律不计复利。</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②</w:t>
      </w:r>
      <w:r>
        <w:rPr>
          <w:rFonts w:ascii="Verdana" w:hAnsi="Verdana"/>
          <w:color w:val="363636"/>
          <w:sz w:val="18"/>
          <w:szCs w:val="18"/>
        </w:rPr>
        <w:t>计息时间</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从</w:t>
      </w:r>
      <w:r>
        <w:rPr>
          <w:rFonts w:ascii="Verdana" w:hAnsi="Verdana"/>
          <w:color w:val="363636"/>
          <w:sz w:val="18"/>
          <w:szCs w:val="18"/>
        </w:rPr>
        <w:t>2005</w:t>
      </w:r>
      <w:r>
        <w:rPr>
          <w:rFonts w:ascii="Verdana" w:hAnsi="Verdana"/>
          <w:color w:val="363636"/>
          <w:sz w:val="18"/>
          <w:szCs w:val="18"/>
        </w:rPr>
        <w:t>年</w:t>
      </w:r>
      <w:r>
        <w:rPr>
          <w:rFonts w:ascii="Verdana" w:hAnsi="Verdana"/>
          <w:color w:val="363636"/>
          <w:sz w:val="18"/>
          <w:szCs w:val="18"/>
        </w:rPr>
        <w:t>9</w:t>
      </w:r>
      <w:r>
        <w:rPr>
          <w:rFonts w:ascii="Verdana" w:hAnsi="Verdana"/>
          <w:color w:val="363636"/>
          <w:sz w:val="18"/>
          <w:szCs w:val="18"/>
        </w:rPr>
        <w:t>月</w:t>
      </w:r>
      <w:r>
        <w:rPr>
          <w:rFonts w:ascii="Verdana" w:hAnsi="Verdana"/>
          <w:color w:val="363636"/>
          <w:sz w:val="18"/>
          <w:szCs w:val="18"/>
        </w:rPr>
        <w:t>21</w:t>
      </w:r>
      <w:r>
        <w:rPr>
          <w:rFonts w:ascii="Verdana" w:hAnsi="Verdana"/>
          <w:color w:val="363636"/>
          <w:sz w:val="18"/>
          <w:szCs w:val="18"/>
        </w:rPr>
        <w:t>日起，我国对活期存款实行按季度结息，每季度末月的</w:t>
      </w:r>
      <w:r>
        <w:rPr>
          <w:rFonts w:ascii="Verdana" w:hAnsi="Verdana"/>
          <w:color w:val="363636"/>
          <w:sz w:val="18"/>
          <w:szCs w:val="18"/>
        </w:rPr>
        <w:t>20</w:t>
      </w:r>
      <w:r>
        <w:rPr>
          <w:rFonts w:ascii="Verdana" w:hAnsi="Verdana"/>
          <w:color w:val="363636"/>
          <w:sz w:val="18"/>
          <w:szCs w:val="18"/>
        </w:rPr>
        <w:t>日为结息日，次日付息。</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③</w:t>
      </w:r>
      <w:r>
        <w:rPr>
          <w:rFonts w:ascii="Verdana" w:hAnsi="Verdana"/>
          <w:color w:val="363636"/>
          <w:sz w:val="18"/>
          <w:szCs w:val="18"/>
        </w:rPr>
        <w:t>计息方式</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除年按</w:t>
      </w:r>
      <w:r>
        <w:rPr>
          <w:rFonts w:ascii="Verdana" w:hAnsi="Verdana"/>
          <w:color w:val="363636"/>
          <w:sz w:val="18"/>
          <w:szCs w:val="18"/>
        </w:rPr>
        <w:t>360</w:t>
      </w:r>
      <w:r>
        <w:rPr>
          <w:rFonts w:ascii="Verdana" w:hAnsi="Verdana"/>
          <w:color w:val="363636"/>
          <w:sz w:val="18"/>
          <w:szCs w:val="18"/>
        </w:rPr>
        <w:t>、按月</w:t>
      </w:r>
      <w:r>
        <w:rPr>
          <w:rFonts w:ascii="Verdana" w:hAnsi="Verdana"/>
          <w:color w:val="363636"/>
          <w:sz w:val="18"/>
          <w:szCs w:val="18"/>
        </w:rPr>
        <w:t>30</w:t>
      </w:r>
      <w:r>
        <w:rPr>
          <w:rFonts w:ascii="Verdana" w:hAnsi="Verdana"/>
          <w:color w:val="363636"/>
          <w:sz w:val="18"/>
          <w:szCs w:val="18"/>
        </w:rPr>
        <w:t>天计息期外，也可按实际天数计算利息，即每年为</w:t>
      </w:r>
      <w:r>
        <w:rPr>
          <w:rFonts w:ascii="Verdana" w:hAnsi="Verdana"/>
          <w:color w:val="363636"/>
          <w:sz w:val="18"/>
          <w:szCs w:val="18"/>
        </w:rPr>
        <w:t>365</w:t>
      </w:r>
      <w:r>
        <w:rPr>
          <w:rFonts w:ascii="Verdana" w:hAnsi="Verdana"/>
          <w:color w:val="363636"/>
          <w:sz w:val="18"/>
          <w:szCs w:val="18"/>
        </w:rPr>
        <w:t>天</w:t>
      </w:r>
      <w:r>
        <w:rPr>
          <w:rFonts w:ascii="Verdana" w:hAnsi="Verdana"/>
          <w:color w:val="363636"/>
          <w:sz w:val="18"/>
          <w:szCs w:val="18"/>
        </w:rPr>
        <w:t>(</w:t>
      </w:r>
      <w:r>
        <w:rPr>
          <w:rFonts w:ascii="Verdana" w:hAnsi="Verdana"/>
          <w:color w:val="363636"/>
          <w:sz w:val="18"/>
          <w:szCs w:val="18"/>
        </w:rPr>
        <w:t>闰年为</w:t>
      </w:r>
      <w:r>
        <w:rPr>
          <w:rFonts w:ascii="Verdana" w:hAnsi="Verdana"/>
          <w:color w:val="363636"/>
          <w:sz w:val="18"/>
          <w:szCs w:val="18"/>
        </w:rPr>
        <w:t>366</w:t>
      </w:r>
      <w:r>
        <w:rPr>
          <w:rFonts w:ascii="Verdana" w:hAnsi="Verdana"/>
          <w:color w:val="363636"/>
          <w:sz w:val="18"/>
          <w:szCs w:val="18"/>
        </w:rPr>
        <w:t>天</w:t>
      </w:r>
      <w:r>
        <w:rPr>
          <w:rFonts w:ascii="Verdana" w:hAnsi="Verdana"/>
          <w:color w:val="363636"/>
          <w:sz w:val="18"/>
          <w:szCs w:val="18"/>
        </w:rPr>
        <w:t>)</w:t>
      </w:r>
      <w:r>
        <w:rPr>
          <w:rFonts w:ascii="Verdana" w:hAnsi="Verdana"/>
          <w:color w:val="363636"/>
          <w:sz w:val="18"/>
          <w:szCs w:val="18"/>
        </w:rPr>
        <w:t>，每月为当月公历的实际天数。</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中国人民银行将计结息方式选择权下放到银行，意味着对于同一存款种类，各家银行之间将会出现计息方式的差异，从而使储户的最终利息收入并不相同。</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人民币存款计息的通用公式：</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利息</w:t>
      </w:r>
      <w:r>
        <w:rPr>
          <w:rFonts w:ascii="Verdana" w:hAnsi="Verdana"/>
          <w:color w:val="363636"/>
          <w:sz w:val="18"/>
          <w:szCs w:val="18"/>
        </w:rPr>
        <w:t>=</w:t>
      </w:r>
      <w:r>
        <w:rPr>
          <w:rFonts w:ascii="Verdana" w:hAnsi="Verdana"/>
          <w:color w:val="363636"/>
          <w:sz w:val="18"/>
          <w:szCs w:val="18"/>
        </w:rPr>
        <w:t>本金</w:t>
      </w:r>
      <w:r>
        <w:rPr>
          <w:rFonts w:ascii="Verdana" w:hAnsi="Verdana"/>
          <w:color w:val="363636"/>
          <w:sz w:val="18"/>
          <w:szCs w:val="18"/>
        </w:rPr>
        <w:t>×</w:t>
      </w:r>
      <w:r>
        <w:rPr>
          <w:rFonts w:ascii="Verdana" w:hAnsi="Verdana"/>
          <w:color w:val="363636"/>
          <w:sz w:val="18"/>
          <w:szCs w:val="18"/>
        </w:rPr>
        <w:t>利率</w:t>
      </w:r>
      <w:r>
        <w:rPr>
          <w:rFonts w:ascii="Verdana" w:hAnsi="Verdana"/>
          <w:color w:val="363636"/>
          <w:sz w:val="18"/>
          <w:szCs w:val="18"/>
        </w:rPr>
        <w:t>(</w:t>
      </w:r>
      <w:r>
        <w:rPr>
          <w:rFonts w:ascii="Verdana" w:hAnsi="Verdana"/>
          <w:color w:val="363636"/>
          <w:sz w:val="18"/>
          <w:szCs w:val="18"/>
        </w:rPr>
        <w:t>年或月或日</w:t>
      </w:r>
      <w:r>
        <w:rPr>
          <w:rFonts w:ascii="Verdana" w:hAnsi="Verdana"/>
          <w:color w:val="363636"/>
          <w:sz w:val="18"/>
          <w:szCs w:val="18"/>
        </w:rPr>
        <w:t>)×</w:t>
      </w:r>
      <w:r>
        <w:rPr>
          <w:rFonts w:ascii="Verdana" w:hAnsi="Verdana"/>
          <w:color w:val="363636"/>
          <w:sz w:val="18"/>
          <w:szCs w:val="18"/>
        </w:rPr>
        <w:t>时间</w:t>
      </w:r>
      <w:r>
        <w:rPr>
          <w:rFonts w:ascii="Verdana" w:hAnsi="Verdana"/>
          <w:color w:val="363636"/>
          <w:sz w:val="18"/>
          <w:szCs w:val="18"/>
        </w:rPr>
        <w:t>(</w:t>
      </w:r>
      <w:r>
        <w:rPr>
          <w:rFonts w:ascii="Verdana" w:hAnsi="Verdana"/>
          <w:color w:val="363636"/>
          <w:sz w:val="18"/>
          <w:szCs w:val="18"/>
        </w:rPr>
        <w:t>年或月或日</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人民币存款利率的换算公式：</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日利率</w:t>
      </w:r>
      <w:r>
        <w:rPr>
          <w:rFonts w:ascii="Verdana" w:hAnsi="Verdana"/>
          <w:color w:val="363636"/>
          <w:sz w:val="18"/>
          <w:szCs w:val="18"/>
        </w:rPr>
        <w:t>(‰0)=</w:t>
      </w:r>
      <w:r>
        <w:rPr>
          <w:rFonts w:ascii="Verdana" w:hAnsi="Verdana"/>
          <w:color w:val="363636"/>
          <w:sz w:val="18"/>
          <w:szCs w:val="18"/>
        </w:rPr>
        <w:t>年利率</w:t>
      </w:r>
      <w:r>
        <w:rPr>
          <w:rFonts w:ascii="Verdana" w:hAnsi="Verdana"/>
          <w:color w:val="363636"/>
          <w:sz w:val="18"/>
          <w:szCs w:val="18"/>
        </w:rPr>
        <w:t>(%)÷360</w:t>
      </w:r>
      <w:r>
        <w:rPr>
          <w:rFonts w:ascii="Verdana" w:hAnsi="Verdana"/>
          <w:color w:val="363636"/>
          <w:sz w:val="18"/>
          <w:szCs w:val="18"/>
        </w:rPr>
        <w:t>，月利率</w:t>
      </w:r>
      <w:r>
        <w:rPr>
          <w:rFonts w:ascii="Verdana" w:hAnsi="Verdana"/>
          <w:color w:val="363636"/>
          <w:sz w:val="18"/>
          <w:szCs w:val="18"/>
        </w:rPr>
        <w:t>(‰)=</w:t>
      </w:r>
      <w:r>
        <w:rPr>
          <w:rFonts w:ascii="Verdana" w:hAnsi="Verdana"/>
          <w:color w:val="363636"/>
          <w:sz w:val="18"/>
          <w:szCs w:val="18"/>
        </w:rPr>
        <w:t>年利率</w:t>
      </w:r>
      <w:r>
        <w:rPr>
          <w:rFonts w:ascii="Verdana" w:hAnsi="Verdana"/>
          <w:color w:val="363636"/>
          <w:sz w:val="18"/>
          <w:szCs w:val="18"/>
        </w:rPr>
        <w:t xml:space="preserve">(%)÷12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积数计息法：按实际天数每日累计帐户余额，以累计积数乘以日利率计算利息。目前，各家银行多使用积数计息法计算活期存款利息。</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计算公式为：利息</w:t>
      </w:r>
      <w:r>
        <w:rPr>
          <w:rFonts w:ascii="Verdana" w:hAnsi="Verdana"/>
          <w:color w:val="363636"/>
          <w:sz w:val="18"/>
          <w:szCs w:val="18"/>
        </w:rPr>
        <w:t>=</w:t>
      </w:r>
      <w:r>
        <w:rPr>
          <w:rFonts w:ascii="Verdana" w:hAnsi="Verdana"/>
          <w:color w:val="363636"/>
          <w:sz w:val="18"/>
          <w:szCs w:val="18"/>
        </w:rPr>
        <w:t>累计计息积数</w:t>
      </w:r>
      <w:r>
        <w:rPr>
          <w:rFonts w:ascii="Verdana" w:hAnsi="Verdana"/>
          <w:color w:val="363636"/>
          <w:sz w:val="18"/>
          <w:szCs w:val="18"/>
        </w:rPr>
        <w:t>×</w:t>
      </w:r>
      <w:r>
        <w:rPr>
          <w:rFonts w:ascii="Verdana" w:hAnsi="Verdana"/>
          <w:color w:val="363636"/>
          <w:sz w:val="18"/>
          <w:szCs w:val="18"/>
        </w:rPr>
        <w:t>日利率</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其中，累计计息积数</w:t>
      </w:r>
      <w:r>
        <w:rPr>
          <w:rFonts w:ascii="Verdana" w:hAnsi="Verdana"/>
          <w:color w:val="363636"/>
          <w:sz w:val="18"/>
          <w:szCs w:val="18"/>
        </w:rPr>
        <w:t>=</w:t>
      </w:r>
      <w:r>
        <w:rPr>
          <w:rFonts w:ascii="Verdana" w:hAnsi="Verdana"/>
          <w:color w:val="363636"/>
          <w:sz w:val="18"/>
          <w:szCs w:val="18"/>
        </w:rPr>
        <w:t>每日余额合计数</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逐笔计息法：按预先确定的计息公式逐笔计算利息。目前，各家银行多使用逐笔计息法计算整存整取定期存款利息。</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计息期为整年</w:t>
      </w:r>
      <w:r>
        <w:rPr>
          <w:rFonts w:ascii="Verdana" w:hAnsi="Verdana"/>
          <w:color w:val="363636"/>
          <w:sz w:val="18"/>
          <w:szCs w:val="18"/>
        </w:rPr>
        <w:t>(</w:t>
      </w:r>
      <w:r>
        <w:rPr>
          <w:rFonts w:ascii="Verdana" w:hAnsi="Verdana"/>
          <w:color w:val="363636"/>
          <w:sz w:val="18"/>
          <w:szCs w:val="18"/>
        </w:rPr>
        <w:t>月</w:t>
      </w:r>
      <w:r>
        <w:rPr>
          <w:rFonts w:ascii="Verdana" w:hAnsi="Verdana"/>
          <w:color w:val="363636"/>
          <w:sz w:val="18"/>
          <w:szCs w:val="18"/>
        </w:rPr>
        <w:t>)</w:t>
      </w:r>
      <w:r>
        <w:rPr>
          <w:rFonts w:ascii="Verdana" w:hAnsi="Verdana"/>
          <w:color w:val="363636"/>
          <w:sz w:val="18"/>
          <w:szCs w:val="18"/>
        </w:rPr>
        <w:t>的，计息公式为：</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利息</w:t>
      </w:r>
      <w:r>
        <w:rPr>
          <w:rFonts w:ascii="Verdana" w:hAnsi="Verdana"/>
          <w:color w:val="363636"/>
          <w:sz w:val="18"/>
          <w:szCs w:val="18"/>
        </w:rPr>
        <w:t>=</w:t>
      </w:r>
      <w:r>
        <w:rPr>
          <w:rFonts w:ascii="Verdana" w:hAnsi="Verdana"/>
          <w:color w:val="363636"/>
          <w:sz w:val="18"/>
          <w:szCs w:val="18"/>
        </w:rPr>
        <w:t>本金</w:t>
      </w:r>
      <w:r>
        <w:rPr>
          <w:rFonts w:ascii="Verdana" w:hAnsi="Verdana"/>
          <w:color w:val="363636"/>
          <w:sz w:val="18"/>
          <w:szCs w:val="18"/>
        </w:rPr>
        <w:t>×</w:t>
      </w:r>
      <w:r>
        <w:rPr>
          <w:rFonts w:ascii="Verdana" w:hAnsi="Verdana"/>
          <w:color w:val="363636"/>
          <w:sz w:val="18"/>
          <w:szCs w:val="18"/>
        </w:rPr>
        <w:t>年</w:t>
      </w:r>
      <w:r>
        <w:rPr>
          <w:rFonts w:ascii="Verdana" w:hAnsi="Verdana"/>
          <w:color w:val="363636"/>
          <w:sz w:val="18"/>
          <w:szCs w:val="18"/>
        </w:rPr>
        <w:t>(</w:t>
      </w:r>
      <w:r>
        <w:rPr>
          <w:rFonts w:ascii="Verdana" w:hAnsi="Verdana"/>
          <w:color w:val="363636"/>
          <w:sz w:val="18"/>
          <w:szCs w:val="18"/>
        </w:rPr>
        <w:t>月</w:t>
      </w:r>
      <w:r>
        <w:rPr>
          <w:rFonts w:ascii="Verdana" w:hAnsi="Verdana"/>
          <w:color w:val="363636"/>
          <w:sz w:val="18"/>
          <w:szCs w:val="18"/>
        </w:rPr>
        <w:t>)</w:t>
      </w:r>
      <w:r>
        <w:rPr>
          <w:rFonts w:ascii="Verdana" w:hAnsi="Verdana"/>
          <w:color w:val="363636"/>
          <w:sz w:val="18"/>
          <w:szCs w:val="18"/>
        </w:rPr>
        <w:t>数</w:t>
      </w:r>
      <w:r>
        <w:rPr>
          <w:rFonts w:ascii="Verdana" w:hAnsi="Verdana"/>
          <w:color w:val="363636"/>
          <w:sz w:val="18"/>
          <w:szCs w:val="18"/>
        </w:rPr>
        <w:t>×</w:t>
      </w:r>
      <w:r>
        <w:rPr>
          <w:rFonts w:ascii="Verdana" w:hAnsi="Verdana"/>
          <w:color w:val="363636"/>
          <w:sz w:val="18"/>
          <w:szCs w:val="18"/>
        </w:rPr>
        <w:t>年</w:t>
      </w:r>
      <w:r>
        <w:rPr>
          <w:rFonts w:ascii="Verdana" w:hAnsi="Verdana"/>
          <w:color w:val="363636"/>
          <w:sz w:val="18"/>
          <w:szCs w:val="18"/>
        </w:rPr>
        <w:t>(</w:t>
      </w:r>
      <w:r>
        <w:rPr>
          <w:rFonts w:ascii="Verdana" w:hAnsi="Verdana"/>
          <w:color w:val="363636"/>
          <w:sz w:val="18"/>
          <w:szCs w:val="18"/>
        </w:rPr>
        <w:t>月</w:t>
      </w:r>
      <w:r>
        <w:rPr>
          <w:rFonts w:ascii="Verdana" w:hAnsi="Verdana"/>
          <w:color w:val="363636"/>
          <w:sz w:val="18"/>
          <w:szCs w:val="18"/>
        </w:rPr>
        <w:t>)</w:t>
      </w:r>
      <w:r>
        <w:rPr>
          <w:rFonts w:ascii="Verdana" w:hAnsi="Verdana"/>
          <w:color w:val="363636"/>
          <w:sz w:val="18"/>
          <w:szCs w:val="18"/>
        </w:rPr>
        <w:t>利率</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计息期有整年</w:t>
      </w:r>
      <w:r>
        <w:rPr>
          <w:rFonts w:ascii="Verdana" w:hAnsi="Verdana"/>
          <w:color w:val="363636"/>
          <w:sz w:val="18"/>
          <w:szCs w:val="18"/>
        </w:rPr>
        <w:t>(</w:t>
      </w:r>
      <w:r>
        <w:rPr>
          <w:rFonts w:ascii="Verdana" w:hAnsi="Verdana"/>
          <w:color w:val="363636"/>
          <w:sz w:val="18"/>
          <w:szCs w:val="18"/>
        </w:rPr>
        <w:t>月</w:t>
      </w:r>
      <w:r>
        <w:rPr>
          <w:rFonts w:ascii="Verdana" w:hAnsi="Verdana"/>
          <w:color w:val="363636"/>
          <w:sz w:val="18"/>
          <w:szCs w:val="18"/>
        </w:rPr>
        <w:t>)</w:t>
      </w:r>
      <w:r>
        <w:rPr>
          <w:rFonts w:ascii="Verdana" w:hAnsi="Verdana"/>
          <w:color w:val="363636"/>
          <w:sz w:val="18"/>
          <w:szCs w:val="18"/>
        </w:rPr>
        <w:t>又有零头天数的，计息公式为：</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利息</w:t>
      </w:r>
      <w:r>
        <w:rPr>
          <w:rFonts w:ascii="Verdana" w:hAnsi="Verdana"/>
          <w:color w:val="363636"/>
          <w:sz w:val="18"/>
          <w:szCs w:val="18"/>
        </w:rPr>
        <w:t>=</w:t>
      </w:r>
      <w:r>
        <w:rPr>
          <w:rFonts w:ascii="Verdana" w:hAnsi="Verdana"/>
          <w:color w:val="363636"/>
          <w:sz w:val="18"/>
          <w:szCs w:val="18"/>
        </w:rPr>
        <w:t>本金</w:t>
      </w:r>
      <w:r>
        <w:rPr>
          <w:rFonts w:ascii="Verdana" w:hAnsi="Verdana"/>
          <w:color w:val="363636"/>
          <w:sz w:val="18"/>
          <w:szCs w:val="18"/>
        </w:rPr>
        <w:t>×</w:t>
      </w:r>
      <w:r>
        <w:rPr>
          <w:rFonts w:ascii="Verdana" w:hAnsi="Verdana"/>
          <w:color w:val="363636"/>
          <w:sz w:val="18"/>
          <w:szCs w:val="18"/>
        </w:rPr>
        <w:t>年</w:t>
      </w:r>
      <w:r>
        <w:rPr>
          <w:rFonts w:ascii="Verdana" w:hAnsi="Verdana"/>
          <w:color w:val="363636"/>
          <w:sz w:val="18"/>
          <w:szCs w:val="18"/>
        </w:rPr>
        <w:t>(</w:t>
      </w:r>
      <w:r>
        <w:rPr>
          <w:rFonts w:ascii="Verdana" w:hAnsi="Verdana"/>
          <w:color w:val="363636"/>
          <w:sz w:val="18"/>
          <w:szCs w:val="18"/>
        </w:rPr>
        <w:t>月</w:t>
      </w:r>
      <w:r>
        <w:rPr>
          <w:rFonts w:ascii="Verdana" w:hAnsi="Verdana"/>
          <w:color w:val="363636"/>
          <w:sz w:val="18"/>
          <w:szCs w:val="18"/>
        </w:rPr>
        <w:t>)</w:t>
      </w:r>
      <w:r>
        <w:rPr>
          <w:rFonts w:ascii="Verdana" w:hAnsi="Verdana"/>
          <w:color w:val="363636"/>
          <w:sz w:val="18"/>
          <w:szCs w:val="18"/>
        </w:rPr>
        <w:t>数</w:t>
      </w:r>
      <w:r>
        <w:rPr>
          <w:rFonts w:ascii="Verdana" w:hAnsi="Verdana"/>
          <w:color w:val="363636"/>
          <w:sz w:val="18"/>
          <w:szCs w:val="18"/>
        </w:rPr>
        <w:t>×</w:t>
      </w:r>
      <w:r>
        <w:rPr>
          <w:rFonts w:ascii="Verdana" w:hAnsi="Verdana"/>
          <w:color w:val="363636"/>
          <w:sz w:val="18"/>
          <w:szCs w:val="18"/>
        </w:rPr>
        <w:t>年</w:t>
      </w:r>
      <w:r>
        <w:rPr>
          <w:rFonts w:ascii="Verdana" w:hAnsi="Verdana"/>
          <w:color w:val="363636"/>
          <w:sz w:val="18"/>
          <w:szCs w:val="18"/>
        </w:rPr>
        <w:t>(</w:t>
      </w:r>
      <w:r>
        <w:rPr>
          <w:rFonts w:ascii="Verdana" w:hAnsi="Verdana"/>
          <w:color w:val="363636"/>
          <w:sz w:val="18"/>
          <w:szCs w:val="18"/>
        </w:rPr>
        <w:t>月</w:t>
      </w:r>
      <w:r>
        <w:rPr>
          <w:rFonts w:ascii="Verdana" w:hAnsi="Verdana"/>
          <w:color w:val="363636"/>
          <w:sz w:val="18"/>
          <w:szCs w:val="18"/>
        </w:rPr>
        <w:t>)</w:t>
      </w:r>
      <w:r>
        <w:rPr>
          <w:rFonts w:ascii="Verdana" w:hAnsi="Verdana"/>
          <w:color w:val="363636"/>
          <w:sz w:val="18"/>
          <w:szCs w:val="18"/>
        </w:rPr>
        <w:t>利率</w:t>
      </w:r>
      <w:r>
        <w:rPr>
          <w:rFonts w:ascii="Verdana" w:hAnsi="Verdana"/>
          <w:color w:val="363636"/>
          <w:sz w:val="18"/>
          <w:szCs w:val="18"/>
        </w:rPr>
        <w:t>+</w:t>
      </w:r>
      <w:r>
        <w:rPr>
          <w:rFonts w:ascii="Verdana" w:hAnsi="Verdana"/>
          <w:color w:val="363636"/>
          <w:sz w:val="18"/>
          <w:szCs w:val="18"/>
        </w:rPr>
        <w:t>本金</w:t>
      </w:r>
      <w:r>
        <w:rPr>
          <w:rFonts w:ascii="Verdana" w:hAnsi="Verdana"/>
          <w:color w:val="363636"/>
          <w:sz w:val="18"/>
          <w:szCs w:val="18"/>
        </w:rPr>
        <w:t>×</w:t>
      </w:r>
      <w:r>
        <w:rPr>
          <w:rFonts w:ascii="Verdana" w:hAnsi="Verdana"/>
          <w:color w:val="363636"/>
          <w:sz w:val="18"/>
          <w:szCs w:val="18"/>
        </w:rPr>
        <w:t>零头天数</w:t>
      </w:r>
      <w:r>
        <w:rPr>
          <w:rFonts w:ascii="Verdana" w:hAnsi="Verdana"/>
          <w:color w:val="363636"/>
          <w:sz w:val="18"/>
          <w:szCs w:val="18"/>
        </w:rPr>
        <w:t>×</w:t>
      </w:r>
      <w:r>
        <w:rPr>
          <w:rFonts w:ascii="Verdana" w:hAnsi="Verdana"/>
          <w:color w:val="363636"/>
          <w:sz w:val="18"/>
          <w:szCs w:val="18"/>
        </w:rPr>
        <w:t>日利率</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(2)</w:t>
      </w:r>
      <w:r>
        <w:rPr>
          <w:rFonts w:ascii="Verdana" w:hAnsi="Verdana"/>
          <w:color w:val="363636"/>
          <w:sz w:val="18"/>
          <w:szCs w:val="18"/>
        </w:rPr>
        <w:t>定期存款的主要规定</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lastRenderedPageBreak/>
        <w:t xml:space="preserve">　　定期存款是个人事先约定偿还期的存款，其利率视期限长短而定。整存整取最为常见，是定期存款的典型代表。</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P54</w:t>
      </w:r>
      <w:r>
        <w:rPr>
          <w:rFonts w:ascii="Verdana" w:hAnsi="Verdana"/>
          <w:color w:val="363636"/>
          <w:sz w:val="18"/>
          <w:szCs w:val="18"/>
        </w:rPr>
        <w:t>表</w:t>
      </w:r>
      <w:r>
        <w:rPr>
          <w:rFonts w:ascii="Verdana" w:hAnsi="Verdana"/>
          <w:color w:val="363636"/>
          <w:sz w:val="18"/>
          <w:szCs w:val="18"/>
        </w:rPr>
        <w:t xml:space="preserve">3-3 </w:t>
      </w:r>
      <w:r>
        <w:rPr>
          <w:rFonts w:ascii="Verdana" w:hAnsi="Verdana"/>
          <w:color w:val="363636"/>
          <w:sz w:val="18"/>
          <w:szCs w:val="18"/>
        </w:rPr>
        <w:t>定期存款种类</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noProof/>
          <w:color w:val="363636"/>
          <w:sz w:val="18"/>
          <w:szCs w:val="18"/>
        </w:rPr>
        <w:drawing>
          <wp:inline distT="0" distB="0" distL="0" distR="0">
            <wp:extent cx="2200275" cy="1209675"/>
            <wp:effectExtent l="19050" t="0" r="9525" b="0"/>
            <wp:docPr id="3" name="图片 3" descr="http://image.chinaacc.com/upload/html/2011/6/14/lihong5614201161410275872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chinaacc.com/upload/html/2011/6/14/lihong561420116141027587207.gif"/>
                    <pic:cNvPicPr>
                      <a:picLocks noChangeAspect="1" noChangeArrowheads="1"/>
                    </pic:cNvPicPr>
                  </pic:nvPicPr>
                  <pic:blipFill>
                    <a:blip r:embed="rId15"/>
                    <a:srcRect/>
                    <a:stretch>
                      <a:fillRect/>
                    </a:stretch>
                  </pic:blipFill>
                  <pic:spPr bwMode="auto">
                    <a:xfrm>
                      <a:off x="0" y="0"/>
                      <a:ext cx="2200275" cy="1209675"/>
                    </a:xfrm>
                    <a:prstGeom prst="rect">
                      <a:avLst/>
                    </a:prstGeom>
                    <a:noFill/>
                    <a:ln w="9525">
                      <a:noFill/>
                      <a:miter lim="800000"/>
                      <a:headEnd/>
                      <a:tailEnd/>
                    </a:ln>
                  </pic:spPr>
                </pic:pic>
              </a:graphicData>
            </a:graphic>
          </wp:inline>
        </w:drawing>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①</w:t>
      </w:r>
      <w:r>
        <w:rPr>
          <w:rFonts w:ascii="Verdana" w:hAnsi="Verdana"/>
          <w:color w:val="363636"/>
          <w:sz w:val="18"/>
          <w:szCs w:val="18"/>
        </w:rPr>
        <w:t>存款利率</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定期存款利率视期限长短而定，通常，期限越长，利率越高。</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②</w:t>
      </w:r>
      <w:r>
        <w:rPr>
          <w:rFonts w:ascii="Verdana" w:hAnsi="Verdana"/>
          <w:color w:val="363636"/>
          <w:sz w:val="18"/>
          <w:szCs w:val="18"/>
        </w:rPr>
        <w:t>到期支取的定期存款计息</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到期支取的：定期存款按约定期限和约定利率计付利息。</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【案例】某客户在</w:t>
      </w:r>
      <w:r>
        <w:rPr>
          <w:rFonts w:ascii="Verdana" w:hAnsi="Verdana"/>
          <w:color w:val="363636"/>
          <w:sz w:val="18"/>
          <w:szCs w:val="18"/>
        </w:rPr>
        <w:t>2007</w:t>
      </w:r>
      <w:r>
        <w:rPr>
          <w:rFonts w:ascii="Verdana" w:hAnsi="Verdana"/>
          <w:color w:val="363636"/>
          <w:sz w:val="18"/>
          <w:szCs w:val="18"/>
        </w:rPr>
        <w:t>年</w:t>
      </w:r>
      <w:r>
        <w:rPr>
          <w:rFonts w:ascii="Verdana" w:hAnsi="Verdana"/>
          <w:color w:val="363636"/>
          <w:sz w:val="18"/>
          <w:szCs w:val="18"/>
        </w:rPr>
        <w:t>1</w:t>
      </w:r>
      <w:r>
        <w:rPr>
          <w:rFonts w:ascii="Verdana" w:hAnsi="Verdana"/>
          <w:color w:val="363636"/>
          <w:sz w:val="18"/>
          <w:szCs w:val="18"/>
        </w:rPr>
        <w:t>月</w:t>
      </w:r>
      <w:r>
        <w:rPr>
          <w:rFonts w:ascii="Verdana" w:hAnsi="Verdana"/>
          <w:color w:val="363636"/>
          <w:sz w:val="18"/>
          <w:szCs w:val="18"/>
        </w:rPr>
        <w:t>8</w:t>
      </w:r>
      <w:r>
        <w:rPr>
          <w:rFonts w:ascii="Verdana" w:hAnsi="Verdana"/>
          <w:color w:val="363636"/>
          <w:sz w:val="18"/>
          <w:szCs w:val="18"/>
        </w:rPr>
        <w:t>日存入一笔</w:t>
      </w:r>
      <w:r>
        <w:rPr>
          <w:rFonts w:ascii="Verdana" w:hAnsi="Verdana"/>
          <w:color w:val="363636"/>
          <w:sz w:val="18"/>
          <w:szCs w:val="18"/>
        </w:rPr>
        <w:t>12345.67</w:t>
      </w:r>
      <w:r>
        <w:rPr>
          <w:rFonts w:ascii="Verdana" w:hAnsi="Verdana"/>
          <w:color w:val="363636"/>
          <w:sz w:val="18"/>
          <w:szCs w:val="18"/>
        </w:rPr>
        <w:t>元的一年期整存整取定期存款，假定年利率为</w:t>
      </w:r>
      <w:r>
        <w:rPr>
          <w:rFonts w:ascii="Verdana" w:hAnsi="Verdana"/>
          <w:color w:val="363636"/>
          <w:sz w:val="18"/>
          <w:szCs w:val="18"/>
        </w:rPr>
        <w:t>3.00%</w:t>
      </w:r>
      <w:r>
        <w:rPr>
          <w:rFonts w:ascii="Verdana" w:hAnsi="Verdana"/>
          <w:color w:val="363636"/>
          <w:sz w:val="18"/>
          <w:szCs w:val="18"/>
        </w:rPr>
        <w:t>，一年后存款到期时，他从银行取回的全部金额是多少</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解答：连本带息</w:t>
      </w:r>
      <w:r>
        <w:rPr>
          <w:rFonts w:ascii="Verdana" w:hAnsi="Verdana"/>
          <w:color w:val="363636"/>
          <w:sz w:val="18"/>
          <w:szCs w:val="18"/>
        </w:rPr>
        <w:t xml:space="preserve">=12345.67 * (1+3%)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③</w:t>
      </w:r>
      <w:r>
        <w:rPr>
          <w:rFonts w:ascii="Verdana" w:hAnsi="Verdana"/>
          <w:color w:val="363636"/>
          <w:sz w:val="18"/>
          <w:szCs w:val="18"/>
        </w:rPr>
        <w:t>逾期支取的定期存款计息</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逾期支取的：定期存款计息：超过原定存期的部分，除约定自动转存外，按支取日挂牌公告的活期存款利率计付利息，并全部计入本金。</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【案例】某客户</w:t>
      </w:r>
      <w:r>
        <w:rPr>
          <w:rFonts w:ascii="Verdana" w:hAnsi="Verdana"/>
          <w:color w:val="363636"/>
          <w:sz w:val="18"/>
          <w:szCs w:val="18"/>
        </w:rPr>
        <w:t>2006</w:t>
      </w:r>
      <w:r>
        <w:rPr>
          <w:rFonts w:ascii="Verdana" w:hAnsi="Verdana"/>
          <w:color w:val="363636"/>
          <w:sz w:val="18"/>
          <w:szCs w:val="18"/>
        </w:rPr>
        <w:t>年</w:t>
      </w:r>
      <w:r>
        <w:rPr>
          <w:rFonts w:ascii="Verdana" w:hAnsi="Verdana"/>
          <w:color w:val="363636"/>
          <w:sz w:val="18"/>
          <w:szCs w:val="18"/>
        </w:rPr>
        <w:t>2</w:t>
      </w:r>
      <w:r>
        <w:rPr>
          <w:rFonts w:ascii="Verdana" w:hAnsi="Verdana"/>
          <w:color w:val="363636"/>
          <w:sz w:val="18"/>
          <w:szCs w:val="18"/>
        </w:rPr>
        <w:t>月</w:t>
      </w:r>
      <w:r>
        <w:rPr>
          <w:rFonts w:ascii="Verdana" w:hAnsi="Verdana"/>
          <w:color w:val="363636"/>
          <w:sz w:val="18"/>
          <w:szCs w:val="18"/>
        </w:rPr>
        <w:t>28</w:t>
      </w:r>
      <w:r>
        <w:rPr>
          <w:rFonts w:ascii="Verdana" w:hAnsi="Verdana"/>
          <w:color w:val="363636"/>
          <w:sz w:val="18"/>
          <w:szCs w:val="18"/>
        </w:rPr>
        <w:t>日存入</w:t>
      </w:r>
      <w:r>
        <w:rPr>
          <w:rFonts w:ascii="Verdana" w:hAnsi="Verdana"/>
          <w:color w:val="363636"/>
          <w:sz w:val="18"/>
          <w:szCs w:val="18"/>
        </w:rPr>
        <w:t>10000</w:t>
      </w:r>
      <w:r>
        <w:rPr>
          <w:rFonts w:ascii="Verdana" w:hAnsi="Verdana"/>
          <w:color w:val="363636"/>
          <w:sz w:val="18"/>
          <w:szCs w:val="18"/>
        </w:rPr>
        <w:t>元，定期整存整取六个月，假定利率为</w:t>
      </w:r>
      <w:r>
        <w:rPr>
          <w:rFonts w:ascii="Verdana" w:hAnsi="Verdana"/>
          <w:color w:val="363636"/>
          <w:sz w:val="18"/>
          <w:szCs w:val="18"/>
        </w:rPr>
        <w:t>2.70%</w:t>
      </w:r>
      <w:r>
        <w:rPr>
          <w:rFonts w:ascii="Verdana" w:hAnsi="Verdana"/>
          <w:color w:val="363636"/>
          <w:sz w:val="18"/>
          <w:szCs w:val="18"/>
        </w:rPr>
        <w:t>，到期日为</w:t>
      </w:r>
      <w:r>
        <w:rPr>
          <w:rFonts w:ascii="Verdana" w:hAnsi="Verdana"/>
          <w:color w:val="363636"/>
          <w:sz w:val="18"/>
          <w:szCs w:val="18"/>
        </w:rPr>
        <w:t>2006</w:t>
      </w:r>
      <w:r>
        <w:rPr>
          <w:rFonts w:ascii="Verdana" w:hAnsi="Verdana"/>
          <w:color w:val="363636"/>
          <w:sz w:val="18"/>
          <w:szCs w:val="18"/>
        </w:rPr>
        <w:t>年</w:t>
      </w:r>
      <w:r>
        <w:rPr>
          <w:rFonts w:ascii="Verdana" w:hAnsi="Verdana"/>
          <w:color w:val="363636"/>
          <w:sz w:val="18"/>
          <w:szCs w:val="18"/>
        </w:rPr>
        <w:t>8</w:t>
      </w:r>
      <w:r>
        <w:rPr>
          <w:rFonts w:ascii="Verdana" w:hAnsi="Verdana"/>
          <w:color w:val="363636"/>
          <w:sz w:val="18"/>
          <w:szCs w:val="18"/>
        </w:rPr>
        <w:t>月</w:t>
      </w:r>
      <w:r>
        <w:rPr>
          <w:rFonts w:ascii="Verdana" w:hAnsi="Verdana"/>
          <w:color w:val="363636"/>
          <w:sz w:val="18"/>
          <w:szCs w:val="18"/>
        </w:rPr>
        <w:t>28</w:t>
      </w:r>
      <w:r>
        <w:rPr>
          <w:rFonts w:ascii="Verdana" w:hAnsi="Verdana"/>
          <w:color w:val="363636"/>
          <w:sz w:val="18"/>
          <w:szCs w:val="18"/>
        </w:rPr>
        <w:t>日，支取日为</w:t>
      </w:r>
      <w:r>
        <w:rPr>
          <w:rFonts w:ascii="Verdana" w:hAnsi="Verdana"/>
          <w:color w:val="363636"/>
          <w:sz w:val="18"/>
          <w:szCs w:val="18"/>
        </w:rPr>
        <w:t>2006</w:t>
      </w:r>
      <w:r>
        <w:rPr>
          <w:rFonts w:ascii="Verdana" w:hAnsi="Verdana"/>
          <w:color w:val="363636"/>
          <w:sz w:val="18"/>
          <w:szCs w:val="18"/>
        </w:rPr>
        <w:t>年</w:t>
      </w:r>
      <w:r>
        <w:rPr>
          <w:rFonts w:ascii="Verdana" w:hAnsi="Verdana"/>
          <w:color w:val="363636"/>
          <w:sz w:val="18"/>
          <w:szCs w:val="18"/>
        </w:rPr>
        <w:t>9</w:t>
      </w:r>
      <w:r>
        <w:rPr>
          <w:rFonts w:ascii="Verdana" w:hAnsi="Verdana"/>
          <w:color w:val="363636"/>
          <w:sz w:val="18"/>
          <w:szCs w:val="18"/>
        </w:rPr>
        <w:t>月</w:t>
      </w:r>
      <w:r>
        <w:rPr>
          <w:rFonts w:ascii="Verdana" w:hAnsi="Verdana"/>
          <w:color w:val="363636"/>
          <w:sz w:val="18"/>
          <w:szCs w:val="18"/>
        </w:rPr>
        <w:t>18</w:t>
      </w:r>
      <w:r>
        <w:rPr>
          <w:rFonts w:ascii="Verdana" w:hAnsi="Verdana"/>
          <w:color w:val="363636"/>
          <w:sz w:val="18"/>
          <w:szCs w:val="18"/>
        </w:rPr>
        <w:t>日。假定</w:t>
      </w:r>
      <w:r>
        <w:rPr>
          <w:rFonts w:ascii="Verdana" w:hAnsi="Verdana"/>
          <w:color w:val="363636"/>
          <w:sz w:val="18"/>
          <w:szCs w:val="18"/>
        </w:rPr>
        <w:t>2006</w:t>
      </w:r>
      <w:r>
        <w:rPr>
          <w:rFonts w:ascii="Verdana" w:hAnsi="Verdana"/>
          <w:color w:val="363636"/>
          <w:sz w:val="18"/>
          <w:szCs w:val="18"/>
        </w:rPr>
        <w:t>年</w:t>
      </w:r>
      <w:r>
        <w:rPr>
          <w:rFonts w:ascii="Verdana" w:hAnsi="Verdana"/>
          <w:color w:val="363636"/>
          <w:sz w:val="18"/>
          <w:szCs w:val="18"/>
        </w:rPr>
        <w:t>9</w:t>
      </w:r>
      <w:r>
        <w:rPr>
          <w:rFonts w:ascii="Verdana" w:hAnsi="Verdana"/>
          <w:color w:val="363636"/>
          <w:sz w:val="18"/>
          <w:szCs w:val="18"/>
        </w:rPr>
        <w:t>月</w:t>
      </w:r>
      <w:r>
        <w:rPr>
          <w:rFonts w:ascii="Verdana" w:hAnsi="Verdana"/>
          <w:color w:val="363636"/>
          <w:sz w:val="18"/>
          <w:szCs w:val="18"/>
        </w:rPr>
        <w:t>18</w:t>
      </w:r>
      <w:r>
        <w:rPr>
          <w:rFonts w:ascii="Verdana" w:hAnsi="Verdana"/>
          <w:color w:val="363636"/>
          <w:sz w:val="18"/>
          <w:szCs w:val="18"/>
        </w:rPr>
        <w:t>日，活期储蓄存款利率为</w:t>
      </w:r>
      <w:r>
        <w:rPr>
          <w:rFonts w:ascii="Verdana" w:hAnsi="Verdana"/>
          <w:color w:val="363636"/>
          <w:sz w:val="18"/>
          <w:szCs w:val="18"/>
        </w:rPr>
        <w:t>0.72%</w:t>
      </w:r>
      <w:r>
        <w:rPr>
          <w:rFonts w:ascii="Verdana" w:hAnsi="Verdana"/>
          <w:color w:val="363636"/>
          <w:sz w:val="18"/>
          <w:szCs w:val="18"/>
        </w:rPr>
        <w:t>。</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解答：分成两部分处理：</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8</w:t>
      </w:r>
      <w:r>
        <w:rPr>
          <w:rFonts w:ascii="Verdana" w:hAnsi="Verdana"/>
          <w:color w:val="363636"/>
          <w:sz w:val="18"/>
          <w:szCs w:val="18"/>
        </w:rPr>
        <w:t>月</w:t>
      </w:r>
      <w:r>
        <w:rPr>
          <w:rFonts w:ascii="Verdana" w:hAnsi="Verdana"/>
          <w:color w:val="363636"/>
          <w:sz w:val="18"/>
          <w:szCs w:val="18"/>
        </w:rPr>
        <w:t>28</w:t>
      </w:r>
      <w:r>
        <w:rPr>
          <w:rFonts w:ascii="Verdana" w:hAnsi="Verdana"/>
          <w:color w:val="363636"/>
          <w:sz w:val="18"/>
          <w:szCs w:val="18"/>
        </w:rPr>
        <w:t>日，定期整存整取到期，连本带息一共是</w:t>
      </w:r>
      <w:r>
        <w:rPr>
          <w:rFonts w:ascii="Verdana" w:hAnsi="Verdana"/>
          <w:color w:val="363636"/>
          <w:sz w:val="18"/>
          <w:szCs w:val="18"/>
        </w:rPr>
        <w:t>10000*(1+2.7%/2)=10135</w:t>
      </w:r>
      <w:r>
        <w:rPr>
          <w:rFonts w:ascii="Verdana" w:hAnsi="Verdana"/>
          <w:color w:val="363636"/>
          <w:sz w:val="18"/>
          <w:szCs w:val="18"/>
        </w:rPr>
        <w:t>元</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8</w:t>
      </w:r>
      <w:r>
        <w:rPr>
          <w:rFonts w:ascii="Verdana" w:hAnsi="Verdana"/>
          <w:color w:val="363636"/>
          <w:sz w:val="18"/>
          <w:szCs w:val="18"/>
        </w:rPr>
        <w:t>月</w:t>
      </w:r>
      <w:r>
        <w:rPr>
          <w:rFonts w:ascii="Verdana" w:hAnsi="Verdana"/>
          <w:color w:val="363636"/>
          <w:sz w:val="18"/>
          <w:szCs w:val="18"/>
        </w:rPr>
        <w:t>29</w:t>
      </w:r>
      <w:r>
        <w:rPr>
          <w:rFonts w:ascii="Verdana" w:hAnsi="Verdana"/>
          <w:color w:val="363636"/>
          <w:sz w:val="18"/>
          <w:szCs w:val="18"/>
        </w:rPr>
        <w:t>日至</w:t>
      </w:r>
      <w:r>
        <w:rPr>
          <w:rFonts w:ascii="Verdana" w:hAnsi="Verdana"/>
          <w:color w:val="363636"/>
          <w:sz w:val="18"/>
          <w:szCs w:val="18"/>
        </w:rPr>
        <w:t>9</w:t>
      </w:r>
      <w:r>
        <w:rPr>
          <w:rFonts w:ascii="Verdana" w:hAnsi="Verdana"/>
          <w:color w:val="363636"/>
          <w:sz w:val="18"/>
          <w:szCs w:val="18"/>
        </w:rPr>
        <w:t>月</w:t>
      </w:r>
      <w:r>
        <w:rPr>
          <w:rFonts w:ascii="Verdana" w:hAnsi="Verdana"/>
          <w:color w:val="363636"/>
          <w:sz w:val="18"/>
          <w:szCs w:val="18"/>
        </w:rPr>
        <w:t>18</w:t>
      </w:r>
      <w:r>
        <w:rPr>
          <w:rFonts w:ascii="Verdana" w:hAnsi="Verdana"/>
          <w:color w:val="363636"/>
          <w:sz w:val="18"/>
          <w:szCs w:val="18"/>
        </w:rPr>
        <w:t>日，共计</w:t>
      </w:r>
      <w:r>
        <w:rPr>
          <w:rFonts w:ascii="Verdana" w:hAnsi="Verdana"/>
          <w:color w:val="363636"/>
          <w:sz w:val="18"/>
          <w:szCs w:val="18"/>
        </w:rPr>
        <w:t>20</w:t>
      </w:r>
      <w:r>
        <w:rPr>
          <w:rFonts w:ascii="Verdana" w:hAnsi="Verdana"/>
          <w:color w:val="363636"/>
          <w:sz w:val="18"/>
          <w:szCs w:val="18"/>
        </w:rPr>
        <w:t>天，按照活期存款计算计息</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10135 ×(1+ 0.72%/360 ×20) =10139.05</w:t>
      </w:r>
      <w:r>
        <w:rPr>
          <w:rFonts w:ascii="Verdana" w:hAnsi="Verdana"/>
          <w:color w:val="363636"/>
          <w:sz w:val="18"/>
          <w:szCs w:val="18"/>
        </w:rPr>
        <w:t>元</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④</w:t>
      </w:r>
      <w:r>
        <w:rPr>
          <w:rFonts w:ascii="Verdana" w:hAnsi="Verdana"/>
          <w:color w:val="363636"/>
          <w:sz w:val="18"/>
          <w:szCs w:val="18"/>
        </w:rPr>
        <w:t>提前支取的定期存款计息</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支取部分按活期存款利率计付利息，提前支取部分的利息同本金一并支取。</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lastRenderedPageBreak/>
        <w:t xml:space="preserve">　　</w:t>
      </w:r>
      <w:r>
        <w:rPr>
          <w:rFonts w:hint="eastAsia"/>
          <w:color w:val="363636"/>
          <w:sz w:val="18"/>
          <w:szCs w:val="18"/>
        </w:rPr>
        <w:t>⑤</w:t>
      </w:r>
      <w:r>
        <w:rPr>
          <w:rFonts w:ascii="Verdana" w:hAnsi="Verdana"/>
          <w:color w:val="363636"/>
          <w:sz w:val="18"/>
          <w:szCs w:val="18"/>
        </w:rPr>
        <w:t>存期内遇有利率调整，仍按存单开户日挂牌公告的相应定期存款利率计息。</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(3)</w:t>
      </w:r>
      <w:r>
        <w:rPr>
          <w:rFonts w:ascii="Verdana" w:hAnsi="Verdana"/>
          <w:color w:val="363636"/>
          <w:sz w:val="18"/>
          <w:szCs w:val="18"/>
        </w:rPr>
        <w:t>其他种类的储蓄存款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除常见的活期存款和定期存款外，还有下列四种存款种：定活两便储蓄存款、个人通知存款、</w:t>
      </w:r>
      <w:hyperlink r:id="rId16" w:tgtFrame="_blank" w:history="1">
        <w:r>
          <w:rPr>
            <w:rFonts w:ascii="Verdana" w:hAnsi="Verdana"/>
            <w:color w:val="0000FF"/>
            <w:sz w:val="18"/>
            <w:szCs w:val="18"/>
          </w:rPr>
          <w:t>教育</w:t>
        </w:r>
      </w:hyperlink>
      <w:r>
        <w:rPr>
          <w:rFonts w:ascii="Verdana" w:hAnsi="Verdana"/>
          <w:color w:val="363636"/>
          <w:sz w:val="18"/>
          <w:szCs w:val="18"/>
        </w:rPr>
        <w:t>储蓄存款、保证金存款</w:t>
      </w:r>
      <w:r>
        <w:rPr>
          <w:rFonts w:ascii="Verdana" w:hAnsi="Verdana"/>
          <w:color w:val="363636"/>
          <w:sz w:val="18"/>
          <w:szCs w:val="18"/>
        </w:rPr>
        <w:t>(</w:t>
      </w:r>
      <w:r>
        <w:rPr>
          <w:rFonts w:ascii="Verdana" w:hAnsi="Verdana"/>
          <w:color w:val="363636"/>
          <w:sz w:val="18"/>
          <w:szCs w:val="18"/>
        </w:rPr>
        <w:t>详见</w:t>
      </w:r>
      <w:r>
        <w:rPr>
          <w:rFonts w:ascii="Verdana" w:hAnsi="Verdana"/>
          <w:color w:val="363636"/>
          <w:sz w:val="18"/>
          <w:szCs w:val="18"/>
        </w:rPr>
        <w:t xml:space="preserve">p55 </w:t>
      </w:r>
      <w:r>
        <w:rPr>
          <w:rFonts w:ascii="Verdana" w:hAnsi="Verdana"/>
          <w:color w:val="363636"/>
          <w:sz w:val="18"/>
          <w:szCs w:val="18"/>
        </w:rPr>
        <w:t>此略</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2.</w:t>
      </w:r>
      <w:r>
        <w:rPr>
          <w:rFonts w:ascii="Verdana" w:hAnsi="Verdana"/>
          <w:color w:val="363636"/>
          <w:sz w:val="18"/>
          <w:szCs w:val="18"/>
        </w:rPr>
        <w:t>单位存款业务</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单位存款又叫对公存款，是机关、团体、部队、企业、事业单位和其他组织以及个体工商户将货币资金存入银行，并可以随时或按约定时间支取款项的一种信用行为。</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按存款的支取方式不同，单位存款一般分为单位活期存款、单位定期存款、单位通知存款、单位协定存款等。</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(1)</w:t>
      </w:r>
      <w:r>
        <w:rPr>
          <w:rFonts w:ascii="Verdana" w:hAnsi="Verdana"/>
          <w:color w:val="363636"/>
          <w:sz w:val="18"/>
          <w:szCs w:val="18"/>
        </w:rPr>
        <w:t>单位活期存款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单位活期存款是指单位类客户在商业银行开立结算账户，办理不规定存期、可随时转账、存取的存款类型。</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单位活期存款账户又称为单位结算账户，包括基本存款账户、一般存款账户、临时存款账户和专用存款账户。</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①</w:t>
      </w:r>
      <w:r>
        <w:rPr>
          <w:rFonts w:ascii="Verdana" w:hAnsi="Verdana"/>
          <w:color w:val="363636"/>
          <w:sz w:val="18"/>
          <w:szCs w:val="18"/>
        </w:rPr>
        <w:t>基本存款账户</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基本存款账户简称基本户，是指存款人因办理日常转账结算和现金收付需要开立的银行结算账户。</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基本存款账户是存款人的主办账户，企业、事业单位等可以自主选择一家商业银行的营业场所开立一个办理日常转账结算和现金收付的基本账户，同一存款客户只能在商业银行开立一个基本存款账户。</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②</w:t>
      </w:r>
      <w:r>
        <w:rPr>
          <w:rFonts w:ascii="Verdana" w:hAnsi="Verdana"/>
          <w:color w:val="363636"/>
          <w:sz w:val="18"/>
          <w:szCs w:val="18"/>
        </w:rPr>
        <w:t>一般存款帐户</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一般存款账户简称一般户，是指存款人因借款或其他结算需要，在基本存款账户开户银行以外的银行营业机构开立的银行结算账户。一般存款账户可以办理现金缴存，但不得办理现金支取。</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③</w:t>
      </w:r>
      <w:r>
        <w:rPr>
          <w:rFonts w:ascii="Verdana" w:hAnsi="Verdana"/>
          <w:color w:val="363636"/>
          <w:sz w:val="18"/>
          <w:szCs w:val="18"/>
        </w:rPr>
        <w:t>专用存款帐户</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专用存款账户是指存款人对其特定用途的资金进行专项管理和使用而开立的银行结算账户。</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④</w:t>
      </w:r>
      <w:r>
        <w:rPr>
          <w:rFonts w:ascii="Verdana" w:hAnsi="Verdana"/>
          <w:color w:val="363636"/>
          <w:sz w:val="18"/>
          <w:szCs w:val="18"/>
        </w:rPr>
        <w:t>临时存款帐户</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临时存款帐户是指存款人因临时需要并在规定期限内使用而开立的银行结算账户。设立临时机构、异地临时经营活动、注册验资。该种账户的有效期最长不得超过二年。</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(2)</w:t>
      </w:r>
      <w:r>
        <w:rPr>
          <w:rFonts w:ascii="Verdana" w:hAnsi="Verdana"/>
          <w:color w:val="363636"/>
          <w:sz w:val="18"/>
          <w:szCs w:val="18"/>
        </w:rPr>
        <w:t>单位定期存款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lastRenderedPageBreak/>
        <w:t xml:space="preserve">　　单位定期存款是指单位类客户在商业银行办理的约定期限、整笔存入，到期一次性支取本息的存款类型。</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(3)</w:t>
      </w:r>
      <w:r>
        <w:rPr>
          <w:rFonts w:ascii="Verdana" w:hAnsi="Verdana"/>
          <w:color w:val="363636"/>
          <w:sz w:val="18"/>
          <w:szCs w:val="18"/>
        </w:rPr>
        <w:t>单位通知存款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客户在存入款项时不约定存期，支取时需提前通知商业银行，并约定支取存款日期和金额方能支取的存款类型。不论实际存期多长，按存款人提前通知的期限长短，可再分为一天通知存款和七天通知存款两个品种。</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(4)</w:t>
      </w:r>
      <w:r>
        <w:rPr>
          <w:rFonts w:ascii="Verdana" w:hAnsi="Verdana"/>
          <w:color w:val="363636"/>
          <w:sz w:val="18"/>
          <w:szCs w:val="18"/>
        </w:rPr>
        <w:t>单位协定存款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单位协定存款是一种单位类客户通过与商业银行签订合同的形式约定合同期限、确定结算账户需要保留的基本存款额度，对超过基本存款额度的存款按中国人民银行规定的上浮利率计付利息、对基本存款额度按活期存款利率付息的存款类型。</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(5)</w:t>
      </w:r>
      <w:r>
        <w:rPr>
          <w:rFonts w:ascii="Verdana" w:hAnsi="Verdana"/>
          <w:color w:val="363636"/>
          <w:sz w:val="18"/>
          <w:szCs w:val="18"/>
        </w:rPr>
        <w:t>保证金存款</w:t>
      </w:r>
      <w:r>
        <w:rPr>
          <w:rFonts w:ascii="Verdana" w:hAnsi="Verdana"/>
          <w:color w:val="363636"/>
          <w:sz w:val="18"/>
          <w:szCs w:val="18"/>
        </w:rPr>
        <w:t xml:space="preserve"> </w:t>
      </w:r>
    </w:p>
    <w:p w:rsidR="00136B5C" w:rsidRDefault="00136B5C" w:rsidP="00136B5C">
      <w:pPr>
        <w:pStyle w:val="a5"/>
        <w:rPr>
          <w:rFonts w:ascii="Verdana" w:hAnsi="Verdana"/>
          <w:color w:val="363636"/>
          <w:sz w:val="18"/>
          <w:szCs w:val="18"/>
        </w:rPr>
      </w:pPr>
      <w:r>
        <w:rPr>
          <w:rFonts w:ascii="Verdana" w:hAnsi="Verdana"/>
          <w:color w:val="363636"/>
          <w:sz w:val="18"/>
          <w:szCs w:val="18"/>
        </w:rPr>
        <w:t xml:space="preserve">　　可分为银行承兑汇票保证金、信用证保证金、</w:t>
      </w:r>
      <w:hyperlink r:id="rId17" w:tgtFrame="_blank" w:history="1">
        <w:r>
          <w:rPr>
            <w:rFonts w:ascii="Verdana" w:hAnsi="Verdana"/>
            <w:color w:val="0000FF"/>
            <w:sz w:val="18"/>
            <w:szCs w:val="18"/>
          </w:rPr>
          <w:t>黄金</w:t>
        </w:r>
      </w:hyperlink>
      <w:r>
        <w:rPr>
          <w:rFonts w:ascii="Verdana" w:hAnsi="Verdana"/>
          <w:color w:val="363636"/>
          <w:sz w:val="18"/>
          <w:szCs w:val="18"/>
        </w:rPr>
        <w:t>交易保证金、远期结售汇保证金四类。</w:t>
      </w:r>
    </w:p>
    <w:p w:rsidR="002C526B" w:rsidRDefault="002C526B" w:rsidP="002C526B">
      <w:pPr>
        <w:pStyle w:val="a5"/>
        <w:rPr>
          <w:rFonts w:ascii="Verdana" w:hAnsi="Verdana"/>
          <w:color w:val="363636"/>
          <w:sz w:val="18"/>
          <w:szCs w:val="18"/>
        </w:rPr>
      </w:pPr>
      <w:r>
        <w:rPr>
          <w:rFonts w:ascii="Verdana" w:hAnsi="Verdana"/>
          <w:color w:val="363636"/>
          <w:sz w:val="18"/>
          <w:szCs w:val="18"/>
        </w:rPr>
        <w:t>3.</w:t>
      </w:r>
      <w:r>
        <w:rPr>
          <w:rFonts w:ascii="Verdana" w:hAnsi="Verdana"/>
          <w:color w:val="363636"/>
          <w:sz w:val="18"/>
          <w:szCs w:val="18"/>
        </w:rPr>
        <w:t>人民币同业存款</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同业存款，也称同业存放，是指因支付清算和业务合作等的需要，由其他金融机构存放予商业</w:t>
      </w:r>
      <w:hyperlink r:id="rId18" w:tgtFrame="_blank" w:history="1">
        <w:r>
          <w:rPr>
            <w:rFonts w:ascii="Verdana" w:hAnsi="Verdana"/>
            <w:color w:val="0000FF"/>
            <w:sz w:val="18"/>
            <w:szCs w:val="18"/>
          </w:rPr>
          <w:t>银行</w:t>
        </w:r>
      </w:hyperlink>
      <w:r>
        <w:rPr>
          <w:rFonts w:ascii="Verdana" w:hAnsi="Verdana"/>
          <w:color w:val="363636"/>
          <w:sz w:val="18"/>
          <w:szCs w:val="18"/>
        </w:rPr>
        <w:t>的款项。同业存放属于商业银行的负债业务，与此相对应的概念是存放同业，即存放在其他商业银行的款项，属于商业银行的资产业务。</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4.</w:t>
      </w:r>
      <w:r>
        <w:rPr>
          <w:rFonts w:ascii="Verdana" w:hAnsi="Verdana"/>
          <w:color w:val="363636"/>
          <w:sz w:val="18"/>
          <w:szCs w:val="18"/>
        </w:rPr>
        <w:t>外币存款业务</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目前，我国银行开办的外币存款业务币种主要有九种：美元、欧元、日元、港元、英镑、澳大利亚元、加拿大元、瑞士法郎、新加坡元。其他可自由兑换的外币，不能直接存入账户，需由存款人自由选择上述货币中的一种，按存入日的</w:t>
      </w:r>
      <w:hyperlink r:id="rId19" w:tgtFrame="_blank" w:history="1">
        <w:r>
          <w:rPr>
            <w:rFonts w:ascii="Verdana" w:hAnsi="Verdana"/>
            <w:color w:val="0000FF"/>
            <w:sz w:val="18"/>
            <w:szCs w:val="18"/>
          </w:rPr>
          <w:t>外汇</w:t>
        </w:r>
      </w:hyperlink>
      <w:r>
        <w:rPr>
          <w:rFonts w:ascii="Verdana" w:hAnsi="Verdana"/>
          <w:color w:val="363636"/>
          <w:sz w:val="18"/>
          <w:szCs w:val="18"/>
        </w:rPr>
        <w:t>牌价折算存入。</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【背景知识】汇买价、钞买价、卖出价的区别</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现汇买入价</w:t>
      </w:r>
      <w:r>
        <w:rPr>
          <w:rFonts w:ascii="Verdana" w:hAnsi="Verdana"/>
          <w:color w:val="363636"/>
          <w:sz w:val="18"/>
          <w:szCs w:val="18"/>
        </w:rPr>
        <w:t>/</w:t>
      </w:r>
      <w:r>
        <w:rPr>
          <w:rFonts w:ascii="Verdana" w:hAnsi="Verdana"/>
          <w:color w:val="363636"/>
          <w:sz w:val="18"/>
          <w:szCs w:val="18"/>
        </w:rPr>
        <w:t>现钞买入价</w:t>
      </w:r>
      <w:r>
        <w:rPr>
          <w:rFonts w:ascii="Verdana" w:hAnsi="Verdana"/>
          <w:color w:val="363636"/>
          <w:sz w:val="18"/>
          <w:szCs w:val="18"/>
        </w:rPr>
        <w:t>/</w:t>
      </w:r>
      <w:r>
        <w:rPr>
          <w:rFonts w:ascii="Verdana" w:hAnsi="Verdana"/>
          <w:color w:val="363636"/>
          <w:sz w:val="18"/>
          <w:szCs w:val="18"/>
        </w:rPr>
        <w:t>现汇卖出价</w:t>
      </w:r>
      <w:r>
        <w:rPr>
          <w:rFonts w:ascii="Verdana" w:hAnsi="Verdana"/>
          <w:color w:val="363636"/>
          <w:sz w:val="18"/>
          <w:szCs w:val="18"/>
        </w:rPr>
        <w:t>/</w:t>
      </w:r>
      <w:r>
        <w:rPr>
          <w:rFonts w:ascii="Verdana" w:hAnsi="Verdana"/>
          <w:color w:val="363636"/>
          <w:sz w:val="18"/>
          <w:szCs w:val="18"/>
        </w:rPr>
        <w:t>现钞卖出价</w:t>
      </w:r>
      <w:r>
        <w:rPr>
          <w:rFonts w:ascii="Verdana" w:hAnsi="Verdana"/>
          <w:color w:val="363636"/>
          <w:sz w:val="18"/>
          <w:szCs w:val="18"/>
        </w:rPr>
        <w:t>/</w:t>
      </w:r>
      <w:r>
        <w:rPr>
          <w:rFonts w:ascii="Verdana" w:hAnsi="Verdana"/>
          <w:color w:val="363636"/>
          <w:sz w:val="18"/>
          <w:szCs w:val="18"/>
        </w:rPr>
        <w:t>中间价</w:t>
      </w:r>
      <w:r>
        <w:rPr>
          <w:rFonts w:ascii="Verdana" w:hAnsi="Verdana"/>
          <w:color w:val="363636"/>
          <w:sz w:val="18"/>
          <w:szCs w:val="18"/>
        </w:rPr>
        <w:t>(</w:t>
      </w:r>
      <w:r>
        <w:rPr>
          <w:rFonts w:ascii="Verdana" w:hAnsi="Verdana"/>
          <w:color w:val="363636"/>
          <w:sz w:val="18"/>
          <w:szCs w:val="18"/>
        </w:rPr>
        <w:t>基准价</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银行外汇牌价表中的这几个价格</w:t>
      </w:r>
      <w:r>
        <w:rPr>
          <w:rFonts w:ascii="Verdana" w:hAnsi="Verdana"/>
          <w:color w:val="363636"/>
          <w:sz w:val="18"/>
          <w:szCs w:val="18"/>
        </w:rPr>
        <w:t>(</w:t>
      </w:r>
      <w:r>
        <w:rPr>
          <w:rFonts w:ascii="Verdana" w:hAnsi="Verdana"/>
          <w:color w:val="363636"/>
          <w:sz w:val="18"/>
          <w:szCs w:val="18"/>
        </w:rPr>
        <w:t>除中间价外</w:t>
      </w:r>
      <w:r>
        <w:rPr>
          <w:rFonts w:ascii="Verdana" w:hAnsi="Verdana"/>
          <w:color w:val="363636"/>
          <w:sz w:val="18"/>
          <w:szCs w:val="18"/>
        </w:rPr>
        <w:t>)</w:t>
      </w:r>
      <w:r>
        <w:rPr>
          <w:rFonts w:ascii="Verdana" w:hAnsi="Verdana"/>
          <w:color w:val="363636"/>
          <w:sz w:val="18"/>
          <w:szCs w:val="18"/>
        </w:rPr>
        <w:t>都是以银行为主体的表示方法。现汇是指可自由兑换的汇票、支票等外币票据。现钞是具体的、实在的外国纸币、硬币。</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中间价</w:t>
      </w:r>
      <w:r>
        <w:rPr>
          <w:rFonts w:ascii="Verdana" w:hAnsi="Verdana"/>
          <w:color w:val="363636"/>
          <w:sz w:val="18"/>
          <w:szCs w:val="18"/>
        </w:rPr>
        <w:t>(</w:t>
      </w:r>
      <w:r>
        <w:rPr>
          <w:rFonts w:ascii="Verdana" w:hAnsi="Verdana"/>
          <w:color w:val="363636"/>
          <w:sz w:val="18"/>
          <w:szCs w:val="18"/>
        </w:rPr>
        <w:t>基准价</w:t>
      </w:r>
      <w:r>
        <w:rPr>
          <w:rFonts w:ascii="Verdana" w:hAnsi="Verdana"/>
          <w:color w:val="363636"/>
          <w:sz w:val="18"/>
          <w:szCs w:val="18"/>
        </w:rPr>
        <w:t>)</w:t>
      </w:r>
      <w:r>
        <w:rPr>
          <w:rFonts w:ascii="Verdana" w:hAnsi="Verdana"/>
          <w:color w:val="363636"/>
          <w:sz w:val="18"/>
          <w:szCs w:val="18"/>
        </w:rPr>
        <w:t>：中国人民银行公布的当日外汇牌价。</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个人外汇买卖业务多本着钞变钞、汇变汇的原则。现汇买入价和现钞买入价往往不同。钞买价比汇买价要低。</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(1)</w:t>
      </w:r>
      <w:r>
        <w:rPr>
          <w:rFonts w:ascii="Verdana" w:hAnsi="Verdana"/>
          <w:color w:val="363636"/>
          <w:sz w:val="18"/>
          <w:szCs w:val="18"/>
        </w:rPr>
        <w:t>外汇储蓄存款</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中国人民银行发布的《个人外汇管理办法》</w:t>
      </w:r>
      <w:r>
        <w:rPr>
          <w:rFonts w:ascii="Verdana" w:hAnsi="Verdana"/>
          <w:color w:val="363636"/>
          <w:sz w:val="18"/>
          <w:szCs w:val="18"/>
        </w:rPr>
        <w:t>(</w:t>
      </w:r>
      <w:r>
        <w:rPr>
          <w:rFonts w:ascii="Verdana" w:hAnsi="Verdana"/>
          <w:color w:val="363636"/>
          <w:sz w:val="18"/>
          <w:szCs w:val="18"/>
        </w:rPr>
        <w:t>以下简称《办法》，从</w:t>
      </w:r>
      <w:r>
        <w:rPr>
          <w:rFonts w:ascii="Verdana" w:hAnsi="Verdana"/>
          <w:color w:val="363636"/>
          <w:sz w:val="18"/>
          <w:szCs w:val="18"/>
        </w:rPr>
        <w:t>2007</w:t>
      </w:r>
      <w:r>
        <w:rPr>
          <w:rFonts w:ascii="Verdana" w:hAnsi="Verdana"/>
          <w:color w:val="363636"/>
          <w:sz w:val="18"/>
          <w:szCs w:val="18"/>
        </w:rPr>
        <w:t>年</w:t>
      </w:r>
      <w:r>
        <w:rPr>
          <w:rFonts w:ascii="Verdana" w:hAnsi="Verdana"/>
          <w:color w:val="363636"/>
          <w:sz w:val="18"/>
          <w:szCs w:val="18"/>
        </w:rPr>
        <w:t>2</w:t>
      </w:r>
      <w:r>
        <w:rPr>
          <w:rFonts w:ascii="Verdana" w:hAnsi="Verdana"/>
          <w:color w:val="363636"/>
          <w:sz w:val="18"/>
          <w:szCs w:val="18"/>
        </w:rPr>
        <w:t>月</w:t>
      </w:r>
      <w:r>
        <w:rPr>
          <w:rFonts w:ascii="Verdana" w:hAnsi="Verdana"/>
          <w:color w:val="363636"/>
          <w:sz w:val="18"/>
          <w:szCs w:val="18"/>
        </w:rPr>
        <w:t>1</w:t>
      </w:r>
      <w:r>
        <w:rPr>
          <w:rFonts w:ascii="Verdana" w:hAnsi="Verdana"/>
          <w:color w:val="363636"/>
          <w:sz w:val="18"/>
          <w:szCs w:val="18"/>
        </w:rPr>
        <w:t>日起施行</w:t>
      </w:r>
      <w:r>
        <w:rPr>
          <w:rFonts w:ascii="Verdana" w:hAnsi="Verdana"/>
          <w:color w:val="363636"/>
          <w:sz w:val="18"/>
          <w:szCs w:val="18"/>
        </w:rPr>
        <w:t>)</w:t>
      </w:r>
      <w:r>
        <w:rPr>
          <w:rFonts w:ascii="Verdana" w:hAnsi="Verdana"/>
          <w:color w:val="363636"/>
          <w:sz w:val="18"/>
          <w:szCs w:val="18"/>
        </w:rPr>
        <w:t>规定：</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lastRenderedPageBreak/>
        <w:t xml:space="preserve">　　</w:t>
      </w:r>
      <w:r>
        <w:rPr>
          <w:rFonts w:ascii="Verdana" w:hAnsi="Verdana"/>
          <w:color w:val="363636"/>
          <w:sz w:val="18"/>
          <w:szCs w:val="18"/>
        </w:rPr>
        <w:t>“</w:t>
      </w:r>
      <w:r>
        <w:rPr>
          <w:rFonts w:ascii="Verdana" w:hAnsi="Verdana"/>
          <w:color w:val="363636"/>
          <w:sz w:val="18"/>
          <w:szCs w:val="18"/>
        </w:rPr>
        <w:t>个人外汇账户按主体类别区分为境内个人外汇账户和境外个人外汇账户</w:t>
      </w:r>
      <w:r>
        <w:rPr>
          <w:rFonts w:ascii="Verdana" w:hAnsi="Verdana"/>
          <w:color w:val="363636"/>
          <w:sz w:val="18"/>
          <w:szCs w:val="18"/>
        </w:rPr>
        <w:t>;</w:t>
      </w:r>
      <w:r>
        <w:rPr>
          <w:rFonts w:ascii="Verdana" w:hAnsi="Verdana"/>
          <w:color w:val="363636"/>
          <w:sz w:val="18"/>
          <w:szCs w:val="18"/>
        </w:rPr>
        <w:t>按账户性质区分为外汇结算账户、资本项目账户及外汇储蓄账户。</w:t>
      </w:r>
      <w:r>
        <w:rPr>
          <w:rFonts w:ascii="Verdana" w:hAnsi="Verdana"/>
          <w:color w:val="363636"/>
          <w:sz w:val="18"/>
          <w:szCs w:val="18"/>
        </w:rPr>
        <w:t>”</w:t>
      </w:r>
      <w:r>
        <w:rPr>
          <w:rFonts w:ascii="Verdana" w:hAnsi="Verdana"/>
          <w:color w:val="363636"/>
          <w:sz w:val="18"/>
          <w:szCs w:val="18"/>
        </w:rPr>
        <w:t>外汇结算账户用于转账汇款等资金清算支付，外汇储蓄账户只能用于外汇存取，不能进行转账。</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不再区分现钞和现汇账户，对个人非经营性外汇收付统一通过外汇储蓄账户进行管理。</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(2)</w:t>
      </w:r>
      <w:r>
        <w:rPr>
          <w:rFonts w:ascii="Verdana" w:hAnsi="Verdana"/>
          <w:color w:val="363636"/>
          <w:sz w:val="18"/>
          <w:szCs w:val="18"/>
        </w:rPr>
        <w:t>单位外汇存款</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①</w:t>
      </w:r>
      <w:r>
        <w:rPr>
          <w:rFonts w:ascii="Verdana" w:hAnsi="Verdana"/>
          <w:color w:val="363636"/>
          <w:sz w:val="18"/>
          <w:szCs w:val="18"/>
        </w:rPr>
        <w:t>单位经常项目外汇账户</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境内机构原则上只能开立一个经常项目外汇账户。境内机构经常项目外汇账户的限额统一采用美元核定。</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hint="eastAsia"/>
          <w:color w:val="363636"/>
          <w:sz w:val="18"/>
          <w:szCs w:val="18"/>
        </w:rPr>
        <w:t>②</w:t>
      </w:r>
      <w:r>
        <w:rPr>
          <w:rFonts w:ascii="Verdana" w:hAnsi="Verdana"/>
          <w:color w:val="363636"/>
          <w:sz w:val="18"/>
          <w:szCs w:val="18"/>
        </w:rPr>
        <w:t>单位资本项目外汇账户</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包括贷款</w:t>
      </w:r>
      <w:r>
        <w:rPr>
          <w:rFonts w:ascii="Verdana" w:hAnsi="Verdana"/>
          <w:color w:val="363636"/>
          <w:sz w:val="18"/>
          <w:szCs w:val="18"/>
        </w:rPr>
        <w:t>(</w:t>
      </w:r>
      <w:r>
        <w:rPr>
          <w:rFonts w:ascii="Verdana" w:hAnsi="Verdana"/>
          <w:color w:val="363636"/>
          <w:sz w:val="18"/>
          <w:szCs w:val="18"/>
        </w:rPr>
        <w:t>外债及转贷款</w:t>
      </w:r>
      <w:r>
        <w:rPr>
          <w:rFonts w:ascii="Verdana" w:hAnsi="Verdana"/>
          <w:color w:val="363636"/>
          <w:sz w:val="18"/>
          <w:szCs w:val="18"/>
        </w:rPr>
        <w:t>)</w:t>
      </w:r>
      <w:r>
        <w:rPr>
          <w:rFonts w:ascii="Verdana" w:hAnsi="Verdana"/>
          <w:color w:val="363636"/>
          <w:sz w:val="18"/>
          <w:szCs w:val="18"/>
        </w:rPr>
        <w:t>专户、还贷专户、发行外币股票专户、</w:t>
      </w:r>
      <w:r>
        <w:rPr>
          <w:rFonts w:ascii="Verdana" w:hAnsi="Verdana"/>
          <w:color w:val="363636"/>
          <w:sz w:val="18"/>
          <w:szCs w:val="18"/>
        </w:rPr>
        <w:t>B</w:t>
      </w:r>
      <w:r>
        <w:rPr>
          <w:rFonts w:ascii="Verdana" w:hAnsi="Verdana"/>
          <w:color w:val="363636"/>
          <w:sz w:val="18"/>
          <w:szCs w:val="18"/>
        </w:rPr>
        <w:t>股交易专户等。</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 xml:space="preserve">3.1.2 </w:t>
      </w:r>
      <w:r>
        <w:rPr>
          <w:rFonts w:ascii="Verdana" w:hAnsi="Verdana"/>
          <w:color w:val="363636"/>
          <w:sz w:val="18"/>
          <w:szCs w:val="18"/>
        </w:rPr>
        <w:t>借款业务</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商业银行的借款包括短期借款和长期借款两种。</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短期借款是指期限在一年或一年以下的借款，主要包括同业拆借、</w:t>
      </w:r>
      <w:hyperlink r:id="rId20" w:tgtFrame="_blank" w:history="1">
        <w:r>
          <w:rPr>
            <w:rFonts w:ascii="Verdana" w:hAnsi="Verdana"/>
            <w:color w:val="0000FF"/>
            <w:sz w:val="18"/>
            <w:szCs w:val="18"/>
          </w:rPr>
          <w:t>证券</w:t>
        </w:r>
      </w:hyperlink>
      <w:r>
        <w:rPr>
          <w:rFonts w:ascii="Verdana" w:hAnsi="Verdana"/>
          <w:color w:val="363636"/>
          <w:sz w:val="18"/>
          <w:szCs w:val="18"/>
        </w:rPr>
        <w:t>回购协议和向中央银行借款等形式。</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长期借款是指期限在一年以上的借款，一般采用发行金融</w:t>
      </w:r>
      <w:hyperlink r:id="rId21" w:tgtFrame="_blank" w:history="1">
        <w:r>
          <w:rPr>
            <w:rFonts w:ascii="Verdana" w:hAnsi="Verdana"/>
            <w:color w:val="0000FF"/>
            <w:sz w:val="18"/>
            <w:szCs w:val="18"/>
          </w:rPr>
          <w:t>债券</w:t>
        </w:r>
      </w:hyperlink>
      <w:r>
        <w:rPr>
          <w:rFonts w:ascii="Verdana" w:hAnsi="Verdana"/>
          <w:color w:val="363636"/>
          <w:sz w:val="18"/>
          <w:szCs w:val="18"/>
        </w:rPr>
        <w:t>的形式，具体包括发行普通金融债券、次级金融债券、混合资本债券、可转换债券等。</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1.</w:t>
      </w:r>
      <w:r>
        <w:rPr>
          <w:rFonts w:ascii="Verdana" w:hAnsi="Verdana"/>
          <w:color w:val="363636"/>
          <w:sz w:val="18"/>
          <w:szCs w:val="18"/>
        </w:rPr>
        <w:t>同业拆借</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我国的同业拆借，是指经批准进入全国银行间同业拆借市场的金融机构之间，通过全国统一的同业拆借网络进行的无担保资金融通行为。</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同业拆借具有期限短、金额大、风险低、手续简便等特点，从而能够反映金融市场上的资金供求状况。因此，同业拆借市场上的利率是货币市场最重要的基准利率之一。</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2.</w:t>
      </w:r>
      <w:r>
        <w:rPr>
          <w:rFonts w:ascii="Verdana" w:hAnsi="Verdana"/>
          <w:color w:val="363636"/>
          <w:sz w:val="18"/>
          <w:szCs w:val="18"/>
        </w:rPr>
        <w:t>债券回购</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债券回购是商业银行短期借款的重要方式，包括质押式回购与买断式回购两种。</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3.</w:t>
      </w:r>
      <w:r>
        <w:rPr>
          <w:rFonts w:ascii="Verdana" w:hAnsi="Verdana"/>
          <w:color w:val="363636"/>
          <w:sz w:val="18"/>
          <w:szCs w:val="18"/>
        </w:rPr>
        <w:t>向中央银行借款</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商业银行在需要时还可以向中央银行申请借款。</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t xml:space="preserve">　　</w:t>
      </w:r>
      <w:r>
        <w:rPr>
          <w:rFonts w:ascii="Verdana" w:hAnsi="Verdana"/>
          <w:color w:val="363636"/>
          <w:sz w:val="18"/>
          <w:szCs w:val="18"/>
        </w:rPr>
        <w:t>4.</w:t>
      </w:r>
      <w:r>
        <w:rPr>
          <w:rFonts w:ascii="Verdana" w:hAnsi="Verdana"/>
          <w:color w:val="363636"/>
          <w:sz w:val="18"/>
          <w:szCs w:val="18"/>
        </w:rPr>
        <w:t>金融债券</w:t>
      </w:r>
      <w:r>
        <w:rPr>
          <w:rFonts w:ascii="Verdana" w:hAnsi="Verdana"/>
          <w:color w:val="363636"/>
          <w:sz w:val="18"/>
          <w:szCs w:val="18"/>
        </w:rPr>
        <w:t xml:space="preserve"> </w:t>
      </w:r>
    </w:p>
    <w:p w:rsidR="002C526B" w:rsidRDefault="002C526B" w:rsidP="002C526B">
      <w:pPr>
        <w:pStyle w:val="a5"/>
        <w:rPr>
          <w:rFonts w:ascii="Verdana" w:hAnsi="Verdana"/>
          <w:color w:val="363636"/>
          <w:sz w:val="18"/>
          <w:szCs w:val="18"/>
        </w:rPr>
      </w:pPr>
      <w:r>
        <w:rPr>
          <w:rFonts w:ascii="Verdana" w:hAnsi="Verdana"/>
          <w:color w:val="363636"/>
          <w:sz w:val="18"/>
          <w:szCs w:val="18"/>
        </w:rPr>
        <w:lastRenderedPageBreak/>
        <w:t xml:space="preserve">　　金融债券是商业银行在金融市场上发行的、按约定还本付息的有价证券。我国商业银行所发行的金融债券，均是在全国银行间债券市场上发行和交易的。</w:t>
      </w:r>
    </w:p>
    <w:p w:rsidR="001C6FEA" w:rsidRDefault="001C6FEA"/>
    <w:sectPr w:rsidR="001C6FEA" w:rsidSect="00FB10A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04E9" w:rsidRDefault="00A504E9" w:rsidP="00136B5C">
      <w:r>
        <w:separator/>
      </w:r>
    </w:p>
  </w:endnote>
  <w:endnote w:type="continuationSeparator" w:id="1">
    <w:p w:rsidR="00A504E9" w:rsidRDefault="00A504E9" w:rsidP="00136B5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04E9" w:rsidRDefault="00A504E9" w:rsidP="00136B5C">
      <w:r>
        <w:separator/>
      </w:r>
    </w:p>
  </w:footnote>
  <w:footnote w:type="continuationSeparator" w:id="1">
    <w:p w:rsidR="00A504E9" w:rsidRDefault="00A504E9" w:rsidP="00136B5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36B5C"/>
    <w:rsid w:val="00136B5C"/>
    <w:rsid w:val="001C6FEA"/>
    <w:rsid w:val="002C526B"/>
    <w:rsid w:val="0096198E"/>
    <w:rsid w:val="00A504E9"/>
    <w:rsid w:val="00A9286A"/>
    <w:rsid w:val="00FB10A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0A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36B5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36B5C"/>
    <w:rPr>
      <w:sz w:val="18"/>
      <w:szCs w:val="18"/>
    </w:rPr>
  </w:style>
  <w:style w:type="paragraph" w:styleId="a4">
    <w:name w:val="footer"/>
    <w:basedOn w:val="a"/>
    <w:link w:val="Char0"/>
    <w:uiPriority w:val="99"/>
    <w:semiHidden/>
    <w:unhideWhenUsed/>
    <w:rsid w:val="00136B5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36B5C"/>
    <w:rPr>
      <w:sz w:val="18"/>
      <w:szCs w:val="18"/>
    </w:rPr>
  </w:style>
  <w:style w:type="paragraph" w:styleId="a5">
    <w:name w:val="Normal (Web)"/>
    <w:basedOn w:val="a"/>
    <w:uiPriority w:val="99"/>
    <w:semiHidden/>
    <w:unhideWhenUsed/>
    <w:rsid w:val="00136B5C"/>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136B5C"/>
    <w:rPr>
      <w:b/>
      <w:bCs/>
    </w:rPr>
  </w:style>
  <w:style w:type="paragraph" w:styleId="a7">
    <w:name w:val="Balloon Text"/>
    <w:basedOn w:val="a"/>
    <w:link w:val="Char1"/>
    <w:uiPriority w:val="99"/>
    <w:semiHidden/>
    <w:unhideWhenUsed/>
    <w:rsid w:val="00136B5C"/>
    <w:rPr>
      <w:sz w:val="18"/>
      <w:szCs w:val="18"/>
    </w:rPr>
  </w:style>
  <w:style w:type="character" w:customStyle="1" w:styleId="Char1">
    <w:name w:val="批注框文本 Char"/>
    <w:basedOn w:val="a0"/>
    <w:link w:val="a7"/>
    <w:uiPriority w:val="99"/>
    <w:semiHidden/>
    <w:rsid w:val="00136B5C"/>
    <w:rPr>
      <w:sz w:val="18"/>
      <w:szCs w:val="18"/>
    </w:rPr>
  </w:style>
</w:styles>
</file>

<file path=word/webSettings.xml><?xml version="1.0" encoding="utf-8"?>
<w:webSettings xmlns:r="http://schemas.openxmlformats.org/officeDocument/2006/relationships" xmlns:w="http://schemas.openxmlformats.org/wordprocessingml/2006/main">
  <w:divs>
    <w:div w:id="411391982">
      <w:bodyDiv w:val="1"/>
      <w:marLeft w:val="0"/>
      <w:marRight w:val="0"/>
      <w:marTop w:val="0"/>
      <w:marBottom w:val="0"/>
      <w:divBdr>
        <w:top w:val="none" w:sz="0" w:space="0" w:color="auto"/>
        <w:left w:val="none" w:sz="0" w:space="0" w:color="auto"/>
        <w:bottom w:val="none" w:sz="0" w:space="0" w:color="auto"/>
        <w:right w:val="none" w:sz="0" w:space="0" w:color="auto"/>
      </w:divBdr>
      <w:divsChild>
        <w:div w:id="1551260912">
          <w:marLeft w:val="0"/>
          <w:marRight w:val="0"/>
          <w:marTop w:val="0"/>
          <w:marBottom w:val="0"/>
          <w:divBdr>
            <w:top w:val="none" w:sz="0" w:space="0" w:color="auto"/>
            <w:left w:val="none" w:sz="0" w:space="0" w:color="auto"/>
            <w:bottom w:val="none" w:sz="0" w:space="0" w:color="auto"/>
            <w:right w:val="none" w:sz="0" w:space="0" w:color="auto"/>
          </w:divBdr>
          <w:divsChild>
            <w:div w:id="2128308597">
              <w:marLeft w:val="0"/>
              <w:marRight w:val="0"/>
              <w:marTop w:val="0"/>
              <w:marBottom w:val="0"/>
              <w:divBdr>
                <w:top w:val="none" w:sz="0" w:space="0" w:color="auto"/>
                <w:left w:val="none" w:sz="0" w:space="0" w:color="auto"/>
                <w:bottom w:val="none" w:sz="0" w:space="0" w:color="auto"/>
                <w:right w:val="none" w:sz="0" w:space="0" w:color="auto"/>
              </w:divBdr>
              <w:divsChild>
                <w:div w:id="1431244871">
                  <w:marLeft w:val="0"/>
                  <w:marRight w:val="0"/>
                  <w:marTop w:val="0"/>
                  <w:marBottom w:val="0"/>
                  <w:divBdr>
                    <w:top w:val="none" w:sz="0" w:space="0" w:color="auto"/>
                    <w:left w:val="none" w:sz="0" w:space="0" w:color="auto"/>
                    <w:bottom w:val="none" w:sz="0" w:space="0" w:color="auto"/>
                    <w:right w:val="none" w:sz="0" w:space="0" w:color="auto"/>
                  </w:divBdr>
                  <w:divsChild>
                    <w:div w:id="57235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285439">
      <w:bodyDiv w:val="1"/>
      <w:marLeft w:val="0"/>
      <w:marRight w:val="0"/>
      <w:marTop w:val="0"/>
      <w:marBottom w:val="0"/>
      <w:divBdr>
        <w:top w:val="none" w:sz="0" w:space="0" w:color="auto"/>
        <w:left w:val="none" w:sz="0" w:space="0" w:color="auto"/>
        <w:bottom w:val="none" w:sz="0" w:space="0" w:color="auto"/>
        <w:right w:val="none" w:sz="0" w:space="0" w:color="auto"/>
      </w:divBdr>
      <w:divsChild>
        <w:div w:id="354158991">
          <w:marLeft w:val="0"/>
          <w:marRight w:val="0"/>
          <w:marTop w:val="0"/>
          <w:marBottom w:val="0"/>
          <w:divBdr>
            <w:top w:val="none" w:sz="0" w:space="0" w:color="auto"/>
            <w:left w:val="none" w:sz="0" w:space="0" w:color="auto"/>
            <w:bottom w:val="none" w:sz="0" w:space="0" w:color="auto"/>
            <w:right w:val="none" w:sz="0" w:space="0" w:color="auto"/>
          </w:divBdr>
          <w:divsChild>
            <w:div w:id="1545288051">
              <w:marLeft w:val="0"/>
              <w:marRight w:val="0"/>
              <w:marTop w:val="0"/>
              <w:marBottom w:val="0"/>
              <w:divBdr>
                <w:top w:val="none" w:sz="0" w:space="0" w:color="auto"/>
                <w:left w:val="none" w:sz="0" w:space="0" w:color="auto"/>
                <w:bottom w:val="none" w:sz="0" w:space="0" w:color="auto"/>
                <w:right w:val="none" w:sz="0" w:space="0" w:color="auto"/>
              </w:divBdr>
              <w:divsChild>
                <w:div w:id="1074664135">
                  <w:marLeft w:val="0"/>
                  <w:marRight w:val="0"/>
                  <w:marTop w:val="0"/>
                  <w:marBottom w:val="0"/>
                  <w:divBdr>
                    <w:top w:val="none" w:sz="0" w:space="0" w:color="auto"/>
                    <w:left w:val="none" w:sz="0" w:space="0" w:color="auto"/>
                    <w:bottom w:val="none" w:sz="0" w:space="0" w:color="auto"/>
                    <w:right w:val="none" w:sz="0" w:space="0" w:color="auto"/>
                  </w:divBdr>
                  <w:divsChild>
                    <w:div w:id="104491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805446">
      <w:bodyDiv w:val="1"/>
      <w:marLeft w:val="0"/>
      <w:marRight w:val="0"/>
      <w:marTop w:val="0"/>
      <w:marBottom w:val="0"/>
      <w:divBdr>
        <w:top w:val="none" w:sz="0" w:space="0" w:color="auto"/>
        <w:left w:val="none" w:sz="0" w:space="0" w:color="auto"/>
        <w:bottom w:val="none" w:sz="0" w:space="0" w:color="auto"/>
        <w:right w:val="none" w:sz="0" w:space="0" w:color="auto"/>
      </w:divBdr>
      <w:divsChild>
        <w:div w:id="1525557409">
          <w:marLeft w:val="0"/>
          <w:marRight w:val="0"/>
          <w:marTop w:val="0"/>
          <w:marBottom w:val="0"/>
          <w:divBdr>
            <w:top w:val="none" w:sz="0" w:space="0" w:color="auto"/>
            <w:left w:val="none" w:sz="0" w:space="0" w:color="auto"/>
            <w:bottom w:val="none" w:sz="0" w:space="0" w:color="auto"/>
            <w:right w:val="none" w:sz="0" w:space="0" w:color="auto"/>
          </w:divBdr>
          <w:divsChild>
            <w:div w:id="1550721559">
              <w:marLeft w:val="0"/>
              <w:marRight w:val="0"/>
              <w:marTop w:val="0"/>
              <w:marBottom w:val="0"/>
              <w:divBdr>
                <w:top w:val="none" w:sz="0" w:space="0" w:color="auto"/>
                <w:left w:val="none" w:sz="0" w:space="0" w:color="auto"/>
                <w:bottom w:val="none" w:sz="0" w:space="0" w:color="auto"/>
                <w:right w:val="none" w:sz="0" w:space="0" w:color="auto"/>
              </w:divBdr>
              <w:divsChild>
                <w:div w:id="2121025410">
                  <w:marLeft w:val="0"/>
                  <w:marRight w:val="0"/>
                  <w:marTop w:val="0"/>
                  <w:marBottom w:val="0"/>
                  <w:divBdr>
                    <w:top w:val="none" w:sz="0" w:space="0" w:color="auto"/>
                    <w:left w:val="none" w:sz="0" w:space="0" w:color="auto"/>
                    <w:bottom w:val="none" w:sz="0" w:space="0" w:color="auto"/>
                    <w:right w:val="none" w:sz="0" w:space="0" w:color="auto"/>
                  </w:divBdr>
                  <w:divsChild>
                    <w:div w:id="175808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129864">
      <w:bodyDiv w:val="1"/>
      <w:marLeft w:val="0"/>
      <w:marRight w:val="0"/>
      <w:marTop w:val="0"/>
      <w:marBottom w:val="0"/>
      <w:divBdr>
        <w:top w:val="none" w:sz="0" w:space="0" w:color="auto"/>
        <w:left w:val="none" w:sz="0" w:space="0" w:color="auto"/>
        <w:bottom w:val="none" w:sz="0" w:space="0" w:color="auto"/>
        <w:right w:val="none" w:sz="0" w:space="0" w:color="auto"/>
      </w:divBdr>
      <w:divsChild>
        <w:div w:id="1097166892">
          <w:marLeft w:val="0"/>
          <w:marRight w:val="0"/>
          <w:marTop w:val="0"/>
          <w:marBottom w:val="0"/>
          <w:divBdr>
            <w:top w:val="none" w:sz="0" w:space="0" w:color="auto"/>
            <w:left w:val="none" w:sz="0" w:space="0" w:color="auto"/>
            <w:bottom w:val="none" w:sz="0" w:space="0" w:color="auto"/>
            <w:right w:val="none" w:sz="0" w:space="0" w:color="auto"/>
          </w:divBdr>
          <w:divsChild>
            <w:div w:id="1672440634">
              <w:marLeft w:val="0"/>
              <w:marRight w:val="0"/>
              <w:marTop w:val="0"/>
              <w:marBottom w:val="0"/>
              <w:divBdr>
                <w:top w:val="none" w:sz="0" w:space="0" w:color="auto"/>
                <w:left w:val="none" w:sz="0" w:space="0" w:color="auto"/>
                <w:bottom w:val="none" w:sz="0" w:space="0" w:color="auto"/>
                <w:right w:val="none" w:sz="0" w:space="0" w:color="auto"/>
              </w:divBdr>
              <w:divsChild>
                <w:div w:id="689181767">
                  <w:marLeft w:val="0"/>
                  <w:marRight w:val="0"/>
                  <w:marTop w:val="0"/>
                  <w:marBottom w:val="0"/>
                  <w:divBdr>
                    <w:top w:val="none" w:sz="0" w:space="0" w:color="auto"/>
                    <w:left w:val="none" w:sz="0" w:space="0" w:color="auto"/>
                    <w:bottom w:val="none" w:sz="0" w:space="0" w:color="auto"/>
                    <w:right w:val="none" w:sz="0" w:space="0" w:color="auto"/>
                  </w:divBdr>
                  <w:divsChild>
                    <w:div w:id="15540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naacc.com/web/lc_zq_1" TargetMode="External"/><Relationship Id="rId13" Type="http://schemas.openxmlformats.org/officeDocument/2006/relationships/hyperlink" Target="http://www.chinaacc.com/web/licai/" TargetMode="External"/><Relationship Id="rId18" Type="http://schemas.openxmlformats.org/officeDocument/2006/relationships/hyperlink" Target="http://www.chinaacc.com/wangxiao/ccbp/" TargetMode="External"/><Relationship Id="rId3" Type="http://schemas.openxmlformats.org/officeDocument/2006/relationships/webSettings" Target="webSettings.xml"/><Relationship Id="rId21" Type="http://schemas.openxmlformats.org/officeDocument/2006/relationships/hyperlink" Target="http://www.chinaacc.com/web/lc_zq_1" TargetMode="External"/><Relationship Id="rId7" Type="http://schemas.openxmlformats.org/officeDocument/2006/relationships/hyperlink" Target="http://www.chinaacc.com/wangxiao/ccbp/" TargetMode="External"/><Relationship Id="rId12" Type="http://schemas.openxmlformats.org/officeDocument/2006/relationships/image" Target="media/image1.jpeg"/><Relationship Id="rId17" Type="http://schemas.openxmlformats.org/officeDocument/2006/relationships/hyperlink" Target="http://www.chinaacc.com/web/lc_hj" TargetMode="External"/><Relationship Id="rId2" Type="http://schemas.openxmlformats.org/officeDocument/2006/relationships/settings" Target="settings.xml"/><Relationship Id="rId16" Type="http://schemas.openxmlformats.org/officeDocument/2006/relationships/hyperlink" Target="http://www.chinaacc.com/web/lc_sh_1" TargetMode="External"/><Relationship Id="rId20" Type="http://schemas.openxmlformats.org/officeDocument/2006/relationships/hyperlink" Target="http://www.chinaacc.com/wangxiao/zhengquan/" TargetMode="External"/><Relationship Id="rId1" Type="http://schemas.openxmlformats.org/officeDocument/2006/relationships/styles" Target="styles.xml"/><Relationship Id="rId6" Type="http://schemas.openxmlformats.org/officeDocument/2006/relationships/hyperlink" Target="http://www.chinaacc.com/web/licai/" TargetMode="External"/><Relationship Id="rId11" Type="http://schemas.openxmlformats.org/officeDocument/2006/relationships/hyperlink" Target="http://www.chinaacc.com/wangxiao/zhengquan/" TargetMode="External"/><Relationship Id="rId5" Type="http://schemas.openxmlformats.org/officeDocument/2006/relationships/endnotes" Target="endnotes.xml"/><Relationship Id="rId15" Type="http://schemas.openxmlformats.org/officeDocument/2006/relationships/image" Target="media/image2.gif"/><Relationship Id="rId23" Type="http://schemas.openxmlformats.org/officeDocument/2006/relationships/theme" Target="theme/theme1.xml"/><Relationship Id="rId10" Type="http://schemas.openxmlformats.org/officeDocument/2006/relationships/hyperlink" Target="http://www.chinaacc.com/web/lc_wh_2" TargetMode="External"/><Relationship Id="rId19" Type="http://schemas.openxmlformats.org/officeDocument/2006/relationships/hyperlink" Target="http://www.chinaacc.com/web/lc_wh_2" TargetMode="External"/><Relationship Id="rId4" Type="http://schemas.openxmlformats.org/officeDocument/2006/relationships/footnotes" Target="footnotes.xml"/><Relationship Id="rId9" Type="http://schemas.openxmlformats.org/officeDocument/2006/relationships/hyperlink" Target="http://www.chinaacc.com/web/licai/" TargetMode="External"/><Relationship Id="rId14" Type="http://schemas.openxmlformats.org/officeDocument/2006/relationships/hyperlink" Target="http://www.chinaacc.com/wangxiao/ccbp/"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866</Words>
  <Characters>4937</Characters>
  <Application>Microsoft Office Word</Application>
  <DocSecurity>0</DocSecurity>
  <Lines>41</Lines>
  <Paragraphs>11</Paragraphs>
  <ScaleCrop>false</ScaleCrop>
  <Company/>
  <LinksUpToDate>false</LinksUpToDate>
  <CharactersWithSpaces>5792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dc:creator>
  <cp:keywords/>
  <dc:description/>
  <cp:lastModifiedBy>wang</cp:lastModifiedBy>
  <cp:revision>5</cp:revision>
  <dcterms:created xsi:type="dcterms:W3CDTF">2011-07-14T23:16:00Z</dcterms:created>
  <dcterms:modified xsi:type="dcterms:W3CDTF">2011-07-15T23:19:00Z</dcterms:modified>
</cp:coreProperties>
</file>