
<file path=[Content_Types].xml><?xml version="1.0" encoding="utf-8"?>
<Types xmlns="http://schemas.openxmlformats.org/package/2006/content-types">
  <Override PartName="/_rels/.rels" ContentType="application/vnd.openxmlformats-package.relationships+xml"/>
  <Override PartName="/word/_rels/document.xml.rels" ContentType="application/vnd.openxmlformats-package.relationships+xml"/>
  <Override PartName="/word/settings.xml" ContentType="application/vnd.openxmlformats-officedocument.wordprocessingml.settings+xml"/>
  <Override PartName="/word/fontTable.xml" ContentType="application/vnd.openxmlformats-officedocument.wordprocessingml.fontTable+xml"/>
  <Override PartName="/word/document.xml" ContentType="application/vnd.openxmlformats-officedocument.wordprocessingml.document.main+xml"/>
  <Override PartName="/word/numbering.xml" ContentType="application/vnd.openxmlformats-officedocument.wordprocessingml.numbering+xml"/>
  <Override PartName="/word/footer1.xml" ContentType="application/vnd.openxmlformats-officedocument.wordprocessingml.footer+xml"/>
  <Override PartName="/word/theme/theme1.xml" ContentType="application/vnd.openxmlformats-officedocument.theme+xml"/>
  <Override PartName="/word/styles.xml" ContentType="application/vnd.openxmlformats-officedocument.wordprocessingml.styles+xml"/>
  <Override PartName="/docProps/custom.xml" ContentType="application/vnd.openxmlformats-officedocument.custom-properties+xml"/>
  <Override PartName="/docProps/app.xml" ContentType="application/vnd.openxmlformats-officedocument.extended-properties+xml"/>
  <Override PartName="/docProps/core.xml" ContentType="application/vnd.openxmlformats-package.core-propertie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mc:Ignorable="w14 wp14">
  <w:body>
    <w:p>
      <w:pPr>
        <w:pStyle w:val="Normal"/>
        <w:spacing w:lineRule="exact" w:line="520"/>
        <w:jc w:val="center"/>
        <w:rPr>
          <w:rFonts w:eastAsia="黑体"/>
          <w:b/>
          <w:b/>
          <w:sz w:val="36"/>
          <w:szCs w:val="52"/>
        </w:rPr>
      </w:pPr>
      <w:r>
        <w:rPr>
          <w:rFonts w:eastAsia="黑体"/>
          <w:b/>
          <w:sz w:val="36"/>
          <w:szCs w:val="52"/>
        </w:rPr>
      </w:r>
    </w:p>
    <w:p>
      <w:pPr>
        <w:pStyle w:val="Normal"/>
        <w:spacing w:lineRule="exact" w:line="520"/>
        <w:jc w:val="center"/>
        <w:rPr>
          <w:rFonts w:eastAsia="黑体"/>
          <w:b/>
          <w:b/>
          <w:sz w:val="36"/>
          <w:szCs w:val="52"/>
        </w:rPr>
      </w:pPr>
      <w:r>
        <w:rPr>
          <w:rFonts w:eastAsia="黑体"/>
          <w:b/>
          <w:sz w:val="36"/>
          <w:szCs w:val="52"/>
        </w:rPr>
        <w:t>关于租赁利用自有外债额度</w:t>
      </w:r>
    </w:p>
    <w:p>
      <w:pPr>
        <w:pStyle w:val="Normal"/>
        <w:spacing w:lineRule="exact" w:line="520"/>
        <w:jc w:val="center"/>
        <w:rPr>
          <w:rFonts w:eastAsia="黑体"/>
          <w:b/>
          <w:b/>
          <w:sz w:val="36"/>
          <w:szCs w:val="52"/>
        </w:rPr>
      </w:pPr>
      <w:r>
        <w:rPr>
          <w:rFonts w:eastAsia="黑体"/>
          <w:b/>
          <w:sz w:val="36"/>
          <w:szCs w:val="52"/>
        </w:rPr>
        <w:t>为境内企业开展售后回租融资业务的操作方案</w:t>
      </w:r>
    </w:p>
    <w:p>
      <w:pPr>
        <w:pStyle w:val="Normal"/>
        <w:spacing w:lineRule="exact" w:line="520"/>
        <w:jc w:val="center"/>
        <w:rPr>
          <w:b/>
          <w:b/>
          <w:sz w:val="44"/>
          <w:szCs w:val="44"/>
        </w:rPr>
      </w:pPr>
      <w:r>
        <w:rPr>
          <w:b/>
          <w:sz w:val="44"/>
          <w:szCs w:val="44"/>
        </w:rPr>
      </w:r>
    </w:p>
    <w:p>
      <w:pPr>
        <w:pStyle w:val="Normal"/>
        <w:numPr>
          <w:ilvl w:val="0"/>
          <w:numId w:val="1"/>
        </w:numPr>
        <w:spacing w:lineRule="exact" w:line="480"/>
        <w:rPr>
          <w:rFonts w:ascii="华文仿宋" w:hAnsi="华文仿宋" w:eastAsia="华文仿宋"/>
          <w:b/>
          <w:b/>
          <w:sz w:val="28"/>
          <w:szCs w:val="28"/>
        </w:rPr>
      </w:pPr>
      <w:r>
        <w:rPr>
          <w:rFonts w:ascii="华文仿宋" w:hAnsi="华文仿宋" w:eastAsia="华文仿宋"/>
          <w:b/>
          <w:sz w:val="28"/>
          <w:szCs w:val="28"/>
        </w:rPr>
        <w:t>新型融资方式――售后回租</w:t>
      </w:r>
    </w:p>
    <w:p>
      <w:pPr>
        <w:pStyle w:val="Normal"/>
        <w:spacing w:lineRule="exact" w:line="480"/>
        <w:ind w:firstLine="560"/>
        <w:rPr>
          <w:rFonts w:ascii="华文仿宋" w:hAnsi="华文仿宋" w:eastAsia="华文仿宋"/>
          <w:sz w:val="28"/>
          <w:szCs w:val="28"/>
        </w:rPr>
      </w:pPr>
      <w:r>
        <w:rPr>
          <w:rFonts w:ascii="华文仿宋" w:hAnsi="华文仿宋" w:eastAsia="华文仿宋"/>
          <w:sz w:val="28"/>
          <w:szCs w:val="28"/>
        </w:rPr>
        <w:t>售后回租是指承租人（卖方）将一项自制或者外购的的资产出售后，又将该项资产从出租人（买方）处租回，俗称“回租”。在售后融资租赁中，资产的原所有者在保留对资产使用权的前提下，将固定资产转化为货币资本，满足了融资需求。</w:t>
      </w:r>
    </w:p>
    <w:p>
      <w:pPr>
        <w:pStyle w:val="Normal"/>
        <w:spacing w:lineRule="exact" w:line="480"/>
        <w:ind w:firstLine="561"/>
        <w:rPr>
          <w:rFonts w:ascii="华文仿宋" w:hAnsi="华文仿宋" w:eastAsia="华文仿宋"/>
          <w:b/>
          <w:b/>
          <w:sz w:val="28"/>
          <w:szCs w:val="28"/>
        </w:rPr>
      </w:pPr>
      <w:r>
        <w:rPr>
          <w:rFonts w:eastAsia="华文仿宋" w:ascii="华文仿宋" w:hAnsi="华文仿宋"/>
          <w:b/>
          <w:sz w:val="28"/>
          <w:szCs w:val="28"/>
        </w:rPr>
      </w:r>
    </w:p>
    <w:p>
      <w:pPr>
        <w:pStyle w:val="Normal"/>
        <w:numPr>
          <w:ilvl w:val="0"/>
          <w:numId w:val="1"/>
        </w:numPr>
        <w:spacing w:lineRule="exact" w:line="480"/>
        <w:rPr>
          <w:rFonts w:ascii="华文仿宋" w:hAnsi="华文仿宋" w:eastAsia="华文仿宋"/>
          <w:b/>
          <w:b/>
          <w:sz w:val="28"/>
          <w:szCs w:val="28"/>
        </w:rPr>
      </w:pPr>
      <w:r>
        <w:rPr>
          <w:rFonts w:ascii="华文仿宋" w:hAnsi="华文仿宋" w:eastAsia="华文仿宋"/>
          <w:b/>
          <w:sz w:val="28"/>
          <w:szCs w:val="28"/>
        </w:rPr>
        <w:t xml:space="preserve">合作简述 </w:t>
      </w:r>
    </w:p>
    <w:p>
      <w:pPr>
        <w:pStyle w:val="Normal"/>
        <w:spacing w:lineRule="exact" w:line="480"/>
        <w:ind w:firstLine="560"/>
        <w:rPr>
          <w:rFonts w:ascii="华文仿宋" w:hAnsi="华文仿宋" w:eastAsia="华文仿宋"/>
          <w:sz w:val="28"/>
          <w:szCs w:val="28"/>
        </w:rPr>
      </w:pPr>
      <w:r>
        <w:rPr>
          <w:rFonts w:ascii="华文仿宋" w:hAnsi="华文仿宋" w:eastAsia="华文仿宋"/>
          <w:sz w:val="28"/>
          <w:szCs w:val="28"/>
        </w:rPr>
        <w:t>境内企业与租赁公司及境内银行、境外银行进行创新结构性交易，通过融资租赁售后回租、外债项下内保外贷、境内银行监管等操作引进境外资金支撑国内融资租赁业务。</w:t>
      </w:r>
    </w:p>
    <w:p>
      <w:pPr>
        <w:pStyle w:val="Normal"/>
        <w:spacing w:lineRule="exact" w:line="480"/>
        <w:ind w:firstLine="560"/>
        <w:rPr>
          <w:rFonts w:ascii="华文仿宋" w:hAnsi="华文仿宋" w:eastAsia="华文仿宋"/>
          <w:sz w:val="28"/>
          <w:szCs w:val="28"/>
        </w:rPr>
      </w:pPr>
      <w:r>
        <w:rPr>
          <w:rFonts w:ascii="华文仿宋" w:hAnsi="华文仿宋" w:eastAsia="华文仿宋"/>
          <w:sz w:val="28"/>
          <w:szCs w:val="28"/>
        </w:rPr>
        <w:t>境内企业利用售后回租融资的方式，以其自有的存量资产出售给租赁公司，获取可用于再投资的资金后，再向租赁公司租赁该资产继续经营使用，通过融物的手段，达到融资的目的。租赁公司是银行的平台性客户，它的物权控制和风险控制都有法律保障，是银行的优良合作伙伴和信贷对象。租赁公司最大的优势就是将各方的信用嫁接和叠加，从而控制了信贷风险，使存量资产发挥有效的再融资功能。该等操作具风险低，操作简便，资金使用期限较长（可长达</w:t>
      </w:r>
      <w:r>
        <w:rPr>
          <w:rFonts w:eastAsia="华文仿宋" w:ascii="华文仿宋" w:hAnsi="华文仿宋"/>
          <w:sz w:val="28"/>
          <w:szCs w:val="28"/>
        </w:rPr>
        <w:t>3</w:t>
      </w:r>
      <w:r>
        <w:rPr>
          <w:rFonts w:ascii="华文仿宋" w:hAnsi="华文仿宋" w:eastAsia="华文仿宋"/>
          <w:sz w:val="28"/>
          <w:szCs w:val="28"/>
        </w:rPr>
        <w:t>年），还款方式灵活等特点。</w:t>
      </w:r>
    </w:p>
    <w:p>
      <w:pPr>
        <w:pStyle w:val="Normal"/>
        <w:spacing w:lineRule="exact" w:line="480"/>
        <w:ind w:firstLine="560"/>
        <w:rPr>
          <w:rFonts w:ascii="华文仿宋" w:hAnsi="华文仿宋" w:eastAsia="华文仿宋"/>
          <w:sz w:val="28"/>
          <w:szCs w:val="28"/>
        </w:rPr>
      </w:pPr>
      <w:r>
        <w:rPr>
          <w:rFonts w:eastAsia="华文仿宋" w:ascii="华文仿宋" w:hAnsi="华文仿宋"/>
          <w:sz w:val="28"/>
          <w:szCs w:val="28"/>
        </w:rPr>
      </w:r>
    </w:p>
    <w:p>
      <w:pPr>
        <w:pStyle w:val="Normal"/>
        <w:numPr>
          <w:ilvl w:val="0"/>
          <w:numId w:val="1"/>
        </w:numPr>
        <w:spacing w:lineRule="exact" w:line="480" w:before="156" w:after="0"/>
        <w:rPr>
          <w:rFonts w:ascii="华文仿宋" w:hAnsi="华文仿宋" w:eastAsia="华文仿宋"/>
          <w:b/>
          <w:b/>
          <w:sz w:val="28"/>
          <w:szCs w:val="28"/>
        </w:rPr>
      </w:pPr>
      <w:r>
        <w:rPr>
          <w:rFonts w:ascii="华文仿宋" w:hAnsi="华文仿宋" w:eastAsia="华文仿宋"/>
          <w:b/>
          <w:sz w:val="28"/>
          <w:szCs w:val="28"/>
        </w:rPr>
        <w:t>外债项下融资租赁售后回租优势</w:t>
      </w:r>
    </w:p>
    <w:p>
      <w:pPr>
        <w:pStyle w:val="Normal"/>
        <w:spacing w:lineRule="exact" w:line="480" w:before="156" w:after="0"/>
        <w:rPr>
          <w:rFonts w:ascii="华文仿宋" w:hAnsi="华文仿宋" w:eastAsia="华文仿宋"/>
          <w:b/>
          <w:b/>
          <w:sz w:val="28"/>
          <w:szCs w:val="28"/>
        </w:rPr>
      </w:pPr>
      <w:r>
        <w:rPr>
          <w:rFonts w:ascii="华文仿宋" w:hAnsi="华文仿宋" w:eastAsia="华文仿宋"/>
          <w:b/>
          <w:sz w:val="28"/>
          <w:szCs w:val="28"/>
        </w:rPr>
        <w:t>（一）银行优势：</w:t>
      </w:r>
    </w:p>
    <w:p>
      <w:pPr>
        <w:pStyle w:val="Normal"/>
        <w:spacing w:lineRule="exact" w:line="480" w:before="156" w:after="0"/>
        <w:ind w:left="770" w:hanging="560"/>
        <w:rPr>
          <w:rFonts w:ascii="华文仿宋" w:hAnsi="华文仿宋" w:eastAsia="华文仿宋"/>
          <w:sz w:val="28"/>
          <w:szCs w:val="28"/>
        </w:rPr>
      </w:pPr>
      <w:r>
        <w:rPr>
          <w:rFonts w:eastAsia="华文仿宋" w:ascii="华文仿宋" w:hAnsi="华文仿宋"/>
          <w:sz w:val="28"/>
          <w:szCs w:val="28"/>
        </w:rPr>
        <w:t>1</w:t>
      </w:r>
      <w:r>
        <w:rPr>
          <w:rFonts w:ascii="华文仿宋" w:hAnsi="华文仿宋" w:eastAsia="华文仿宋"/>
          <w:sz w:val="28"/>
          <w:szCs w:val="28"/>
        </w:rPr>
        <w:t>、　境内银行在银行规模空前紧张的情况下，通过开具内部保函实现可观的中间业务收入，即解决规模又实现可观的收益；</w:t>
      </w:r>
      <w:r>
        <w:rPr>
          <w:rFonts w:eastAsia="华文仿宋" w:ascii="华文仿宋" w:hAnsi="华文仿宋"/>
          <w:sz w:val="28"/>
          <w:szCs w:val="28"/>
        </w:rPr>
        <w:t>(</w:t>
      </w:r>
      <w:r>
        <w:rPr>
          <w:rFonts w:ascii="华文仿宋" w:hAnsi="华文仿宋" w:eastAsia="华文仿宋"/>
          <w:sz w:val="28"/>
          <w:szCs w:val="28"/>
        </w:rPr>
        <w:t>银行希望出表</w:t>
      </w:r>
      <w:r>
        <w:rPr>
          <w:rFonts w:eastAsia="华文仿宋" w:ascii="华文仿宋" w:hAnsi="华文仿宋"/>
          <w:sz w:val="28"/>
          <w:szCs w:val="28"/>
        </w:rPr>
        <w:t>)</w:t>
      </w:r>
    </w:p>
    <w:p>
      <w:pPr>
        <w:pStyle w:val="Normal"/>
        <w:spacing w:lineRule="exact" w:line="480" w:before="156" w:after="0"/>
        <w:ind w:left="770" w:hanging="560"/>
        <w:rPr>
          <w:rFonts w:ascii="华文仿宋" w:hAnsi="华文仿宋" w:eastAsia="华文仿宋"/>
          <w:sz w:val="28"/>
          <w:szCs w:val="28"/>
        </w:rPr>
      </w:pPr>
      <w:r>
        <w:rPr>
          <w:rFonts w:eastAsia="华文仿宋" w:ascii="华文仿宋" w:hAnsi="华文仿宋"/>
          <w:sz w:val="28"/>
          <w:szCs w:val="28"/>
        </w:rPr>
        <w:t>2</w:t>
      </w:r>
      <w:r>
        <w:rPr>
          <w:rFonts w:ascii="华文仿宋" w:hAnsi="华文仿宋" w:eastAsia="华文仿宋"/>
          <w:sz w:val="28"/>
          <w:szCs w:val="28"/>
        </w:rPr>
        <w:t>、　解决分行存款压力，一次性沉淀人民币数十亿元存款；</w:t>
      </w:r>
    </w:p>
    <w:p>
      <w:pPr>
        <w:pStyle w:val="Normal"/>
        <w:spacing w:lineRule="exact" w:line="480" w:before="156" w:after="0"/>
        <w:ind w:left="770" w:hanging="560"/>
        <w:rPr>
          <w:rFonts w:ascii="华文仿宋" w:hAnsi="华文仿宋" w:eastAsia="华文仿宋"/>
          <w:sz w:val="28"/>
          <w:szCs w:val="28"/>
        </w:rPr>
      </w:pPr>
      <w:r>
        <w:rPr>
          <w:rFonts w:eastAsia="华文仿宋" w:ascii="华文仿宋" w:hAnsi="华文仿宋"/>
          <w:sz w:val="28"/>
          <w:szCs w:val="28"/>
        </w:rPr>
        <w:t>3</w:t>
      </w:r>
      <w:r>
        <w:rPr>
          <w:rFonts w:ascii="华文仿宋" w:hAnsi="华文仿宋" w:eastAsia="华文仿宋"/>
          <w:sz w:val="28"/>
          <w:szCs w:val="28"/>
        </w:rPr>
        <w:t>、　结售汇结汇收入；</w:t>
      </w:r>
    </w:p>
    <w:p>
      <w:pPr>
        <w:pStyle w:val="Normal"/>
        <w:spacing w:lineRule="exact" w:line="480" w:before="156" w:after="0"/>
        <w:ind w:left="770" w:hanging="560"/>
        <w:rPr>
          <w:rFonts w:ascii="华文仿宋" w:hAnsi="华文仿宋" w:eastAsia="华文仿宋"/>
          <w:sz w:val="28"/>
          <w:szCs w:val="28"/>
        </w:rPr>
      </w:pPr>
      <w:r>
        <w:rPr>
          <w:rFonts w:eastAsia="华文仿宋" w:ascii="华文仿宋" w:hAnsi="华文仿宋"/>
          <w:sz w:val="28"/>
          <w:szCs w:val="28"/>
        </w:rPr>
        <w:t>4</w:t>
      </w:r>
      <w:r>
        <w:rPr>
          <w:rFonts w:ascii="华文仿宋" w:hAnsi="华文仿宋" w:eastAsia="华文仿宋"/>
          <w:sz w:val="28"/>
          <w:szCs w:val="28"/>
        </w:rPr>
        <w:t>、　通过该业务可实现与各类高品质客户的紧密合作。</w:t>
      </w:r>
    </w:p>
    <w:p>
      <w:pPr>
        <w:pStyle w:val="Normal"/>
        <w:spacing w:lineRule="exact" w:line="480" w:before="156" w:after="0"/>
        <w:rPr>
          <w:rFonts w:ascii="华文仿宋" w:hAnsi="华文仿宋" w:eastAsia="华文仿宋"/>
          <w:b/>
          <w:b/>
          <w:sz w:val="28"/>
          <w:szCs w:val="28"/>
        </w:rPr>
      </w:pPr>
      <w:r>
        <w:rPr>
          <w:rFonts w:ascii="华文仿宋" w:hAnsi="华文仿宋" w:eastAsia="华文仿宋"/>
          <w:b/>
          <w:sz w:val="28"/>
          <w:szCs w:val="28"/>
        </w:rPr>
        <w:t xml:space="preserve"> </w:t>
      </w:r>
      <w:r>
        <w:rPr>
          <w:rFonts w:ascii="华文仿宋" w:hAnsi="华文仿宋" w:eastAsia="华文仿宋"/>
          <w:b/>
          <w:sz w:val="28"/>
          <w:szCs w:val="28"/>
        </w:rPr>
        <w:t>（二）客户优势：</w:t>
      </w:r>
    </w:p>
    <w:p>
      <w:pPr>
        <w:pStyle w:val="Normal"/>
        <w:numPr>
          <w:ilvl w:val="4"/>
          <w:numId w:val="1"/>
        </w:numPr>
        <w:tabs>
          <w:tab w:val="left" w:pos="851" w:leader="none"/>
        </w:tabs>
        <w:spacing w:lineRule="exact" w:line="480" w:before="156" w:after="0"/>
        <w:ind w:left="851" w:hanging="720"/>
        <w:rPr>
          <w:rFonts w:ascii="华文仿宋" w:hAnsi="华文仿宋" w:eastAsia="华文仿宋"/>
          <w:sz w:val="28"/>
          <w:szCs w:val="28"/>
        </w:rPr>
      </w:pPr>
      <w:r>
        <w:rPr>
          <w:rFonts w:ascii="华文仿宋" w:hAnsi="华文仿宋" w:eastAsia="华文仿宋"/>
          <w:b/>
          <w:sz w:val="28"/>
          <w:szCs w:val="28"/>
        </w:rPr>
        <w:t>资金使用灵活</w:t>
      </w:r>
      <w:r>
        <w:rPr>
          <w:rFonts w:ascii="华文仿宋" w:hAnsi="华文仿宋" w:eastAsia="华文仿宋"/>
          <w:sz w:val="28"/>
          <w:szCs w:val="28"/>
        </w:rPr>
        <w:t>：无资金使用强制要求，资产购买价款到客户账户后，企业可自主灵活安排资金使用方向和性质，并可作为新项目资本金投入；</w:t>
      </w:r>
    </w:p>
    <w:p>
      <w:pPr>
        <w:pStyle w:val="Normal"/>
        <w:numPr>
          <w:ilvl w:val="4"/>
          <w:numId w:val="1"/>
        </w:numPr>
        <w:tabs>
          <w:tab w:val="left" w:pos="851" w:leader="none"/>
        </w:tabs>
        <w:spacing w:lineRule="exact" w:line="480" w:before="156" w:after="0"/>
        <w:ind w:left="851" w:hanging="720"/>
        <w:rPr>
          <w:rFonts w:ascii="华文仿宋" w:hAnsi="华文仿宋" w:eastAsia="华文仿宋"/>
          <w:sz w:val="28"/>
          <w:szCs w:val="28"/>
        </w:rPr>
      </w:pPr>
      <w:r>
        <w:rPr>
          <w:rFonts w:ascii="华文仿宋" w:hAnsi="华文仿宋" w:eastAsia="华文仿宋"/>
          <w:b/>
          <w:sz w:val="28"/>
          <w:szCs w:val="28"/>
        </w:rPr>
        <w:t>资金额度较大</w:t>
      </w:r>
      <w:r>
        <w:rPr>
          <w:rFonts w:ascii="华文仿宋" w:hAnsi="华文仿宋" w:eastAsia="华文仿宋"/>
          <w:sz w:val="28"/>
          <w:szCs w:val="28"/>
        </w:rPr>
        <w:t>：通过上述操作企业可一次性解决人民币</w:t>
      </w:r>
      <w:r>
        <w:rPr>
          <w:rFonts w:eastAsia="华文仿宋" w:ascii="华文仿宋" w:hAnsi="华文仿宋"/>
          <w:sz w:val="28"/>
          <w:szCs w:val="28"/>
        </w:rPr>
        <w:t>10-30</w:t>
      </w:r>
      <w:r>
        <w:rPr>
          <w:rFonts w:ascii="华文仿宋" w:hAnsi="华文仿宋" w:eastAsia="华文仿宋"/>
          <w:sz w:val="28"/>
          <w:szCs w:val="28"/>
        </w:rPr>
        <w:t>亿元的资金需求；</w:t>
      </w:r>
    </w:p>
    <w:p>
      <w:pPr>
        <w:pStyle w:val="Normal"/>
        <w:numPr>
          <w:ilvl w:val="4"/>
          <w:numId w:val="1"/>
        </w:numPr>
        <w:tabs>
          <w:tab w:val="left" w:pos="851" w:leader="none"/>
        </w:tabs>
        <w:spacing w:lineRule="exact" w:line="480" w:before="156" w:after="0"/>
        <w:ind w:left="851" w:hanging="720"/>
        <w:rPr>
          <w:rFonts w:ascii="华文仿宋" w:hAnsi="华文仿宋" w:eastAsia="华文仿宋"/>
          <w:sz w:val="28"/>
          <w:szCs w:val="28"/>
        </w:rPr>
      </w:pPr>
      <w:r>
        <w:rPr>
          <w:rFonts w:ascii="华文仿宋" w:hAnsi="华文仿宋" w:eastAsia="华文仿宋"/>
          <w:b/>
          <w:sz w:val="28"/>
          <w:szCs w:val="28"/>
        </w:rPr>
        <w:t>资金使用时间较长</w:t>
      </w:r>
      <w:r>
        <w:rPr>
          <w:rFonts w:ascii="华文仿宋" w:hAnsi="华文仿宋" w:eastAsia="华文仿宋"/>
          <w:sz w:val="28"/>
          <w:szCs w:val="28"/>
        </w:rPr>
        <w:t>：资金使用时间一般为</w:t>
      </w:r>
      <w:r>
        <w:rPr>
          <w:rFonts w:eastAsia="华文仿宋" w:ascii="华文仿宋" w:hAnsi="华文仿宋"/>
          <w:sz w:val="28"/>
          <w:szCs w:val="28"/>
        </w:rPr>
        <w:t>3</w:t>
      </w:r>
      <w:r>
        <w:rPr>
          <w:rFonts w:ascii="华文仿宋" w:hAnsi="华文仿宋" w:eastAsia="华文仿宋"/>
          <w:sz w:val="28"/>
          <w:szCs w:val="28"/>
        </w:rPr>
        <w:t>年，到期后可协商再续期，利于解决企业中长期资金需求；</w:t>
      </w:r>
    </w:p>
    <w:p>
      <w:pPr>
        <w:pStyle w:val="Normal"/>
        <w:numPr>
          <w:ilvl w:val="4"/>
          <w:numId w:val="1"/>
        </w:numPr>
        <w:tabs>
          <w:tab w:val="left" w:pos="851" w:leader="none"/>
        </w:tabs>
        <w:spacing w:lineRule="exact" w:line="480" w:before="156" w:after="0"/>
        <w:ind w:left="851" w:hanging="720"/>
        <w:rPr>
          <w:rFonts w:ascii="华文仿宋" w:hAnsi="华文仿宋" w:eastAsia="华文仿宋"/>
          <w:sz w:val="28"/>
          <w:szCs w:val="28"/>
        </w:rPr>
      </w:pPr>
      <w:r>
        <w:rPr>
          <w:rFonts w:ascii="华文仿宋" w:hAnsi="华文仿宋" w:eastAsia="华文仿宋"/>
          <w:b/>
          <w:sz w:val="28"/>
          <w:szCs w:val="28"/>
        </w:rPr>
        <w:t>资金成本较低</w:t>
      </w:r>
      <w:r>
        <w:rPr>
          <w:rFonts w:ascii="华文仿宋" w:hAnsi="华文仿宋" w:eastAsia="华文仿宋"/>
          <w:sz w:val="28"/>
          <w:szCs w:val="28"/>
        </w:rPr>
        <w:t>：</w:t>
      </w:r>
      <w:r>
        <w:rPr>
          <w:rFonts w:eastAsia="华文仿宋" w:ascii="华文仿宋" w:hAnsi="华文仿宋"/>
          <w:sz w:val="28"/>
          <w:szCs w:val="28"/>
        </w:rPr>
        <w:t>1</w:t>
      </w:r>
      <w:r>
        <w:rPr>
          <w:rFonts w:ascii="华文仿宋" w:hAnsi="华文仿宋" w:eastAsia="华文仿宋"/>
          <w:sz w:val="28"/>
          <w:szCs w:val="28"/>
        </w:rPr>
        <w:t>）通过引进境外低成本资金，利率水平根据当期境外市场外币资金价格定价，从而满足企业融资成本低的需求；</w:t>
      </w:r>
      <w:r>
        <w:rPr>
          <w:rFonts w:eastAsia="华文仿宋" w:ascii="华文仿宋" w:hAnsi="华文仿宋"/>
          <w:sz w:val="28"/>
          <w:szCs w:val="28"/>
        </w:rPr>
        <w:t>2</w:t>
      </w:r>
      <w:r>
        <w:rPr>
          <w:rFonts w:ascii="华文仿宋" w:hAnsi="华文仿宋" w:eastAsia="华文仿宋"/>
          <w:sz w:val="28"/>
          <w:szCs w:val="28"/>
        </w:rPr>
        <w:t>）、</w:t>
      </w:r>
      <w:r>
        <w:rPr>
          <w:rFonts w:ascii="华文仿宋" w:hAnsi="华文仿宋" w:eastAsia="华文仿宋"/>
          <w:b/>
          <w:sz w:val="28"/>
          <w:szCs w:val="28"/>
        </w:rPr>
        <w:t>企业借入人民币，三年后只需偿还人民币即可，汇率变化由租赁公司承担，无需考虑汇率变化风险</w:t>
      </w:r>
      <w:r>
        <w:rPr>
          <w:rFonts w:ascii="华文仿宋" w:hAnsi="华文仿宋" w:eastAsia="华文仿宋"/>
          <w:sz w:val="28"/>
          <w:szCs w:val="28"/>
        </w:rPr>
        <w:t>；</w:t>
      </w:r>
      <w:r>
        <w:rPr>
          <w:rFonts w:eastAsia="华文仿宋" w:ascii="华文仿宋" w:hAnsi="华文仿宋"/>
          <w:sz w:val="28"/>
          <w:szCs w:val="28"/>
        </w:rPr>
        <w:t>3</w:t>
      </w:r>
      <w:r>
        <w:rPr>
          <w:rFonts w:ascii="华文仿宋" w:hAnsi="华文仿宋" w:eastAsia="华文仿宋"/>
          <w:sz w:val="28"/>
          <w:szCs w:val="28"/>
        </w:rPr>
        <w:t>）租赁公司可对租金增值部分按</w:t>
      </w:r>
      <w:r>
        <w:rPr>
          <w:rFonts w:eastAsia="华文仿宋" w:ascii="华文仿宋" w:hAnsi="华文仿宋"/>
          <w:sz w:val="28"/>
          <w:szCs w:val="28"/>
        </w:rPr>
        <w:t>17%</w:t>
      </w:r>
      <w:r>
        <w:rPr>
          <w:rFonts w:ascii="华文仿宋" w:hAnsi="华文仿宋" w:eastAsia="华文仿宋"/>
          <w:sz w:val="28"/>
          <w:szCs w:val="28"/>
        </w:rPr>
        <w:t>税率开具全额增值税发票，企业可全额进项抵扣，抵扣后综合成本相当于同期人民币基准利率下浮</w:t>
      </w:r>
      <w:r>
        <w:rPr>
          <w:rFonts w:eastAsia="华文仿宋" w:ascii="华文仿宋" w:hAnsi="华文仿宋"/>
          <w:sz w:val="28"/>
          <w:szCs w:val="28"/>
        </w:rPr>
        <w:t>14.53%</w:t>
      </w:r>
      <w:r>
        <w:rPr>
          <w:rFonts w:ascii="华文仿宋" w:hAnsi="华文仿宋" w:eastAsia="华文仿宋"/>
          <w:sz w:val="28"/>
          <w:szCs w:val="28"/>
        </w:rPr>
        <w:t>，远低于银行同期放款利率</w:t>
      </w:r>
      <w:r>
        <w:rPr>
          <w:rFonts w:eastAsia="华文仿宋" w:ascii="华文仿宋" w:hAnsi="华文仿宋"/>
          <w:sz w:val="28"/>
          <w:szCs w:val="28"/>
        </w:rPr>
        <w:t>(</w:t>
      </w:r>
      <w:r>
        <w:rPr>
          <w:rFonts w:ascii="华文仿宋" w:hAnsi="华文仿宋" w:eastAsia="华文仿宋"/>
          <w:sz w:val="28"/>
          <w:szCs w:val="28"/>
        </w:rPr>
        <w:t>具体如下表</w:t>
      </w:r>
      <w:r>
        <w:rPr>
          <w:rFonts w:eastAsia="华文仿宋" w:ascii="华文仿宋" w:hAnsi="华文仿宋"/>
          <w:sz w:val="28"/>
          <w:szCs w:val="28"/>
        </w:rPr>
        <w:t>)</w:t>
      </w:r>
      <w:r>
        <w:rPr>
          <w:rFonts w:ascii="华文仿宋" w:hAnsi="华文仿宋" w:eastAsia="华文仿宋"/>
          <w:sz w:val="28"/>
          <w:szCs w:val="28"/>
        </w:rPr>
        <w:t>；</w:t>
      </w:r>
      <w:r>
        <w:rPr>
          <w:rFonts w:eastAsia="华文仿宋" w:ascii="华文仿宋" w:hAnsi="华文仿宋"/>
          <w:sz w:val="28"/>
          <w:szCs w:val="28"/>
        </w:rPr>
        <w:t>4</w:t>
      </w:r>
      <w:r>
        <w:rPr>
          <w:rFonts w:ascii="华文仿宋" w:hAnsi="华文仿宋" w:eastAsia="华文仿宋"/>
          <w:sz w:val="28"/>
          <w:szCs w:val="28"/>
        </w:rPr>
        <w:t>）有别于同业融资租赁公司按季</w:t>
      </w:r>
      <w:r>
        <w:rPr>
          <w:rFonts w:eastAsia="华文仿宋" w:ascii="华文仿宋" w:hAnsi="华文仿宋"/>
          <w:sz w:val="28"/>
          <w:szCs w:val="28"/>
        </w:rPr>
        <w:t>/</w:t>
      </w:r>
      <w:r>
        <w:rPr>
          <w:rFonts w:ascii="华文仿宋" w:hAnsi="华文仿宋" w:eastAsia="华文仿宋"/>
          <w:sz w:val="28"/>
          <w:szCs w:val="28"/>
        </w:rPr>
        <w:t>按年等额本息还款方式（企业承受的实际利率比合同约定的名义利率高），我司售后回租业务采用按季付息，期末一次性还本方式，保证客户所承受的实际利率就是合同约定的名义利率，企业资金使用率较前者高，进一步降低融资实际成本；</w:t>
      </w:r>
    </w:p>
    <w:tbl>
      <w:tblPr>
        <w:tblW w:w="5000" w:type="pct"/>
        <w:jc w:val="left"/>
        <w:tblInd w:w="0" w:type="dxa"/>
        <w:tblBorders/>
        <w:tblCellMar>
          <w:top w:w="0" w:type="dxa"/>
          <w:left w:w="108" w:type="dxa"/>
          <w:bottom w:w="0" w:type="dxa"/>
          <w:right w:w="108" w:type="dxa"/>
        </w:tblCellMar>
        <w:tblLook w:val="04a0" w:noVBand="1" w:noHBand="0" w:lastColumn="0" w:firstColumn="1" w:lastRow="0" w:firstRow="1"/>
      </w:tblPr>
      <w:tblGrid>
        <w:gridCol w:w="1952"/>
        <w:gridCol w:w="1721"/>
        <w:gridCol w:w="1750"/>
        <w:gridCol w:w="1372"/>
        <w:gridCol w:w="1371"/>
        <w:gridCol w:w="1374"/>
      </w:tblGrid>
      <w:tr>
        <w:trPr>
          <w:trHeight w:val="799" w:hRule="atLeast"/>
        </w:trPr>
        <w:tc>
          <w:tcPr>
            <w:tcW w:w="9540" w:type="dxa"/>
            <w:gridSpan w:val="6"/>
            <w:tcBorders/>
            <w:shd w:color="auto" w:fill="auto" w:val="clear"/>
            <w:vAlign w:val="center"/>
          </w:tcPr>
          <w:p>
            <w:pPr>
              <w:pStyle w:val="Normal"/>
              <w:widowControl/>
              <w:jc w:val="center"/>
              <w:rPr>
                <w:rFonts w:ascii="华文仿宋" w:hAnsi="华文仿宋" w:eastAsia="华文仿宋" w:cs="Tahoma"/>
                <w:b/>
                <w:b/>
                <w:bCs/>
                <w:color w:val="000000"/>
                <w:sz w:val="28"/>
                <w:szCs w:val="28"/>
              </w:rPr>
            </w:pPr>
            <w:r>
              <w:rPr>
                <w:rFonts w:ascii="华文仿宋" w:hAnsi="华文仿宋" w:cs="Tahoma" w:eastAsia="华文仿宋"/>
                <w:b/>
                <w:bCs/>
                <w:color w:val="000000"/>
                <w:sz w:val="28"/>
                <w:szCs w:val="28"/>
              </w:rPr>
              <w:t>企业抵扣增值税实际利率计算表</w:t>
            </w:r>
          </w:p>
        </w:tc>
      </w:tr>
      <w:tr>
        <w:trPr>
          <w:trHeight w:val="300" w:hRule="atLeast"/>
        </w:trPr>
        <w:tc>
          <w:tcPr>
            <w:tcW w:w="9540" w:type="dxa"/>
            <w:gridSpan w:val="6"/>
            <w:tcBorders/>
            <w:shd w:color="000000" w:fill="C0C0C0" w:val="clear"/>
            <w:vAlign w:val="center"/>
          </w:tcPr>
          <w:p>
            <w:pPr>
              <w:pStyle w:val="Normal"/>
              <w:widowControl/>
              <w:jc w:val="right"/>
              <w:rPr>
                <w:rFonts w:ascii="华文仿宋" w:hAnsi="华文仿宋" w:eastAsia="华文仿宋" w:cs="Tahoma"/>
                <w:color w:val="000000"/>
                <w:sz w:val="24"/>
              </w:rPr>
            </w:pPr>
            <w:r>
              <w:rPr>
                <w:rFonts w:ascii="华文仿宋" w:hAnsi="华文仿宋" w:cs="Tahoma" w:eastAsia="华文仿宋"/>
                <w:color w:val="000000"/>
                <w:sz w:val="24"/>
              </w:rPr>
              <w:t>假设租赁本金：</w:t>
            </w:r>
            <w:r>
              <w:rPr>
                <w:rFonts w:eastAsia="华文仿宋" w:cs="Tahoma" w:ascii="华文仿宋" w:hAnsi="华文仿宋"/>
                <w:color w:val="000000"/>
                <w:sz w:val="24"/>
              </w:rPr>
              <w:t>RMB1</w:t>
            </w:r>
            <w:r>
              <w:rPr>
                <w:rFonts w:ascii="华文仿宋" w:hAnsi="华文仿宋" w:cs="Tahoma" w:eastAsia="华文仿宋"/>
                <w:color w:val="000000"/>
                <w:sz w:val="24"/>
              </w:rPr>
              <w:t>亿元，租赁期限：</w:t>
            </w:r>
            <w:r>
              <w:rPr>
                <w:rFonts w:eastAsia="华文仿宋" w:cs="Tahoma" w:ascii="华文仿宋" w:hAnsi="华文仿宋"/>
                <w:color w:val="000000"/>
                <w:sz w:val="24"/>
              </w:rPr>
              <w:t>3</w:t>
            </w:r>
            <w:r>
              <w:rPr>
                <w:rFonts w:ascii="华文仿宋" w:hAnsi="华文仿宋" w:cs="Tahoma" w:eastAsia="华文仿宋"/>
                <w:color w:val="000000"/>
                <w:sz w:val="24"/>
              </w:rPr>
              <w:t>年</w:t>
            </w:r>
            <w:r>
              <w:rPr>
                <w:rFonts w:eastAsia="华文仿宋" w:cs="Tahoma" w:ascii="华文仿宋" w:hAnsi="华文仿宋"/>
                <w:color w:val="000000"/>
                <w:sz w:val="24"/>
              </w:rPr>
              <w:t>,</w:t>
            </w:r>
            <w:r>
              <w:rPr>
                <w:rFonts w:ascii="华文仿宋" w:hAnsi="华文仿宋" w:cs="Tahoma" w:eastAsia="华文仿宋"/>
                <w:color w:val="000000"/>
                <w:sz w:val="24"/>
              </w:rPr>
              <w:t>还款方式：按季付息，期末一次性还本。</w:t>
            </w:r>
          </w:p>
        </w:tc>
      </w:tr>
      <w:tr>
        <w:trPr>
          <w:trHeight w:val="499" w:hRule="atLeast"/>
        </w:trPr>
        <w:tc>
          <w:tcPr>
            <w:tcW w:w="1952" w:type="dxa"/>
            <w:vMerge w:val="restart"/>
            <w:tcBorders>
              <w:top w:val="single" w:sz="8" w:space="0" w:color="00000A"/>
              <w:left w:val="single" w:sz="8" w:space="0" w:color="00000A"/>
              <w:bottom w:val="single" w:sz="4" w:space="0" w:color="00000A"/>
              <w:right w:val="single" w:sz="4" w:space="0" w:color="00000A"/>
              <w:insideH w:val="single" w:sz="4" w:space="0" w:color="00000A"/>
              <w:insideV w:val="single" w:sz="4" w:space="0" w:color="00000A"/>
            </w:tcBorders>
            <w:shd w:color="auto" w:fill="auto" w:val="clear"/>
            <w:tcMar>
              <w:left w:w="98" w:type="dxa"/>
            </w:tcMar>
            <w:vAlign w:val="center"/>
          </w:tcPr>
          <w:p>
            <w:pPr>
              <w:pStyle w:val="Normal"/>
              <w:widowControl/>
              <w:jc w:val="left"/>
              <w:rPr>
                <w:rFonts w:ascii="华文仿宋" w:hAnsi="华文仿宋" w:eastAsia="华文仿宋" w:cs="Tahoma"/>
                <w:color w:val="000000"/>
                <w:szCs w:val="21"/>
              </w:rPr>
            </w:pPr>
            <w:r>
              <w:rPr>
                <w:rFonts w:ascii="华文仿宋" w:hAnsi="华文仿宋" w:cs="Tahoma" w:eastAsia="华文仿宋"/>
                <w:color w:val="000000"/>
                <w:szCs w:val="21"/>
              </w:rPr>
              <w:t>利率</w:t>
            </w:r>
            <w:r>
              <w:rPr>
                <w:rFonts w:eastAsia="华文仿宋" w:cs="Tahoma" w:ascii="华文仿宋" w:hAnsi="华文仿宋"/>
                <w:color w:val="000000"/>
                <w:szCs w:val="21"/>
              </w:rPr>
              <w:br/>
            </w:r>
            <w:r>
              <w:rPr>
                <w:rFonts w:ascii="华文仿宋" w:hAnsi="华文仿宋" w:cs="Tahoma" w:eastAsia="华文仿宋"/>
                <w:color w:val="000000"/>
                <w:szCs w:val="21"/>
              </w:rPr>
              <w:t>（三年期）</w:t>
            </w:r>
          </w:p>
        </w:tc>
        <w:tc>
          <w:tcPr>
            <w:tcW w:w="1721" w:type="dxa"/>
            <w:tcBorders>
              <w:top w:val="single" w:sz="8" w:space="0" w:color="00000A"/>
              <w:bottom w:val="single" w:sz="4" w:space="0" w:color="00000A"/>
              <w:right w:val="single" w:sz="4" w:space="0" w:color="00000A"/>
              <w:insideH w:val="single" w:sz="4" w:space="0" w:color="00000A"/>
              <w:insideV w:val="single" w:sz="4" w:space="0" w:color="00000A"/>
            </w:tcBorders>
            <w:shd w:color="auto" w:fill="auto" w:val="clear"/>
            <w:vAlign w:val="center"/>
          </w:tcPr>
          <w:p>
            <w:pPr>
              <w:pStyle w:val="Normal"/>
              <w:widowControl/>
              <w:jc w:val="center"/>
              <w:rPr>
                <w:rFonts w:ascii="华文仿宋" w:hAnsi="华文仿宋" w:eastAsia="华文仿宋" w:cs="Tahoma"/>
                <w:color w:val="000000"/>
                <w:szCs w:val="21"/>
              </w:rPr>
            </w:pPr>
            <w:r>
              <w:rPr>
                <w:rFonts w:ascii="华文仿宋" w:hAnsi="华文仿宋" w:cs="Tahoma" w:eastAsia="华文仿宋"/>
                <w:color w:val="000000"/>
                <w:szCs w:val="21"/>
              </w:rPr>
              <w:t>上浮</w:t>
            </w:r>
            <w:r>
              <w:rPr>
                <w:rFonts w:eastAsia="华文仿宋" w:cs="Tahoma" w:ascii="华文仿宋" w:hAnsi="华文仿宋"/>
                <w:color w:val="000000"/>
                <w:szCs w:val="21"/>
              </w:rPr>
              <w:t>20%</w:t>
            </w:r>
          </w:p>
        </w:tc>
        <w:tc>
          <w:tcPr>
            <w:tcW w:w="1750" w:type="dxa"/>
            <w:tcBorders>
              <w:top w:val="single" w:sz="8" w:space="0" w:color="00000A"/>
              <w:bottom w:val="single" w:sz="4" w:space="0" w:color="00000A"/>
              <w:right w:val="single" w:sz="4" w:space="0" w:color="00000A"/>
              <w:insideH w:val="single" w:sz="4" w:space="0" w:color="00000A"/>
              <w:insideV w:val="single" w:sz="4" w:space="0" w:color="00000A"/>
            </w:tcBorders>
            <w:shd w:color="auto" w:fill="auto" w:val="clear"/>
            <w:vAlign w:val="center"/>
          </w:tcPr>
          <w:p>
            <w:pPr>
              <w:pStyle w:val="Normal"/>
              <w:widowControl/>
              <w:jc w:val="center"/>
              <w:rPr>
                <w:rFonts w:ascii="华文仿宋" w:hAnsi="华文仿宋" w:eastAsia="华文仿宋" w:cs="Tahoma"/>
                <w:color w:val="000000"/>
                <w:szCs w:val="21"/>
              </w:rPr>
            </w:pPr>
            <w:r>
              <w:rPr>
                <w:rFonts w:ascii="华文仿宋" w:hAnsi="华文仿宋" w:cs="Tahoma" w:eastAsia="华文仿宋"/>
                <w:color w:val="000000"/>
                <w:szCs w:val="21"/>
              </w:rPr>
              <w:t>上浮</w:t>
            </w:r>
            <w:r>
              <w:rPr>
                <w:rFonts w:eastAsia="华文仿宋" w:cs="Tahoma" w:ascii="华文仿宋" w:hAnsi="华文仿宋"/>
                <w:color w:val="000000"/>
                <w:szCs w:val="21"/>
              </w:rPr>
              <w:t>15%</w:t>
            </w:r>
          </w:p>
        </w:tc>
        <w:tc>
          <w:tcPr>
            <w:tcW w:w="1372" w:type="dxa"/>
            <w:tcBorders>
              <w:top w:val="single" w:sz="8" w:space="0" w:color="00000A"/>
              <w:bottom w:val="single" w:sz="4" w:space="0" w:color="00000A"/>
              <w:right w:val="single" w:sz="4" w:space="0" w:color="00000A"/>
              <w:insideH w:val="single" w:sz="4" w:space="0" w:color="00000A"/>
              <w:insideV w:val="single" w:sz="4" w:space="0" w:color="00000A"/>
            </w:tcBorders>
            <w:shd w:color="auto" w:fill="auto" w:val="clear"/>
            <w:vAlign w:val="center"/>
          </w:tcPr>
          <w:p>
            <w:pPr>
              <w:pStyle w:val="Normal"/>
              <w:widowControl/>
              <w:jc w:val="center"/>
              <w:rPr>
                <w:rFonts w:ascii="华文仿宋" w:hAnsi="华文仿宋" w:eastAsia="华文仿宋" w:cs="Tahoma"/>
                <w:color w:val="000000"/>
                <w:szCs w:val="21"/>
              </w:rPr>
            </w:pPr>
            <w:r>
              <w:rPr>
                <w:rFonts w:ascii="华文仿宋" w:hAnsi="华文仿宋" w:cs="Tahoma" w:eastAsia="华文仿宋"/>
                <w:color w:val="000000"/>
                <w:szCs w:val="21"/>
              </w:rPr>
              <w:t>上浮</w:t>
            </w:r>
            <w:r>
              <w:rPr>
                <w:rFonts w:eastAsia="华文仿宋" w:cs="Tahoma" w:ascii="华文仿宋" w:hAnsi="华文仿宋"/>
                <w:color w:val="000000"/>
                <w:szCs w:val="21"/>
              </w:rPr>
              <w:t>10%</w:t>
            </w:r>
          </w:p>
        </w:tc>
        <w:tc>
          <w:tcPr>
            <w:tcW w:w="1371" w:type="dxa"/>
            <w:tcBorders>
              <w:top w:val="single" w:sz="8" w:space="0" w:color="00000A"/>
              <w:bottom w:val="single" w:sz="4" w:space="0" w:color="00000A"/>
              <w:right w:val="single" w:sz="4" w:space="0" w:color="00000A"/>
              <w:insideH w:val="single" w:sz="4" w:space="0" w:color="00000A"/>
              <w:insideV w:val="single" w:sz="4" w:space="0" w:color="00000A"/>
            </w:tcBorders>
            <w:shd w:color="auto" w:fill="auto" w:val="clear"/>
            <w:vAlign w:val="center"/>
          </w:tcPr>
          <w:p>
            <w:pPr>
              <w:pStyle w:val="Normal"/>
              <w:widowControl/>
              <w:jc w:val="center"/>
              <w:rPr>
                <w:rFonts w:ascii="华文仿宋" w:hAnsi="华文仿宋" w:eastAsia="华文仿宋" w:cs="Tahoma"/>
                <w:color w:val="000000"/>
                <w:szCs w:val="21"/>
              </w:rPr>
            </w:pPr>
            <w:r>
              <w:rPr>
                <w:rFonts w:ascii="华文仿宋" w:hAnsi="华文仿宋" w:cs="Tahoma" w:eastAsia="华文仿宋"/>
                <w:color w:val="000000"/>
                <w:szCs w:val="21"/>
              </w:rPr>
              <w:t>上浮</w:t>
            </w:r>
            <w:r>
              <w:rPr>
                <w:rFonts w:eastAsia="华文仿宋" w:cs="Tahoma" w:ascii="华文仿宋" w:hAnsi="华文仿宋"/>
                <w:color w:val="000000"/>
                <w:szCs w:val="21"/>
              </w:rPr>
              <w:t>5%</w:t>
            </w:r>
          </w:p>
        </w:tc>
        <w:tc>
          <w:tcPr>
            <w:tcW w:w="1374" w:type="dxa"/>
            <w:tcBorders>
              <w:top w:val="single" w:sz="8" w:space="0" w:color="00000A"/>
              <w:bottom w:val="single" w:sz="4" w:space="0" w:color="00000A"/>
              <w:right w:val="single" w:sz="4" w:space="0" w:color="00000A"/>
              <w:insideH w:val="single" w:sz="4" w:space="0" w:color="00000A"/>
              <w:insideV w:val="single" w:sz="4" w:space="0" w:color="00000A"/>
            </w:tcBorders>
            <w:shd w:color="auto" w:fill="auto" w:val="clear"/>
            <w:vAlign w:val="center"/>
          </w:tcPr>
          <w:p>
            <w:pPr>
              <w:pStyle w:val="Normal"/>
              <w:widowControl/>
              <w:jc w:val="center"/>
              <w:rPr>
                <w:rFonts w:ascii="华文仿宋" w:hAnsi="华文仿宋" w:eastAsia="华文仿宋" w:cs="Tahoma"/>
                <w:color w:val="000000"/>
                <w:szCs w:val="21"/>
              </w:rPr>
            </w:pPr>
            <w:r>
              <w:rPr>
                <w:rFonts w:ascii="华文仿宋" w:hAnsi="华文仿宋" w:cs="Tahoma" w:eastAsia="华文仿宋"/>
                <w:color w:val="000000"/>
                <w:szCs w:val="21"/>
              </w:rPr>
              <w:t>基准</w:t>
            </w:r>
          </w:p>
        </w:tc>
      </w:tr>
      <w:tr>
        <w:trPr>
          <w:trHeight w:val="499" w:hRule="atLeast"/>
        </w:trPr>
        <w:tc>
          <w:tcPr>
            <w:tcW w:w="1952" w:type="dxa"/>
            <w:vMerge w:val="continue"/>
            <w:tcBorders>
              <w:top w:val="single" w:sz="8" w:space="0" w:color="00000A"/>
              <w:left w:val="single" w:sz="8" w:space="0" w:color="00000A"/>
              <w:bottom w:val="single" w:sz="4" w:space="0" w:color="00000A"/>
              <w:right w:val="single" w:sz="4" w:space="0" w:color="00000A"/>
              <w:insideH w:val="single" w:sz="4" w:space="0" w:color="00000A"/>
              <w:insideV w:val="single" w:sz="4" w:space="0" w:color="00000A"/>
            </w:tcBorders>
            <w:shd w:fill="auto" w:val="clear"/>
            <w:tcMar>
              <w:left w:w="98" w:type="dxa"/>
            </w:tcMar>
            <w:vAlign w:val="center"/>
          </w:tcPr>
          <w:p>
            <w:pPr>
              <w:pStyle w:val="Normal"/>
              <w:widowControl/>
              <w:jc w:val="left"/>
              <w:rPr>
                <w:rFonts w:ascii="华文仿宋" w:hAnsi="华文仿宋" w:eastAsia="华文仿宋" w:cs="Tahoma"/>
                <w:color w:val="000000"/>
                <w:szCs w:val="21"/>
              </w:rPr>
            </w:pPr>
            <w:r>
              <w:rPr>
                <w:rFonts w:eastAsia="华文仿宋" w:cs="Tahoma" w:ascii="华文仿宋" w:hAnsi="华文仿宋"/>
                <w:color w:val="000000"/>
                <w:szCs w:val="21"/>
              </w:rPr>
            </w:r>
          </w:p>
        </w:tc>
        <w:tc>
          <w:tcPr>
            <w:tcW w:w="1721" w:type="dxa"/>
            <w:tcBorders>
              <w:bottom w:val="single" w:sz="4" w:space="0" w:color="00000A"/>
              <w:right w:val="single" w:sz="4" w:space="0" w:color="00000A"/>
              <w:insideH w:val="single" w:sz="4" w:space="0" w:color="00000A"/>
              <w:insideV w:val="single" w:sz="4" w:space="0" w:color="00000A"/>
            </w:tcBorders>
            <w:shd w:color="auto" w:fill="auto" w:val="clear"/>
            <w:vAlign w:val="center"/>
          </w:tcPr>
          <w:p>
            <w:pPr>
              <w:pStyle w:val="Normal"/>
              <w:widowControl/>
              <w:jc w:val="center"/>
              <w:rPr>
                <w:rFonts w:ascii="华文仿宋" w:hAnsi="华文仿宋" w:eastAsia="华文仿宋" w:cs="Tahoma"/>
                <w:color w:val="000000"/>
                <w:szCs w:val="21"/>
              </w:rPr>
            </w:pPr>
            <w:r>
              <w:rPr>
                <w:rFonts w:eastAsia="华文仿宋" w:cs="Tahoma" w:ascii="华文仿宋" w:hAnsi="华文仿宋"/>
                <w:color w:val="000000"/>
                <w:szCs w:val="21"/>
              </w:rPr>
              <w:t>7.3</w:t>
            </w:r>
            <w:bookmarkStart w:id="0" w:name="_GoBack"/>
            <w:bookmarkEnd w:id="0"/>
            <w:r>
              <w:rPr>
                <w:rFonts w:eastAsia="华文仿宋" w:cs="Tahoma" w:ascii="华文仿宋" w:hAnsi="华文仿宋"/>
                <w:color w:val="000000"/>
                <w:szCs w:val="21"/>
              </w:rPr>
              <w:t>8</w:t>
            </w:r>
          </w:p>
        </w:tc>
        <w:tc>
          <w:tcPr>
            <w:tcW w:w="1750" w:type="dxa"/>
            <w:tcBorders>
              <w:bottom w:val="single" w:sz="4" w:space="0" w:color="00000A"/>
              <w:right w:val="single" w:sz="4" w:space="0" w:color="00000A"/>
              <w:insideH w:val="single" w:sz="4" w:space="0" w:color="00000A"/>
              <w:insideV w:val="single" w:sz="4" w:space="0" w:color="00000A"/>
            </w:tcBorders>
            <w:shd w:color="auto" w:fill="auto" w:val="clear"/>
            <w:vAlign w:val="center"/>
          </w:tcPr>
          <w:p>
            <w:pPr>
              <w:pStyle w:val="Normal"/>
              <w:widowControl/>
              <w:jc w:val="center"/>
              <w:rPr>
                <w:rFonts w:ascii="华文仿宋" w:hAnsi="华文仿宋" w:eastAsia="华文仿宋" w:cs="Tahoma"/>
                <w:color w:val="000000"/>
                <w:szCs w:val="21"/>
              </w:rPr>
            </w:pPr>
            <w:r>
              <w:rPr>
                <w:rFonts w:eastAsia="华文仿宋" w:cs="Tahoma" w:ascii="华文仿宋" w:hAnsi="华文仿宋"/>
                <w:color w:val="000000"/>
                <w:szCs w:val="21"/>
              </w:rPr>
              <w:t>7.0725</w:t>
            </w:r>
          </w:p>
        </w:tc>
        <w:tc>
          <w:tcPr>
            <w:tcW w:w="1372" w:type="dxa"/>
            <w:tcBorders>
              <w:bottom w:val="single" w:sz="4" w:space="0" w:color="00000A"/>
              <w:right w:val="single" w:sz="4" w:space="0" w:color="00000A"/>
              <w:insideH w:val="single" w:sz="4" w:space="0" w:color="00000A"/>
              <w:insideV w:val="single" w:sz="4" w:space="0" w:color="00000A"/>
            </w:tcBorders>
            <w:shd w:color="auto" w:fill="auto" w:val="clear"/>
            <w:vAlign w:val="center"/>
          </w:tcPr>
          <w:p>
            <w:pPr>
              <w:pStyle w:val="Normal"/>
              <w:widowControl/>
              <w:jc w:val="center"/>
              <w:rPr>
                <w:rFonts w:ascii="华文仿宋" w:hAnsi="华文仿宋" w:eastAsia="华文仿宋" w:cs="Tahoma"/>
                <w:color w:val="000000"/>
                <w:szCs w:val="21"/>
              </w:rPr>
            </w:pPr>
            <w:r>
              <w:rPr>
                <w:rFonts w:eastAsia="华文仿宋" w:cs="Tahoma" w:ascii="华文仿宋" w:hAnsi="华文仿宋"/>
                <w:color w:val="000000"/>
                <w:szCs w:val="21"/>
              </w:rPr>
              <w:t>6.765</w:t>
            </w:r>
          </w:p>
        </w:tc>
        <w:tc>
          <w:tcPr>
            <w:tcW w:w="1371" w:type="dxa"/>
            <w:tcBorders>
              <w:bottom w:val="single" w:sz="4" w:space="0" w:color="00000A"/>
              <w:right w:val="single" w:sz="4" w:space="0" w:color="00000A"/>
              <w:insideH w:val="single" w:sz="4" w:space="0" w:color="00000A"/>
              <w:insideV w:val="single" w:sz="4" w:space="0" w:color="00000A"/>
            </w:tcBorders>
            <w:shd w:color="auto" w:fill="auto" w:val="clear"/>
            <w:vAlign w:val="center"/>
          </w:tcPr>
          <w:p>
            <w:pPr>
              <w:pStyle w:val="Normal"/>
              <w:widowControl/>
              <w:jc w:val="center"/>
              <w:rPr>
                <w:rFonts w:ascii="华文仿宋" w:hAnsi="华文仿宋" w:eastAsia="华文仿宋" w:cs="Tahoma"/>
                <w:color w:val="000000"/>
                <w:szCs w:val="21"/>
              </w:rPr>
            </w:pPr>
            <w:r>
              <w:rPr>
                <w:rFonts w:eastAsia="华文仿宋" w:cs="Tahoma" w:ascii="华文仿宋" w:hAnsi="华文仿宋"/>
                <w:color w:val="000000"/>
                <w:szCs w:val="21"/>
              </w:rPr>
              <w:t>6.4575</w:t>
            </w:r>
          </w:p>
        </w:tc>
        <w:tc>
          <w:tcPr>
            <w:tcW w:w="1374" w:type="dxa"/>
            <w:tcBorders>
              <w:bottom w:val="single" w:sz="4" w:space="0" w:color="00000A"/>
              <w:right w:val="single" w:sz="4" w:space="0" w:color="00000A"/>
              <w:insideH w:val="single" w:sz="4" w:space="0" w:color="00000A"/>
              <w:insideV w:val="single" w:sz="4" w:space="0" w:color="00000A"/>
            </w:tcBorders>
            <w:shd w:color="auto" w:fill="auto" w:val="clear"/>
            <w:vAlign w:val="center"/>
          </w:tcPr>
          <w:p>
            <w:pPr>
              <w:pStyle w:val="Normal"/>
              <w:widowControl/>
              <w:jc w:val="center"/>
              <w:rPr>
                <w:rFonts w:ascii="华文仿宋" w:hAnsi="华文仿宋" w:eastAsia="华文仿宋" w:cs="Tahoma"/>
                <w:color w:val="000000"/>
                <w:szCs w:val="21"/>
              </w:rPr>
            </w:pPr>
            <w:r>
              <w:rPr>
                <w:rFonts w:eastAsia="华文仿宋" w:cs="Tahoma" w:ascii="华文仿宋" w:hAnsi="华文仿宋"/>
                <w:color w:val="000000"/>
                <w:szCs w:val="21"/>
              </w:rPr>
              <w:t>6.15</w:t>
            </w:r>
          </w:p>
        </w:tc>
      </w:tr>
      <w:tr>
        <w:trPr>
          <w:trHeight w:val="499" w:hRule="atLeast"/>
        </w:trPr>
        <w:tc>
          <w:tcPr>
            <w:tcW w:w="1952" w:type="dxa"/>
            <w:tcBorders>
              <w:left w:val="single" w:sz="8" w:space="0" w:color="00000A"/>
              <w:bottom w:val="single" w:sz="4" w:space="0" w:color="00000A"/>
              <w:right w:val="single" w:sz="4" w:space="0" w:color="00000A"/>
              <w:insideH w:val="single" w:sz="4" w:space="0" w:color="00000A"/>
              <w:insideV w:val="single" w:sz="4" w:space="0" w:color="00000A"/>
            </w:tcBorders>
            <w:shd w:color="auto" w:fill="auto" w:val="clear"/>
            <w:tcMar>
              <w:left w:w="98" w:type="dxa"/>
            </w:tcMar>
            <w:vAlign w:val="center"/>
          </w:tcPr>
          <w:p>
            <w:pPr>
              <w:pStyle w:val="Normal"/>
              <w:widowControl/>
              <w:jc w:val="left"/>
              <w:rPr>
                <w:rFonts w:ascii="华文仿宋" w:hAnsi="华文仿宋" w:eastAsia="华文仿宋" w:cs="Tahoma"/>
                <w:color w:val="000000"/>
                <w:szCs w:val="21"/>
              </w:rPr>
            </w:pPr>
            <w:r>
              <w:rPr>
                <w:rFonts w:ascii="华文仿宋" w:hAnsi="华文仿宋" w:cs="Tahoma" w:eastAsia="华文仿宋"/>
                <w:color w:val="000000"/>
                <w:szCs w:val="21"/>
              </w:rPr>
              <w:t>税率</w:t>
            </w:r>
          </w:p>
        </w:tc>
        <w:tc>
          <w:tcPr>
            <w:tcW w:w="1721" w:type="dxa"/>
            <w:tcBorders>
              <w:bottom w:val="single" w:sz="4" w:space="0" w:color="00000A"/>
              <w:right w:val="single" w:sz="4" w:space="0" w:color="00000A"/>
              <w:insideH w:val="single" w:sz="4" w:space="0" w:color="00000A"/>
              <w:insideV w:val="single" w:sz="4" w:space="0" w:color="00000A"/>
            </w:tcBorders>
            <w:shd w:color="auto" w:fill="auto" w:val="clear"/>
            <w:vAlign w:val="center"/>
          </w:tcPr>
          <w:p>
            <w:pPr>
              <w:pStyle w:val="Normal"/>
              <w:widowControl/>
              <w:jc w:val="center"/>
              <w:rPr>
                <w:rFonts w:ascii="华文仿宋" w:hAnsi="华文仿宋" w:eastAsia="华文仿宋" w:cs="Tahoma"/>
                <w:color w:val="000000"/>
                <w:szCs w:val="21"/>
              </w:rPr>
            </w:pPr>
            <w:r>
              <w:rPr>
                <w:rFonts w:eastAsia="华文仿宋" w:cs="Tahoma" w:ascii="华文仿宋" w:hAnsi="华文仿宋"/>
                <w:color w:val="000000"/>
                <w:szCs w:val="21"/>
              </w:rPr>
              <w:t>17%</w:t>
            </w:r>
          </w:p>
        </w:tc>
        <w:tc>
          <w:tcPr>
            <w:tcW w:w="1750" w:type="dxa"/>
            <w:tcBorders>
              <w:bottom w:val="single" w:sz="4" w:space="0" w:color="00000A"/>
              <w:right w:val="single" w:sz="4" w:space="0" w:color="00000A"/>
              <w:insideH w:val="single" w:sz="4" w:space="0" w:color="00000A"/>
              <w:insideV w:val="single" w:sz="4" w:space="0" w:color="00000A"/>
            </w:tcBorders>
            <w:shd w:color="auto" w:fill="auto" w:val="clear"/>
            <w:vAlign w:val="center"/>
          </w:tcPr>
          <w:p>
            <w:pPr>
              <w:pStyle w:val="Normal"/>
              <w:widowControl/>
              <w:jc w:val="center"/>
              <w:rPr>
                <w:rFonts w:ascii="华文仿宋" w:hAnsi="华文仿宋" w:eastAsia="华文仿宋" w:cs="Tahoma"/>
                <w:color w:val="000000"/>
                <w:szCs w:val="21"/>
              </w:rPr>
            </w:pPr>
            <w:r>
              <w:rPr>
                <w:rFonts w:eastAsia="华文仿宋" w:cs="Tahoma" w:ascii="华文仿宋" w:hAnsi="华文仿宋"/>
                <w:color w:val="000000"/>
                <w:szCs w:val="21"/>
              </w:rPr>
              <w:t>17%</w:t>
            </w:r>
          </w:p>
        </w:tc>
        <w:tc>
          <w:tcPr>
            <w:tcW w:w="1372" w:type="dxa"/>
            <w:tcBorders>
              <w:bottom w:val="single" w:sz="4" w:space="0" w:color="00000A"/>
              <w:right w:val="single" w:sz="4" w:space="0" w:color="00000A"/>
              <w:insideH w:val="single" w:sz="4" w:space="0" w:color="00000A"/>
              <w:insideV w:val="single" w:sz="4" w:space="0" w:color="00000A"/>
            </w:tcBorders>
            <w:shd w:color="auto" w:fill="auto" w:val="clear"/>
            <w:vAlign w:val="center"/>
          </w:tcPr>
          <w:p>
            <w:pPr>
              <w:pStyle w:val="Normal"/>
              <w:widowControl/>
              <w:jc w:val="center"/>
              <w:rPr>
                <w:rFonts w:ascii="华文仿宋" w:hAnsi="华文仿宋" w:eastAsia="华文仿宋" w:cs="Tahoma"/>
                <w:color w:val="000000"/>
                <w:szCs w:val="21"/>
              </w:rPr>
            </w:pPr>
            <w:r>
              <w:rPr>
                <w:rFonts w:eastAsia="华文仿宋" w:cs="Tahoma" w:ascii="华文仿宋" w:hAnsi="华文仿宋"/>
                <w:color w:val="000000"/>
                <w:szCs w:val="21"/>
              </w:rPr>
              <w:t>17%</w:t>
            </w:r>
          </w:p>
        </w:tc>
        <w:tc>
          <w:tcPr>
            <w:tcW w:w="1371" w:type="dxa"/>
            <w:tcBorders>
              <w:bottom w:val="single" w:sz="4" w:space="0" w:color="00000A"/>
              <w:right w:val="single" w:sz="4" w:space="0" w:color="00000A"/>
              <w:insideH w:val="single" w:sz="4" w:space="0" w:color="00000A"/>
              <w:insideV w:val="single" w:sz="4" w:space="0" w:color="00000A"/>
            </w:tcBorders>
            <w:shd w:color="auto" w:fill="auto" w:val="clear"/>
            <w:vAlign w:val="center"/>
          </w:tcPr>
          <w:p>
            <w:pPr>
              <w:pStyle w:val="Normal"/>
              <w:widowControl/>
              <w:jc w:val="center"/>
              <w:rPr>
                <w:rFonts w:ascii="华文仿宋" w:hAnsi="华文仿宋" w:eastAsia="华文仿宋" w:cs="Tahoma"/>
                <w:color w:val="000000"/>
                <w:szCs w:val="21"/>
              </w:rPr>
            </w:pPr>
            <w:r>
              <w:rPr>
                <w:rFonts w:eastAsia="华文仿宋" w:cs="Tahoma" w:ascii="华文仿宋" w:hAnsi="华文仿宋"/>
                <w:color w:val="000000"/>
                <w:szCs w:val="21"/>
              </w:rPr>
              <w:t>17%</w:t>
            </w:r>
          </w:p>
        </w:tc>
        <w:tc>
          <w:tcPr>
            <w:tcW w:w="1374" w:type="dxa"/>
            <w:tcBorders>
              <w:bottom w:val="single" w:sz="4" w:space="0" w:color="00000A"/>
              <w:right w:val="single" w:sz="4" w:space="0" w:color="00000A"/>
              <w:insideH w:val="single" w:sz="4" w:space="0" w:color="00000A"/>
              <w:insideV w:val="single" w:sz="4" w:space="0" w:color="00000A"/>
            </w:tcBorders>
            <w:shd w:color="auto" w:fill="auto" w:val="clear"/>
            <w:vAlign w:val="center"/>
          </w:tcPr>
          <w:p>
            <w:pPr>
              <w:pStyle w:val="Normal"/>
              <w:widowControl/>
              <w:jc w:val="center"/>
              <w:rPr>
                <w:rFonts w:ascii="华文仿宋" w:hAnsi="华文仿宋" w:eastAsia="华文仿宋" w:cs="Tahoma"/>
                <w:color w:val="000000"/>
                <w:szCs w:val="21"/>
              </w:rPr>
            </w:pPr>
            <w:r>
              <w:rPr>
                <w:rFonts w:eastAsia="华文仿宋" w:cs="Tahoma" w:ascii="华文仿宋" w:hAnsi="华文仿宋"/>
                <w:color w:val="000000"/>
                <w:szCs w:val="21"/>
              </w:rPr>
              <w:t>17%</w:t>
            </w:r>
          </w:p>
        </w:tc>
      </w:tr>
      <w:tr>
        <w:trPr>
          <w:trHeight w:val="499" w:hRule="atLeast"/>
        </w:trPr>
        <w:tc>
          <w:tcPr>
            <w:tcW w:w="1952" w:type="dxa"/>
            <w:tcBorders>
              <w:left w:val="single" w:sz="8" w:space="0" w:color="00000A"/>
              <w:bottom w:val="single" w:sz="4" w:space="0" w:color="00000A"/>
              <w:right w:val="single" w:sz="4" w:space="0" w:color="00000A"/>
              <w:insideH w:val="single" w:sz="4" w:space="0" w:color="00000A"/>
              <w:insideV w:val="single" w:sz="4" w:space="0" w:color="00000A"/>
            </w:tcBorders>
            <w:shd w:color="auto" w:fill="auto" w:val="clear"/>
            <w:tcMar>
              <w:left w:w="98" w:type="dxa"/>
            </w:tcMar>
            <w:vAlign w:val="center"/>
          </w:tcPr>
          <w:p>
            <w:pPr>
              <w:pStyle w:val="Normal"/>
              <w:widowControl/>
              <w:jc w:val="left"/>
              <w:rPr>
                <w:rFonts w:ascii="华文仿宋" w:hAnsi="华文仿宋" w:eastAsia="华文仿宋" w:cs="Tahoma"/>
                <w:color w:val="000000"/>
                <w:szCs w:val="21"/>
              </w:rPr>
            </w:pPr>
            <w:r>
              <w:rPr>
                <w:rFonts w:ascii="华文仿宋" w:hAnsi="华文仿宋" w:cs="Tahoma" w:eastAsia="华文仿宋"/>
                <w:color w:val="000000"/>
                <w:szCs w:val="21"/>
              </w:rPr>
              <w:t>实际利率</w:t>
            </w:r>
          </w:p>
        </w:tc>
        <w:tc>
          <w:tcPr>
            <w:tcW w:w="1721" w:type="dxa"/>
            <w:tcBorders>
              <w:bottom w:val="single" w:sz="4" w:space="0" w:color="00000A"/>
              <w:right w:val="single" w:sz="4" w:space="0" w:color="00000A"/>
              <w:insideH w:val="single" w:sz="4" w:space="0" w:color="00000A"/>
              <w:insideV w:val="single" w:sz="4" w:space="0" w:color="00000A"/>
            </w:tcBorders>
            <w:shd w:color="auto" w:fill="auto" w:val="clear"/>
            <w:vAlign w:val="center"/>
          </w:tcPr>
          <w:p>
            <w:pPr>
              <w:pStyle w:val="Normal"/>
              <w:widowControl/>
              <w:jc w:val="center"/>
              <w:rPr>
                <w:rFonts w:ascii="华文仿宋" w:hAnsi="华文仿宋" w:eastAsia="华文仿宋" w:cs="Tahoma"/>
                <w:color w:val="000000"/>
                <w:szCs w:val="21"/>
              </w:rPr>
            </w:pPr>
            <w:r>
              <w:rPr>
                <w:rFonts w:eastAsia="华文仿宋" w:cs="Tahoma" w:ascii="华文仿宋" w:hAnsi="华文仿宋"/>
                <w:color w:val="000000"/>
                <w:szCs w:val="21"/>
              </w:rPr>
              <w:t>6.308</w:t>
            </w:r>
          </w:p>
        </w:tc>
        <w:tc>
          <w:tcPr>
            <w:tcW w:w="1750" w:type="dxa"/>
            <w:tcBorders>
              <w:bottom w:val="single" w:sz="4" w:space="0" w:color="00000A"/>
              <w:right w:val="single" w:sz="4" w:space="0" w:color="00000A"/>
              <w:insideH w:val="single" w:sz="4" w:space="0" w:color="00000A"/>
              <w:insideV w:val="single" w:sz="4" w:space="0" w:color="00000A"/>
            </w:tcBorders>
            <w:shd w:color="auto" w:fill="auto" w:val="clear"/>
            <w:vAlign w:val="center"/>
          </w:tcPr>
          <w:p>
            <w:pPr>
              <w:pStyle w:val="Normal"/>
              <w:widowControl/>
              <w:jc w:val="center"/>
              <w:rPr>
                <w:rFonts w:ascii="华文仿宋" w:hAnsi="华文仿宋" w:eastAsia="华文仿宋" w:cs="Tahoma"/>
                <w:color w:val="000000"/>
                <w:szCs w:val="21"/>
              </w:rPr>
            </w:pPr>
            <w:r>
              <w:rPr>
                <w:rFonts w:eastAsia="华文仿宋" w:cs="Tahoma" w:ascii="华文仿宋" w:hAnsi="华文仿宋"/>
                <w:color w:val="000000"/>
                <w:szCs w:val="21"/>
              </w:rPr>
              <w:t>6.045</w:t>
            </w:r>
          </w:p>
        </w:tc>
        <w:tc>
          <w:tcPr>
            <w:tcW w:w="1372" w:type="dxa"/>
            <w:tcBorders>
              <w:bottom w:val="single" w:sz="4" w:space="0" w:color="00000A"/>
              <w:right w:val="single" w:sz="4" w:space="0" w:color="00000A"/>
              <w:insideH w:val="single" w:sz="4" w:space="0" w:color="00000A"/>
              <w:insideV w:val="single" w:sz="4" w:space="0" w:color="00000A"/>
            </w:tcBorders>
            <w:shd w:color="auto" w:fill="auto" w:val="clear"/>
            <w:vAlign w:val="center"/>
          </w:tcPr>
          <w:p>
            <w:pPr>
              <w:pStyle w:val="Normal"/>
              <w:widowControl/>
              <w:jc w:val="center"/>
              <w:rPr>
                <w:rFonts w:ascii="华文仿宋" w:hAnsi="华文仿宋" w:eastAsia="华文仿宋" w:cs="Tahoma"/>
                <w:color w:val="000000"/>
                <w:szCs w:val="21"/>
              </w:rPr>
            </w:pPr>
            <w:r>
              <w:rPr>
                <w:rFonts w:eastAsia="华文仿宋" w:cs="Tahoma" w:ascii="华文仿宋" w:hAnsi="华文仿宋"/>
                <w:color w:val="000000"/>
                <w:szCs w:val="21"/>
              </w:rPr>
              <w:t>5.782</w:t>
            </w:r>
          </w:p>
        </w:tc>
        <w:tc>
          <w:tcPr>
            <w:tcW w:w="1371" w:type="dxa"/>
            <w:tcBorders>
              <w:bottom w:val="single" w:sz="4" w:space="0" w:color="00000A"/>
              <w:right w:val="single" w:sz="4" w:space="0" w:color="00000A"/>
              <w:insideH w:val="single" w:sz="4" w:space="0" w:color="00000A"/>
              <w:insideV w:val="single" w:sz="4" w:space="0" w:color="00000A"/>
            </w:tcBorders>
            <w:shd w:color="auto" w:fill="auto" w:val="clear"/>
            <w:vAlign w:val="center"/>
          </w:tcPr>
          <w:p>
            <w:pPr>
              <w:pStyle w:val="Normal"/>
              <w:widowControl/>
              <w:jc w:val="center"/>
              <w:rPr>
                <w:rFonts w:ascii="华文仿宋" w:hAnsi="华文仿宋" w:eastAsia="华文仿宋" w:cs="Tahoma"/>
                <w:color w:val="000000"/>
                <w:szCs w:val="21"/>
              </w:rPr>
            </w:pPr>
            <w:r>
              <w:rPr>
                <w:rFonts w:eastAsia="华文仿宋" w:cs="Tahoma" w:ascii="华文仿宋" w:hAnsi="华文仿宋"/>
                <w:color w:val="000000"/>
                <w:szCs w:val="21"/>
              </w:rPr>
              <w:t>5.519</w:t>
            </w:r>
          </w:p>
        </w:tc>
        <w:tc>
          <w:tcPr>
            <w:tcW w:w="1374" w:type="dxa"/>
            <w:tcBorders>
              <w:bottom w:val="single" w:sz="4" w:space="0" w:color="00000A"/>
              <w:right w:val="single" w:sz="4" w:space="0" w:color="00000A"/>
              <w:insideH w:val="single" w:sz="4" w:space="0" w:color="00000A"/>
              <w:insideV w:val="single" w:sz="4" w:space="0" w:color="00000A"/>
            </w:tcBorders>
            <w:shd w:color="auto" w:fill="auto" w:val="clear"/>
            <w:vAlign w:val="center"/>
          </w:tcPr>
          <w:p>
            <w:pPr>
              <w:pStyle w:val="Normal"/>
              <w:widowControl/>
              <w:jc w:val="center"/>
              <w:rPr>
                <w:rFonts w:ascii="华文仿宋" w:hAnsi="华文仿宋" w:eastAsia="华文仿宋" w:cs="Tahoma"/>
                <w:color w:val="000000"/>
                <w:szCs w:val="21"/>
              </w:rPr>
            </w:pPr>
            <w:r>
              <w:rPr>
                <w:rFonts w:eastAsia="华文仿宋" w:cs="Tahoma" w:ascii="华文仿宋" w:hAnsi="华文仿宋"/>
                <w:color w:val="000000"/>
                <w:szCs w:val="21"/>
              </w:rPr>
              <w:t>5.256</w:t>
            </w:r>
          </w:p>
        </w:tc>
      </w:tr>
      <w:tr>
        <w:trPr>
          <w:trHeight w:val="499" w:hRule="atLeast"/>
        </w:trPr>
        <w:tc>
          <w:tcPr>
            <w:tcW w:w="1952" w:type="dxa"/>
            <w:tcBorders>
              <w:left w:val="single" w:sz="8" w:space="0" w:color="00000A"/>
              <w:bottom w:val="single" w:sz="4" w:space="0" w:color="00000A"/>
              <w:right w:val="single" w:sz="4" w:space="0" w:color="00000A"/>
              <w:insideH w:val="single" w:sz="4" w:space="0" w:color="00000A"/>
              <w:insideV w:val="single" w:sz="4" w:space="0" w:color="00000A"/>
            </w:tcBorders>
            <w:shd w:color="auto" w:fill="auto" w:val="clear"/>
            <w:tcMar>
              <w:left w:w="98" w:type="dxa"/>
            </w:tcMar>
            <w:vAlign w:val="center"/>
          </w:tcPr>
          <w:p>
            <w:pPr>
              <w:pStyle w:val="Normal"/>
              <w:widowControl/>
              <w:jc w:val="left"/>
              <w:rPr>
                <w:rFonts w:ascii="华文仿宋" w:hAnsi="华文仿宋" w:eastAsia="华文仿宋" w:cs="Tahoma"/>
                <w:color w:val="000000"/>
                <w:szCs w:val="21"/>
              </w:rPr>
            </w:pPr>
            <w:r>
              <w:rPr>
                <w:rFonts w:ascii="华文仿宋" w:hAnsi="华文仿宋" w:cs="Tahoma" w:eastAsia="华文仿宋"/>
                <w:color w:val="000000"/>
                <w:szCs w:val="21"/>
              </w:rPr>
              <w:t>可抵扣税额</w:t>
            </w:r>
          </w:p>
        </w:tc>
        <w:tc>
          <w:tcPr>
            <w:tcW w:w="1721" w:type="dxa"/>
            <w:tcBorders>
              <w:bottom w:val="single" w:sz="4" w:space="0" w:color="00000A"/>
              <w:right w:val="single" w:sz="4" w:space="0" w:color="00000A"/>
              <w:insideH w:val="single" w:sz="4" w:space="0" w:color="00000A"/>
              <w:insideV w:val="single" w:sz="4" w:space="0" w:color="00000A"/>
            </w:tcBorders>
            <w:shd w:color="auto" w:fill="auto" w:val="clear"/>
            <w:vAlign w:val="center"/>
          </w:tcPr>
          <w:p>
            <w:pPr>
              <w:pStyle w:val="Normal"/>
              <w:widowControl/>
              <w:jc w:val="center"/>
              <w:rPr>
                <w:rFonts w:ascii="华文仿宋" w:hAnsi="华文仿宋" w:eastAsia="华文仿宋" w:cs="Tahoma"/>
                <w:color w:val="000000"/>
                <w:szCs w:val="21"/>
              </w:rPr>
            </w:pPr>
            <w:r>
              <w:rPr>
                <w:rFonts w:eastAsia="华文仿宋" w:cs="Tahoma" w:ascii="华文仿宋" w:hAnsi="华文仿宋"/>
                <w:color w:val="000000"/>
                <w:szCs w:val="21"/>
              </w:rPr>
              <w:t>1.072</w:t>
            </w:r>
          </w:p>
        </w:tc>
        <w:tc>
          <w:tcPr>
            <w:tcW w:w="1750" w:type="dxa"/>
            <w:tcBorders>
              <w:bottom w:val="single" w:sz="4" w:space="0" w:color="00000A"/>
              <w:right w:val="single" w:sz="4" w:space="0" w:color="00000A"/>
              <w:insideH w:val="single" w:sz="4" w:space="0" w:color="00000A"/>
              <w:insideV w:val="single" w:sz="4" w:space="0" w:color="00000A"/>
            </w:tcBorders>
            <w:shd w:color="auto" w:fill="auto" w:val="clear"/>
            <w:vAlign w:val="center"/>
          </w:tcPr>
          <w:p>
            <w:pPr>
              <w:pStyle w:val="Normal"/>
              <w:widowControl/>
              <w:jc w:val="center"/>
              <w:rPr>
                <w:rFonts w:ascii="华文仿宋" w:hAnsi="华文仿宋" w:eastAsia="华文仿宋" w:cs="Tahoma"/>
                <w:color w:val="000000"/>
                <w:szCs w:val="21"/>
              </w:rPr>
            </w:pPr>
            <w:r>
              <w:rPr>
                <w:rFonts w:eastAsia="华文仿宋" w:cs="Tahoma" w:ascii="华文仿宋" w:hAnsi="华文仿宋"/>
                <w:color w:val="000000"/>
                <w:szCs w:val="21"/>
              </w:rPr>
              <w:t>1.028</w:t>
            </w:r>
          </w:p>
        </w:tc>
        <w:tc>
          <w:tcPr>
            <w:tcW w:w="1372" w:type="dxa"/>
            <w:tcBorders>
              <w:bottom w:val="single" w:sz="4" w:space="0" w:color="00000A"/>
              <w:right w:val="single" w:sz="4" w:space="0" w:color="00000A"/>
              <w:insideH w:val="single" w:sz="4" w:space="0" w:color="00000A"/>
              <w:insideV w:val="single" w:sz="4" w:space="0" w:color="00000A"/>
            </w:tcBorders>
            <w:shd w:color="auto" w:fill="auto" w:val="clear"/>
            <w:vAlign w:val="center"/>
          </w:tcPr>
          <w:p>
            <w:pPr>
              <w:pStyle w:val="Normal"/>
              <w:widowControl/>
              <w:jc w:val="center"/>
              <w:rPr>
                <w:rFonts w:ascii="华文仿宋" w:hAnsi="华文仿宋" w:eastAsia="华文仿宋" w:cs="Tahoma"/>
                <w:color w:val="000000"/>
                <w:szCs w:val="21"/>
              </w:rPr>
            </w:pPr>
            <w:r>
              <w:rPr>
                <w:rFonts w:eastAsia="华文仿宋" w:cs="Tahoma" w:ascii="华文仿宋" w:hAnsi="华文仿宋"/>
                <w:color w:val="000000"/>
                <w:szCs w:val="21"/>
              </w:rPr>
              <w:t>0.983</w:t>
            </w:r>
          </w:p>
        </w:tc>
        <w:tc>
          <w:tcPr>
            <w:tcW w:w="1371" w:type="dxa"/>
            <w:tcBorders>
              <w:bottom w:val="single" w:sz="4" w:space="0" w:color="00000A"/>
              <w:right w:val="single" w:sz="4" w:space="0" w:color="00000A"/>
              <w:insideH w:val="single" w:sz="4" w:space="0" w:color="00000A"/>
              <w:insideV w:val="single" w:sz="4" w:space="0" w:color="00000A"/>
            </w:tcBorders>
            <w:shd w:color="auto" w:fill="auto" w:val="clear"/>
            <w:vAlign w:val="center"/>
          </w:tcPr>
          <w:p>
            <w:pPr>
              <w:pStyle w:val="Normal"/>
              <w:widowControl/>
              <w:jc w:val="center"/>
              <w:rPr>
                <w:rFonts w:ascii="华文仿宋" w:hAnsi="华文仿宋" w:eastAsia="华文仿宋" w:cs="Tahoma"/>
                <w:color w:val="000000"/>
                <w:szCs w:val="21"/>
              </w:rPr>
            </w:pPr>
            <w:r>
              <w:rPr>
                <w:rFonts w:eastAsia="华文仿宋" w:cs="Tahoma" w:ascii="华文仿宋" w:hAnsi="华文仿宋"/>
                <w:color w:val="000000"/>
                <w:szCs w:val="21"/>
              </w:rPr>
              <w:t>0.938</w:t>
            </w:r>
          </w:p>
        </w:tc>
        <w:tc>
          <w:tcPr>
            <w:tcW w:w="1374" w:type="dxa"/>
            <w:tcBorders>
              <w:bottom w:val="single" w:sz="4" w:space="0" w:color="00000A"/>
              <w:right w:val="single" w:sz="4" w:space="0" w:color="00000A"/>
              <w:insideH w:val="single" w:sz="4" w:space="0" w:color="00000A"/>
              <w:insideV w:val="single" w:sz="4" w:space="0" w:color="00000A"/>
            </w:tcBorders>
            <w:shd w:color="auto" w:fill="auto" w:val="clear"/>
            <w:vAlign w:val="center"/>
          </w:tcPr>
          <w:p>
            <w:pPr>
              <w:pStyle w:val="Normal"/>
              <w:widowControl/>
              <w:jc w:val="center"/>
              <w:rPr>
                <w:rFonts w:ascii="华文仿宋" w:hAnsi="华文仿宋" w:eastAsia="华文仿宋" w:cs="Tahoma"/>
                <w:color w:val="000000"/>
                <w:szCs w:val="21"/>
              </w:rPr>
            </w:pPr>
            <w:r>
              <w:rPr>
                <w:rFonts w:eastAsia="华文仿宋" w:cs="Tahoma" w:ascii="华文仿宋" w:hAnsi="华文仿宋"/>
                <w:color w:val="000000"/>
                <w:szCs w:val="21"/>
              </w:rPr>
              <w:t>0.894</w:t>
            </w:r>
          </w:p>
        </w:tc>
      </w:tr>
      <w:tr>
        <w:trPr>
          <w:trHeight w:val="499" w:hRule="atLeast"/>
        </w:trPr>
        <w:tc>
          <w:tcPr>
            <w:tcW w:w="1952" w:type="dxa"/>
            <w:tcBorders>
              <w:left w:val="single" w:sz="8" w:space="0" w:color="00000A"/>
              <w:bottom w:val="single" w:sz="4" w:space="0" w:color="00000A"/>
              <w:right w:val="single" w:sz="4" w:space="0" w:color="00000A"/>
              <w:insideH w:val="single" w:sz="4" w:space="0" w:color="00000A"/>
              <w:insideV w:val="single" w:sz="4" w:space="0" w:color="00000A"/>
            </w:tcBorders>
            <w:shd w:color="auto" w:fill="auto" w:val="clear"/>
            <w:tcMar>
              <w:left w:w="98" w:type="dxa"/>
            </w:tcMar>
            <w:vAlign w:val="center"/>
          </w:tcPr>
          <w:p>
            <w:pPr>
              <w:pStyle w:val="Normal"/>
              <w:widowControl/>
              <w:jc w:val="left"/>
              <w:rPr>
                <w:rFonts w:ascii="华文仿宋" w:hAnsi="华文仿宋" w:eastAsia="华文仿宋" w:cs="Tahoma"/>
                <w:color w:val="000000"/>
                <w:szCs w:val="21"/>
              </w:rPr>
            </w:pPr>
            <w:r>
              <w:rPr>
                <w:rFonts w:ascii="华文仿宋" w:hAnsi="华文仿宋" w:cs="Tahoma" w:eastAsia="华文仿宋"/>
                <w:color w:val="000000"/>
                <w:szCs w:val="21"/>
              </w:rPr>
              <w:t>相当于再下浮</w:t>
            </w:r>
          </w:p>
        </w:tc>
        <w:tc>
          <w:tcPr>
            <w:tcW w:w="1721" w:type="dxa"/>
            <w:tcBorders>
              <w:bottom w:val="single" w:sz="4" w:space="0" w:color="00000A"/>
              <w:right w:val="single" w:sz="4" w:space="0" w:color="00000A"/>
              <w:insideH w:val="single" w:sz="4" w:space="0" w:color="00000A"/>
              <w:insideV w:val="single" w:sz="4" w:space="0" w:color="00000A"/>
            </w:tcBorders>
            <w:shd w:color="auto" w:fill="auto" w:val="clear"/>
            <w:vAlign w:val="center"/>
          </w:tcPr>
          <w:p>
            <w:pPr>
              <w:pStyle w:val="Normal"/>
              <w:widowControl/>
              <w:jc w:val="center"/>
              <w:rPr>
                <w:rFonts w:ascii="华文仿宋" w:hAnsi="华文仿宋" w:eastAsia="华文仿宋" w:cs="Tahoma"/>
                <w:color w:val="000000"/>
                <w:szCs w:val="21"/>
              </w:rPr>
            </w:pPr>
            <w:r>
              <w:rPr>
                <w:rFonts w:eastAsia="华文仿宋" w:cs="Tahoma" w:ascii="华文仿宋" w:hAnsi="华文仿宋"/>
                <w:color w:val="000000"/>
                <w:szCs w:val="21"/>
              </w:rPr>
              <w:t>14.53%</w:t>
            </w:r>
          </w:p>
        </w:tc>
        <w:tc>
          <w:tcPr>
            <w:tcW w:w="1750" w:type="dxa"/>
            <w:tcBorders>
              <w:bottom w:val="single" w:sz="4" w:space="0" w:color="00000A"/>
              <w:right w:val="single" w:sz="4" w:space="0" w:color="00000A"/>
              <w:insideH w:val="single" w:sz="4" w:space="0" w:color="00000A"/>
              <w:insideV w:val="single" w:sz="4" w:space="0" w:color="00000A"/>
            </w:tcBorders>
            <w:shd w:color="auto" w:fill="auto" w:val="clear"/>
            <w:vAlign w:val="center"/>
          </w:tcPr>
          <w:p>
            <w:pPr>
              <w:pStyle w:val="Normal"/>
              <w:widowControl/>
              <w:jc w:val="center"/>
              <w:rPr>
                <w:rFonts w:ascii="华文仿宋" w:hAnsi="华文仿宋" w:eastAsia="华文仿宋" w:cs="Tahoma"/>
                <w:color w:val="000000"/>
                <w:szCs w:val="21"/>
              </w:rPr>
            </w:pPr>
            <w:r>
              <w:rPr>
                <w:rFonts w:eastAsia="华文仿宋" w:cs="Tahoma" w:ascii="华文仿宋" w:hAnsi="华文仿宋"/>
                <w:color w:val="000000"/>
                <w:szCs w:val="21"/>
              </w:rPr>
              <w:t>14.53%</w:t>
            </w:r>
          </w:p>
        </w:tc>
        <w:tc>
          <w:tcPr>
            <w:tcW w:w="1372" w:type="dxa"/>
            <w:tcBorders>
              <w:bottom w:val="single" w:sz="4" w:space="0" w:color="00000A"/>
              <w:right w:val="single" w:sz="4" w:space="0" w:color="00000A"/>
              <w:insideH w:val="single" w:sz="4" w:space="0" w:color="00000A"/>
              <w:insideV w:val="single" w:sz="4" w:space="0" w:color="00000A"/>
            </w:tcBorders>
            <w:shd w:color="auto" w:fill="auto" w:val="clear"/>
            <w:vAlign w:val="center"/>
          </w:tcPr>
          <w:p>
            <w:pPr>
              <w:pStyle w:val="Normal"/>
              <w:widowControl/>
              <w:jc w:val="center"/>
              <w:rPr>
                <w:rFonts w:ascii="华文仿宋" w:hAnsi="华文仿宋" w:eastAsia="华文仿宋" w:cs="Tahoma"/>
                <w:color w:val="000000"/>
                <w:szCs w:val="21"/>
              </w:rPr>
            </w:pPr>
            <w:r>
              <w:rPr>
                <w:rFonts w:eastAsia="华文仿宋" w:cs="Tahoma" w:ascii="华文仿宋" w:hAnsi="华文仿宋"/>
                <w:color w:val="000000"/>
                <w:szCs w:val="21"/>
              </w:rPr>
              <w:t>14.53%</w:t>
            </w:r>
          </w:p>
        </w:tc>
        <w:tc>
          <w:tcPr>
            <w:tcW w:w="1371" w:type="dxa"/>
            <w:tcBorders>
              <w:bottom w:val="single" w:sz="4" w:space="0" w:color="00000A"/>
              <w:right w:val="single" w:sz="4" w:space="0" w:color="00000A"/>
              <w:insideH w:val="single" w:sz="4" w:space="0" w:color="00000A"/>
              <w:insideV w:val="single" w:sz="4" w:space="0" w:color="00000A"/>
            </w:tcBorders>
            <w:shd w:color="auto" w:fill="auto" w:val="clear"/>
            <w:vAlign w:val="center"/>
          </w:tcPr>
          <w:p>
            <w:pPr>
              <w:pStyle w:val="Normal"/>
              <w:widowControl/>
              <w:jc w:val="center"/>
              <w:rPr>
                <w:rFonts w:ascii="华文仿宋" w:hAnsi="华文仿宋" w:eastAsia="华文仿宋" w:cs="Tahoma"/>
                <w:color w:val="000000"/>
                <w:szCs w:val="21"/>
              </w:rPr>
            </w:pPr>
            <w:r>
              <w:rPr>
                <w:rFonts w:eastAsia="华文仿宋" w:cs="Tahoma" w:ascii="华文仿宋" w:hAnsi="华文仿宋"/>
                <w:color w:val="000000"/>
                <w:szCs w:val="21"/>
              </w:rPr>
              <w:t>14.53%</w:t>
            </w:r>
          </w:p>
        </w:tc>
        <w:tc>
          <w:tcPr>
            <w:tcW w:w="1374" w:type="dxa"/>
            <w:tcBorders>
              <w:bottom w:val="single" w:sz="4" w:space="0" w:color="00000A"/>
              <w:right w:val="single" w:sz="4" w:space="0" w:color="00000A"/>
              <w:insideH w:val="single" w:sz="4" w:space="0" w:color="00000A"/>
              <w:insideV w:val="single" w:sz="4" w:space="0" w:color="00000A"/>
            </w:tcBorders>
            <w:shd w:color="auto" w:fill="auto" w:val="clear"/>
            <w:vAlign w:val="center"/>
          </w:tcPr>
          <w:p>
            <w:pPr>
              <w:pStyle w:val="Normal"/>
              <w:widowControl/>
              <w:jc w:val="center"/>
              <w:rPr>
                <w:rFonts w:ascii="华文仿宋" w:hAnsi="华文仿宋" w:eastAsia="华文仿宋" w:cs="Tahoma"/>
                <w:color w:val="000000"/>
                <w:szCs w:val="21"/>
              </w:rPr>
            </w:pPr>
            <w:r>
              <w:rPr>
                <w:rFonts w:eastAsia="华文仿宋" w:cs="Tahoma" w:ascii="华文仿宋" w:hAnsi="华文仿宋"/>
                <w:color w:val="000000"/>
                <w:szCs w:val="21"/>
              </w:rPr>
              <w:t>14.53%</w:t>
            </w:r>
          </w:p>
        </w:tc>
      </w:tr>
      <w:tr>
        <w:trPr>
          <w:trHeight w:val="499" w:hRule="atLeast"/>
        </w:trPr>
        <w:tc>
          <w:tcPr>
            <w:tcW w:w="1952" w:type="dxa"/>
            <w:tcBorders>
              <w:left w:val="single" w:sz="8" w:space="0" w:color="00000A"/>
              <w:bottom w:val="single" w:sz="4" w:space="0" w:color="00000A"/>
              <w:right w:val="single" w:sz="4" w:space="0" w:color="00000A"/>
              <w:insideH w:val="single" w:sz="4" w:space="0" w:color="00000A"/>
              <w:insideV w:val="single" w:sz="4" w:space="0" w:color="00000A"/>
            </w:tcBorders>
            <w:shd w:color="auto" w:fill="auto" w:val="clear"/>
            <w:tcMar>
              <w:left w:w="98" w:type="dxa"/>
            </w:tcMar>
            <w:vAlign w:val="center"/>
          </w:tcPr>
          <w:p>
            <w:pPr>
              <w:pStyle w:val="Normal"/>
              <w:widowControl/>
              <w:jc w:val="left"/>
              <w:rPr>
                <w:rFonts w:ascii="华文仿宋" w:hAnsi="华文仿宋" w:eastAsia="华文仿宋" w:cs="Tahoma"/>
                <w:color w:val="000000"/>
                <w:szCs w:val="21"/>
              </w:rPr>
            </w:pPr>
            <w:r>
              <w:rPr>
                <w:rFonts w:ascii="华文仿宋" w:hAnsi="华文仿宋" w:cs="Tahoma" w:eastAsia="华文仿宋"/>
                <w:color w:val="000000"/>
                <w:szCs w:val="21"/>
              </w:rPr>
              <w:t>相对基准下浮</w:t>
            </w:r>
          </w:p>
        </w:tc>
        <w:tc>
          <w:tcPr>
            <w:tcW w:w="1721" w:type="dxa"/>
            <w:tcBorders>
              <w:bottom w:val="single" w:sz="4" w:space="0" w:color="00000A"/>
              <w:right w:val="single" w:sz="4" w:space="0" w:color="00000A"/>
              <w:insideH w:val="single" w:sz="4" w:space="0" w:color="00000A"/>
              <w:insideV w:val="single" w:sz="4" w:space="0" w:color="00000A"/>
            </w:tcBorders>
            <w:shd w:color="auto" w:fill="auto" w:val="clear"/>
            <w:vAlign w:val="center"/>
          </w:tcPr>
          <w:p>
            <w:pPr>
              <w:pStyle w:val="Normal"/>
              <w:widowControl/>
              <w:jc w:val="center"/>
              <w:rPr>
                <w:rFonts w:ascii="华文仿宋" w:hAnsi="华文仿宋" w:eastAsia="华文仿宋" w:cs="Tahoma"/>
                <w:color w:val="000000"/>
                <w:szCs w:val="21"/>
              </w:rPr>
            </w:pPr>
            <w:r>
              <w:rPr>
                <w:rFonts w:eastAsia="华文仿宋" w:cs="Tahoma" w:ascii="华文仿宋" w:hAnsi="华文仿宋"/>
                <w:color w:val="000000"/>
                <w:szCs w:val="21"/>
              </w:rPr>
            </w:r>
          </w:p>
        </w:tc>
        <w:tc>
          <w:tcPr>
            <w:tcW w:w="1750" w:type="dxa"/>
            <w:tcBorders>
              <w:bottom w:val="single" w:sz="4" w:space="0" w:color="00000A"/>
              <w:right w:val="single" w:sz="4" w:space="0" w:color="00000A"/>
              <w:insideH w:val="single" w:sz="4" w:space="0" w:color="00000A"/>
              <w:insideV w:val="single" w:sz="4" w:space="0" w:color="00000A"/>
            </w:tcBorders>
            <w:shd w:color="auto" w:fill="auto" w:val="clear"/>
            <w:vAlign w:val="center"/>
          </w:tcPr>
          <w:p>
            <w:pPr>
              <w:pStyle w:val="Normal"/>
              <w:widowControl/>
              <w:jc w:val="center"/>
              <w:rPr>
                <w:rFonts w:ascii="华文仿宋" w:hAnsi="华文仿宋" w:eastAsia="华文仿宋" w:cs="Tahoma"/>
                <w:color w:val="000000"/>
                <w:szCs w:val="21"/>
              </w:rPr>
            </w:pPr>
            <w:r>
              <w:rPr>
                <w:rFonts w:eastAsia="华文仿宋" w:cs="Tahoma" w:ascii="华文仿宋" w:hAnsi="华文仿宋"/>
                <w:color w:val="000000"/>
                <w:szCs w:val="21"/>
              </w:rPr>
              <w:t>1.71%</w:t>
            </w:r>
          </w:p>
        </w:tc>
        <w:tc>
          <w:tcPr>
            <w:tcW w:w="1372" w:type="dxa"/>
            <w:tcBorders>
              <w:bottom w:val="single" w:sz="4" w:space="0" w:color="00000A"/>
              <w:right w:val="single" w:sz="4" w:space="0" w:color="00000A"/>
              <w:insideH w:val="single" w:sz="4" w:space="0" w:color="00000A"/>
              <w:insideV w:val="single" w:sz="4" w:space="0" w:color="00000A"/>
            </w:tcBorders>
            <w:shd w:color="auto" w:fill="auto" w:val="clear"/>
            <w:vAlign w:val="center"/>
          </w:tcPr>
          <w:p>
            <w:pPr>
              <w:pStyle w:val="Normal"/>
              <w:widowControl/>
              <w:jc w:val="center"/>
              <w:rPr>
                <w:rFonts w:ascii="华文仿宋" w:hAnsi="华文仿宋" w:eastAsia="华文仿宋" w:cs="Tahoma"/>
                <w:color w:val="000000"/>
                <w:szCs w:val="21"/>
              </w:rPr>
            </w:pPr>
            <w:r>
              <w:rPr>
                <w:rFonts w:eastAsia="华文仿宋" w:cs="Tahoma" w:ascii="华文仿宋" w:hAnsi="华文仿宋"/>
                <w:color w:val="000000"/>
                <w:szCs w:val="21"/>
              </w:rPr>
              <w:t>5.98%</w:t>
            </w:r>
          </w:p>
        </w:tc>
        <w:tc>
          <w:tcPr>
            <w:tcW w:w="1371" w:type="dxa"/>
            <w:tcBorders>
              <w:bottom w:val="single" w:sz="4" w:space="0" w:color="00000A"/>
              <w:right w:val="single" w:sz="4" w:space="0" w:color="00000A"/>
              <w:insideH w:val="single" w:sz="4" w:space="0" w:color="00000A"/>
              <w:insideV w:val="single" w:sz="4" w:space="0" w:color="00000A"/>
            </w:tcBorders>
            <w:shd w:color="auto" w:fill="auto" w:val="clear"/>
            <w:vAlign w:val="center"/>
          </w:tcPr>
          <w:p>
            <w:pPr>
              <w:pStyle w:val="Normal"/>
              <w:widowControl/>
              <w:jc w:val="center"/>
              <w:rPr>
                <w:rFonts w:ascii="华文仿宋" w:hAnsi="华文仿宋" w:eastAsia="华文仿宋" w:cs="Tahoma"/>
                <w:color w:val="000000"/>
                <w:szCs w:val="21"/>
              </w:rPr>
            </w:pPr>
            <w:r>
              <w:rPr>
                <w:rFonts w:eastAsia="华文仿宋" w:cs="Tahoma" w:ascii="华文仿宋" w:hAnsi="华文仿宋"/>
                <w:color w:val="000000"/>
                <w:szCs w:val="21"/>
              </w:rPr>
              <w:t>10.26%</w:t>
            </w:r>
          </w:p>
        </w:tc>
        <w:tc>
          <w:tcPr>
            <w:tcW w:w="1374" w:type="dxa"/>
            <w:tcBorders>
              <w:bottom w:val="single" w:sz="4" w:space="0" w:color="00000A"/>
              <w:right w:val="single" w:sz="4" w:space="0" w:color="00000A"/>
              <w:insideH w:val="single" w:sz="4" w:space="0" w:color="00000A"/>
              <w:insideV w:val="single" w:sz="4" w:space="0" w:color="00000A"/>
            </w:tcBorders>
            <w:shd w:color="auto" w:fill="auto" w:val="clear"/>
            <w:vAlign w:val="center"/>
          </w:tcPr>
          <w:p>
            <w:pPr>
              <w:pStyle w:val="Normal"/>
              <w:widowControl/>
              <w:jc w:val="center"/>
              <w:rPr>
                <w:rFonts w:ascii="华文仿宋" w:hAnsi="华文仿宋" w:eastAsia="华文仿宋" w:cs="Tahoma"/>
                <w:color w:val="000000"/>
                <w:szCs w:val="21"/>
              </w:rPr>
            </w:pPr>
            <w:r>
              <w:rPr>
                <w:rFonts w:eastAsia="华文仿宋" w:cs="Tahoma" w:ascii="华文仿宋" w:hAnsi="华文仿宋"/>
                <w:color w:val="000000"/>
                <w:szCs w:val="21"/>
              </w:rPr>
              <w:t>14.53%</w:t>
            </w:r>
          </w:p>
        </w:tc>
      </w:tr>
      <w:tr>
        <w:trPr>
          <w:trHeight w:val="499" w:hRule="atLeast"/>
        </w:trPr>
        <w:tc>
          <w:tcPr>
            <w:tcW w:w="1952" w:type="dxa"/>
            <w:tcBorders>
              <w:left w:val="single" w:sz="8" w:space="0" w:color="00000A"/>
              <w:right w:val="single" w:sz="4" w:space="0" w:color="00000A"/>
              <w:insideV w:val="single" w:sz="4" w:space="0" w:color="00000A"/>
            </w:tcBorders>
            <w:shd w:color="auto" w:fill="auto" w:val="clear"/>
            <w:tcMar>
              <w:left w:w="98" w:type="dxa"/>
            </w:tcMar>
            <w:vAlign w:val="center"/>
          </w:tcPr>
          <w:p>
            <w:pPr>
              <w:pStyle w:val="Normal"/>
              <w:widowControl/>
              <w:jc w:val="left"/>
              <w:rPr>
                <w:rFonts w:ascii="华文仿宋" w:hAnsi="华文仿宋" w:eastAsia="华文仿宋" w:cs="Tahoma"/>
                <w:color w:val="000000"/>
                <w:szCs w:val="21"/>
              </w:rPr>
            </w:pPr>
            <w:r>
              <w:rPr>
                <w:rFonts w:ascii="华文仿宋" w:hAnsi="华文仿宋" w:cs="Tahoma" w:eastAsia="华文仿宋"/>
                <w:color w:val="000000"/>
                <w:szCs w:val="21"/>
              </w:rPr>
              <w:t>相对基准上浮</w:t>
            </w:r>
          </w:p>
        </w:tc>
        <w:tc>
          <w:tcPr>
            <w:tcW w:w="1721" w:type="dxa"/>
            <w:tcBorders>
              <w:right w:val="single" w:sz="4" w:space="0" w:color="00000A"/>
              <w:insideV w:val="single" w:sz="4" w:space="0" w:color="00000A"/>
            </w:tcBorders>
            <w:shd w:color="auto" w:fill="auto" w:val="clear"/>
            <w:vAlign w:val="center"/>
          </w:tcPr>
          <w:p>
            <w:pPr>
              <w:pStyle w:val="Normal"/>
              <w:widowControl/>
              <w:jc w:val="center"/>
              <w:rPr>
                <w:rFonts w:ascii="华文仿宋" w:hAnsi="华文仿宋" w:eastAsia="华文仿宋" w:cs="Tahoma"/>
                <w:color w:val="000000"/>
                <w:szCs w:val="21"/>
              </w:rPr>
            </w:pPr>
            <w:r>
              <w:rPr>
                <w:rFonts w:eastAsia="华文仿宋" w:cs="Tahoma" w:ascii="华文仿宋" w:hAnsi="华文仿宋"/>
                <w:color w:val="000000"/>
                <w:szCs w:val="21"/>
              </w:rPr>
              <w:t>2.56%</w:t>
            </w:r>
          </w:p>
        </w:tc>
        <w:tc>
          <w:tcPr>
            <w:tcW w:w="1750" w:type="dxa"/>
            <w:tcBorders>
              <w:right w:val="single" w:sz="4" w:space="0" w:color="00000A"/>
              <w:insideV w:val="single" w:sz="4" w:space="0" w:color="00000A"/>
            </w:tcBorders>
            <w:shd w:color="auto" w:fill="auto" w:val="clear"/>
            <w:vAlign w:val="center"/>
          </w:tcPr>
          <w:p>
            <w:pPr>
              <w:pStyle w:val="Normal"/>
              <w:widowControl/>
              <w:jc w:val="center"/>
              <w:rPr>
                <w:rFonts w:ascii="华文仿宋" w:hAnsi="华文仿宋" w:eastAsia="华文仿宋" w:cs="Tahoma"/>
                <w:color w:val="000000"/>
                <w:szCs w:val="21"/>
              </w:rPr>
            </w:pPr>
            <w:r>
              <w:rPr>
                <w:rFonts w:eastAsia="华文仿宋" w:cs="Tahoma" w:ascii="华文仿宋" w:hAnsi="华文仿宋"/>
                <w:color w:val="000000"/>
                <w:szCs w:val="21"/>
              </w:rPr>
            </w:r>
          </w:p>
        </w:tc>
        <w:tc>
          <w:tcPr>
            <w:tcW w:w="1372" w:type="dxa"/>
            <w:tcBorders>
              <w:right w:val="single" w:sz="4" w:space="0" w:color="00000A"/>
              <w:insideV w:val="single" w:sz="4" w:space="0" w:color="00000A"/>
            </w:tcBorders>
            <w:shd w:color="auto" w:fill="auto" w:val="clear"/>
            <w:vAlign w:val="center"/>
          </w:tcPr>
          <w:p>
            <w:pPr>
              <w:pStyle w:val="Normal"/>
              <w:widowControl/>
              <w:jc w:val="center"/>
              <w:rPr>
                <w:rFonts w:ascii="华文仿宋" w:hAnsi="华文仿宋" w:eastAsia="华文仿宋" w:cs="Tahoma"/>
                <w:color w:val="000000"/>
                <w:szCs w:val="21"/>
              </w:rPr>
            </w:pPr>
            <w:r>
              <w:rPr>
                <w:rFonts w:eastAsia="华文仿宋" w:cs="Tahoma" w:ascii="华文仿宋" w:hAnsi="华文仿宋"/>
                <w:color w:val="000000"/>
                <w:szCs w:val="21"/>
              </w:rPr>
            </w:r>
          </w:p>
        </w:tc>
        <w:tc>
          <w:tcPr>
            <w:tcW w:w="1371" w:type="dxa"/>
            <w:tcBorders>
              <w:right w:val="single" w:sz="4" w:space="0" w:color="00000A"/>
              <w:insideV w:val="single" w:sz="4" w:space="0" w:color="00000A"/>
            </w:tcBorders>
            <w:shd w:color="auto" w:fill="auto" w:val="clear"/>
            <w:vAlign w:val="center"/>
          </w:tcPr>
          <w:p>
            <w:pPr>
              <w:pStyle w:val="Normal"/>
              <w:widowControl/>
              <w:jc w:val="center"/>
              <w:rPr>
                <w:rFonts w:ascii="华文仿宋" w:hAnsi="华文仿宋" w:eastAsia="华文仿宋" w:cs="Tahoma"/>
                <w:color w:val="000000"/>
                <w:szCs w:val="21"/>
              </w:rPr>
            </w:pPr>
            <w:r>
              <w:rPr>
                <w:rFonts w:eastAsia="华文仿宋" w:cs="Tahoma" w:ascii="华文仿宋" w:hAnsi="华文仿宋"/>
                <w:color w:val="000000"/>
                <w:szCs w:val="21"/>
              </w:rPr>
            </w:r>
          </w:p>
        </w:tc>
        <w:tc>
          <w:tcPr>
            <w:tcW w:w="1374" w:type="dxa"/>
            <w:tcBorders>
              <w:right w:val="single" w:sz="4" w:space="0" w:color="00000A"/>
              <w:insideV w:val="single" w:sz="4" w:space="0" w:color="00000A"/>
            </w:tcBorders>
            <w:shd w:color="auto" w:fill="auto" w:val="clear"/>
            <w:vAlign w:val="center"/>
          </w:tcPr>
          <w:p>
            <w:pPr>
              <w:pStyle w:val="Normal"/>
              <w:widowControl/>
              <w:jc w:val="center"/>
              <w:rPr>
                <w:rFonts w:ascii="华文仿宋" w:hAnsi="华文仿宋" w:eastAsia="华文仿宋" w:cs="Tahoma"/>
                <w:color w:val="000000"/>
                <w:szCs w:val="21"/>
              </w:rPr>
            </w:pPr>
            <w:r>
              <w:rPr>
                <w:rFonts w:eastAsia="华文仿宋" w:cs="Tahoma" w:ascii="华文仿宋" w:hAnsi="华文仿宋"/>
                <w:color w:val="000000"/>
                <w:szCs w:val="21"/>
              </w:rPr>
            </w:r>
          </w:p>
        </w:tc>
      </w:tr>
      <w:tr>
        <w:trPr>
          <w:trHeight w:val="300" w:hRule="atLeast"/>
        </w:trPr>
        <w:tc>
          <w:tcPr>
            <w:tcW w:w="9540" w:type="dxa"/>
            <w:gridSpan w:val="6"/>
            <w:tcBorders>
              <w:top w:val="single" w:sz="4" w:space="0" w:color="00000A"/>
              <w:left w:val="single" w:sz="8" w:space="0" w:color="00000A"/>
              <w:right w:val="single" w:sz="4" w:space="0" w:color="00000A"/>
              <w:insideV w:val="single" w:sz="4" w:space="0" w:color="00000A"/>
            </w:tcBorders>
            <w:shd w:color="000000" w:fill="C0C0C0" w:val="clear"/>
            <w:tcMar>
              <w:left w:w="98" w:type="dxa"/>
            </w:tcMar>
            <w:vAlign w:val="center"/>
          </w:tcPr>
          <w:p>
            <w:pPr>
              <w:pStyle w:val="Normal"/>
              <w:widowControl/>
              <w:jc w:val="center"/>
              <w:rPr>
                <w:rFonts w:ascii="华文仿宋" w:hAnsi="华文仿宋" w:eastAsia="华文仿宋" w:cs="Tahoma"/>
                <w:color w:val="000000"/>
                <w:szCs w:val="21"/>
              </w:rPr>
            </w:pPr>
            <w:r>
              <w:rPr>
                <w:rFonts w:eastAsia="华文仿宋" w:cs="Tahoma" w:ascii="华文仿宋" w:hAnsi="华文仿宋"/>
                <w:color w:val="000000"/>
                <w:szCs w:val="21"/>
              </w:rPr>
            </w:r>
          </w:p>
        </w:tc>
      </w:tr>
      <w:tr>
        <w:trPr>
          <w:trHeight w:val="822" w:hRule="atLeast"/>
        </w:trPr>
        <w:tc>
          <w:tcPr>
            <w:tcW w:w="1952" w:type="dxa"/>
            <w:tcBorders>
              <w:top w:val="single" w:sz="4" w:space="0" w:color="00000A"/>
              <w:left w:val="single" w:sz="8" w:space="0" w:color="00000A"/>
              <w:right w:val="single" w:sz="4" w:space="0" w:color="00000A"/>
              <w:insideV w:val="single" w:sz="4" w:space="0" w:color="00000A"/>
            </w:tcBorders>
            <w:shd w:color="auto" w:fill="auto" w:val="clear"/>
            <w:tcMar>
              <w:left w:w="98" w:type="dxa"/>
            </w:tcMar>
            <w:vAlign w:val="center"/>
          </w:tcPr>
          <w:p>
            <w:pPr>
              <w:pStyle w:val="Normal"/>
              <w:widowControl/>
              <w:jc w:val="left"/>
              <w:rPr>
                <w:rFonts w:ascii="华文仿宋" w:hAnsi="华文仿宋" w:eastAsia="华文仿宋" w:cs="Tahoma"/>
                <w:color w:val="000000"/>
                <w:szCs w:val="21"/>
              </w:rPr>
            </w:pPr>
            <w:r>
              <w:rPr>
                <w:rFonts w:ascii="华文仿宋" w:hAnsi="华文仿宋" w:cs="Tahoma" w:eastAsia="华文仿宋"/>
                <w:color w:val="000000"/>
                <w:szCs w:val="21"/>
              </w:rPr>
              <w:t>三年租息合计（即三年增值税发票开票总金额）</w:t>
            </w:r>
          </w:p>
        </w:tc>
        <w:tc>
          <w:tcPr>
            <w:tcW w:w="1721" w:type="dxa"/>
            <w:tcBorders>
              <w:top w:val="single" w:sz="4" w:space="0" w:color="00000A"/>
              <w:right w:val="single" w:sz="4" w:space="0" w:color="00000A"/>
              <w:insideV w:val="single" w:sz="4" w:space="0" w:color="00000A"/>
            </w:tcBorders>
            <w:shd w:color="auto" w:fill="auto" w:val="clear"/>
            <w:vAlign w:val="center"/>
          </w:tcPr>
          <w:p>
            <w:pPr>
              <w:pStyle w:val="Normal"/>
              <w:widowControl/>
              <w:jc w:val="center"/>
              <w:rPr>
                <w:rFonts w:ascii="华文仿宋" w:hAnsi="华文仿宋" w:eastAsia="华文仿宋" w:cs="Tahoma"/>
                <w:color w:val="000000"/>
                <w:szCs w:val="21"/>
              </w:rPr>
            </w:pPr>
            <w:r>
              <w:rPr>
                <w:rFonts w:eastAsia="华文仿宋" w:cs="Tahoma" w:ascii="华文仿宋" w:hAnsi="华文仿宋"/>
                <w:color w:val="000000"/>
                <w:szCs w:val="21"/>
              </w:rPr>
              <w:t>22,140,000.00</w:t>
            </w:r>
          </w:p>
        </w:tc>
        <w:tc>
          <w:tcPr>
            <w:tcW w:w="1750" w:type="dxa"/>
            <w:tcBorders>
              <w:top w:val="single" w:sz="4" w:space="0" w:color="00000A"/>
              <w:right w:val="single" w:sz="4" w:space="0" w:color="00000A"/>
              <w:insideV w:val="single" w:sz="4" w:space="0" w:color="00000A"/>
            </w:tcBorders>
            <w:shd w:color="auto" w:fill="auto" w:val="clear"/>
            <w:vAlign w:val="center"/>
          </w:tcPr>
          <w:p>
            <w:pPr>
              <w:pStyle w:val="Normal"/>
              <w:widowControl/>
              <w:jc w:val="center"/>
              <w:rPr>
                <w:rFonts w:ascii="华文仿宋" w:hAnsi="华文仿宋" w:eastAsia="华文仿宋" w:cs="Tahoma"/>
                <w:color w:val="000000"/>
                <w:szCs w:val="21"/>
              </w:rPr>
            </w:pPr>
            <w:r>
              <w:rPr>
                <w:rFonts w:eastAsia="华文仿宋" w:cs="Tahoma" w:ascii="华文仿宋" w:hAnsi="华文仿宋"/>
                <w:color w:val="000000"/>
                <w:szCs w:val="21"/>
              </w:rPr>
              <w:t>21,217,500.00</w:t>
            </w:r>
          </w:p>
        </w:tc>
        <w:tc>
          <w:tcPr>
            <w:tcW w:w="1372" w:type="dxa"/>
            <w:tcBorders>
              <w:top w:val="single" w:sz="4" w:space="0" w:color="00000A"/>
              <w:right w:val="single" w:sz="4" w:space="0" w:color="00000A"/>
              <w:insideV w:val="single" w:sz="4" w:space="0" w:color="00000A"/>
            </w:tcBorders>
            <w:shd w:color="auto" w:fill="auto" w:val="clear"/>
            <w:vAlign w:val="center"/>
          </w:tcPr>
          <w:p>
            <w:pPr>
              <w:pStyle w:val="Normal"/>
              <w:widowControl/>
              <w:jc w:val="center"/>
              <w:rPr>
                <w:rFonts w:ascii="华文仿宋" w:hAnsi="华文仿宋" w:eastAsia="华文仿宋" w:cs="Tahoma"/>
                <w:color w:val="000000"/>
                <w:szCs w:val="21"/>
              </w:rPr>
            </w:pPr>
            <w:r>
              <w:rPr>
                <w:rFonts w:eastAsia="华文仿宋" w:cs="Tahoma" w:ascii="华文仿宋" w:hAnsi="华文仿宋"/>
                <w:color w:val="000000"/>
                <w:szCs w:val="21"/>
              </w:rPr>
              <w:t>20,295,000.00</w:t>
            </w:r>
          </w:p>
        </w:tc>
        <w:tc>
          <w:tcPr>
            <w:tcW w:w="1371" w:type="dxa"/>
            <w:tcBorders>
              <w:top w:val="single" w:sz="4" w:space="0" w:color="00000A"/>
              <w:right w:val="single" w:sz="4" w:space="0" w:color="00000A"/>
              <w:insideV w:val="single" w:sz="4" w:space="0" w:color="00000A"/>
            </w:tcBorders>
            <w:shd w:color="auto" w:fill="auto" w:val="clear"/>
            <w:vAlign w:val="center"/>
          </w:tcPr>
          <w:p>
            <w:pPr>
              <w:pStyle w:val="Normal"/>
              <w:widowControl/>
              <w:jc w:val="center"/>
              <w:rPr>
                <w:rFonts w:ascii="华文仿宋" w:hAnsi="华文仿宋" w:eastAsia="华文仿宋" w:cs="Tahoma"/>
                <w:color w:val="000000"/>
                <w:szCs w:val="21"/>
              </w:rPr>
            </w:pPr>
            <w:r>
              <w:rPr>
                <w:rFonts w:eastAsia="华文仿宋" w:cs="Tahoma" w:ascii="华文仿宋" w:hAnsi="华文仿宋"/>
                <w:color w:val="000000"/>
                <w:szCs w:val="21"/>
              </w:rPr>
              <w:t>19,372,500.00</w:t>
            </w:r>
          </w:p>
        </w:tc>
        <w:tc>
          <w:tcPr>
            <w:tcW w:w="1374" w:type="dxa"/>
            <w:tcBorders>
              <w:top w:val="single" w:sz="4" w:space="0" w:color="00000A"/>
              <w:right w:val="single" w:sz="4" w:space="0" w:color="00000A"/>
              <w:insideV w:val="single" w:sz="4" w:space="0" w:color="00000A"/>
            </w:tcBorders>
            <w:shd w:color="auto" w:fill="auto" w:val="clear"/>
            <w:vAlign w:val="center"/>
          </w:tcPr>
          <w:p>
            <w:pPr>
              <w:pStyle w:val="Normal"/>
              <w:widowControl/>
              <w:jc w:val="center"/>
              <w:rPr>
                <w:rFonts w:ascii="华文仿宋" w:hAnsi="华文仿宋" w:eastAsia="华文仿宋" w:cs="Tahoma"/>
                <w:color w:val="000000"/>
                <w:szCs w:val="21"/>
              </w:rPr>
            </w:pPr>
            <w:r>
              <w:rPr>
                <w:rFonts w:eastAsia="华文仿宋" w:cs="Tahoma" w:ascii="华文仿宋" w:hAnsi="华文仿宋"/>
                <w:color w:val="000000"/>
                <w:szCs w:val="21"/>
              </w:rPr>
              <w:t>18,450,000.00</w:t>
            </w:r>
          </w:p>
        </w:tc>
      </w:tr>
      <w:tr>
        <w:trPr>
          <w:trHeight w:val="780" w:hRule="atLeast"/>
        </w:trPr>
        <w:tc>
          <w:tcPr>
            <w:tcW w:w="1952" w:type="dxa"/>
            <w:tcBorders>
              <w:top w:val="single" w:sz="4" w:space="0" w:color="00000A"/>
              <w:left w:val="single" w:sz="8" w:space="0" w:color="00000A"/>
              <w:bottom w:val="single" w:sz="8" w:space="0" w:color="00000A"/>
              <w:right w:val="single" w:sz="4" w:space="0" w:color="00000A"/>
              <w:insideH w:val="single" w:sz="8" w:space="0" w:color="00000A"/>
              <w:insideV w:val="single" w:sz="4" w:space="0" w:color="00000A"/>
            </w:tcBorders>
            <w:shd w:color="auto" w:fill="auto" w:val="clear"/>
            <w:tcMar>
              <w:left w:w="98" w:type="dxa"/>
            </w:tcMar>
            <w:vAlign w:val="center"/>
          </w:tcPr>
          <w:p>
            <w:pPr>
              <w:pStyle w:val="Normal"/>
              <w:widowControl/>
              <w:jc w:val="left"/>
              <w:rPr>
                <w:rFonts w:ascii="华文仿宋" w:hAnsi="华文仿宋" w:eastAsia="华文仿宋" w:cs="Tahoma"/>
                <w:color w:val="000000"/>
                <w:szCs w:val="21"/>
              </w:rPr>
            </w:pPr>
            <w:r>
              <w:rPr>
                <w:rFonts w:ascii="华文仿宋" w:hAnsi="华文仿宋" w:cs="Tahoma" w:eastAsia="华文仿宋"/>
                <w:color w:val="000000"/>
                <w:szCs w:val="21"/>
              </w:rPr>
              <w:t>三年累计可抵扣进项税合计</w:t>
            </w:r>
          </w:p>
        </w:tc>
        <w:tc>
          <w:tcPr>
            <w:tcW w:w="1721" w:type="dxa"/>
            <w:tcBorders>
              <w:top w:val="single" w:sz="4" w:space="0" w:color="00000A"/>
              <w:bottom w:val="single" w:sz="8" w:space="0" w:color="00000A"/>
              <w:right w:val="single" w:sz="4" w:space="0" w:color="00000A"/>
              <w:insideH w:val="single" w:sz="8" w:space="0" w:color="00000A"/>
              <w:insideV w:val="single" w:sz="4" w:space="0" w:color="00000A"/>
            </w:tcBorders>
            <w:shd w:color="auto" w:fill="auto" w:val="clear"/>
            <w:vAlign w:val="center"/>
          </w:tcPr>
          <w:p>
            <w:pPr>
              <w:pStyle w:val="Normal"/>
              <w:widowControl/>
              <w:jc w:val="center"/>
              <w:rPr>
                <w:rFonts w:ascii="华文仿宋" w:hAnsi="华文仿宋" w:eastAsia="华文仿宋" w:cs="Tahoma"/>
                <w:color w:val="000000"/>
                <w:szCs w:val="21"/>
              </w:rPr>
            </w:pPr>
            <w:r>
              <w:rPr>
                <w:rFonts w:eastAsia="华文仿宋" w:cs="Tahoma" w:ascii="华文仿宋" w:hAnsi="华文仿宋"/>
                <w:color w:val="000000"/>
                <w:szCs w:val="21"/>
              </w:rPr>
              <w:t>3,216,923.08</w:t>
            </w:r>
          </w:p>
        </w:tc>
        <w:tc>
          <w:tcPr>
            <w:tcW w:w="1750" w:type="dxa"/>
            <w:tcBorders>
              <w:top w:val="single" w:sz="4" w:space="0" w:color="00000A"/>
              <w:bottom w:val="single" w:sz="8" w:space="0" w:color="00000A"/>
              <w:right w:val="single" w:sz="4" w:space="0" w:color="00000A"/>
              <w:insideH w:val="single" w:sz="8" w:space="0" w:color="00000A"/>
              <w:insideV w:val="single" w:sz="4" w:space="0" w:color="00000A"/>
            </w:tcBorders>
            <w:shd w:color="auto" w:fill="auto" w:val="clear"/>
            <w:vAlign w:val="center"/>
          </w:tcPr>
          <w:p>
            <w:pPr>
              <w:pStyle w:val="Normal"/>
              <w:widowControl/>
              <w:jc w:val="center"/>
              <w:rPr>
                <w:rFonts w:ascii="华文仿宋" w:hAnsi="华文仿宋" w:eastAsia="华文仿宋" w:cs="Tahoma"/>
                <w:color w:val="000000"/>
                <w:szCs w:val="21"/>
              </w:rPr>
            </w:pPr>
            <w:r>
              <w:rPr>
                <w:rFonts w:eastAsia="华文仿宋" w:cs="Tahoma" w:ascii="华文仿宋" w:hAnsi="华文仿宋"/>
                <w:color w:val="000000"/>
                <w:szCs w:val="21"/>
              </w:rPr>
              <w:t>3,082,884.62</w:t>
            </w:r>
          </w:p>
        </w:tc>
        <w:tc>
          <w:tcPr>
            <w:tcW w:w="1372" w:type="dxa"/>
            <w:tcBorders>
              <w:top w:val="single" w:sz="4" w:space="0" w:color="00000A"/>
              <w:bottom w:val="single" w:sz="8" w:space="0" w:color="00000A"/>
              <w:right w:val="single" w:sz="4" w:space="0" w:color="00000A"/>
              <w:insideH w:val="single" w:sz="8" w:space="0" w:color="00000A"/>
              <w:insideV w:val="single" w:sz="4" w:space="0" w:color="00000A"/>
            </w:tcBorders>
            <w:shd w:color="auto" w:fill="auto" w:val="clear"/>
            <w:vAlign w:val="center"/>
          </w:tcPr>
          <w:p>
            <w:pPr>
              <w:pStyle w:val="Normal"/>
              <w:widowControl/>
              <w:jc w:val="center"/>
              <w:rPr>
                <w:rFonts w:ascii="华文仿宋" w:hAnsi="华文仿宋" w:eastAsia="华文仿宋" w:cs="Tahoma"/>
                <w:color w:val="000000"/>
                <w:szCs w:val="21"/>
              </w:rPr>
            </w:pPr>
            <w:r>
              <w:rPr>
                <w:rFonts w:eastAsia="华文仿宋" w:cs="Tahoma" w:ascii="华文仿宋" w:hAnsi="华文仿宋"/>
                <w:color w:val="000000"/>
                <w:szCs w:val="21"/>
              </w:rPr>
              <w:t>2,948,846.15</w:t>
            </w:r>
          </w:p>
        </w:tc>
        <w:tc>
          <w:tcPr>
            <w:tcW w:w="1371" w:type="dxa"/>
            <w:tcBorders>
              <w:top w:val="single" w:sz="4" w:space="0" w:color="00000A"/>
              <w:bottom w:val="single" w:sz="8" w:space="0" w:color="00000A"/>
              <w:right w:val="single" w:sz="4" w:space="0" w:color="00000A"/>
              <w:insideH w:val="single" w:sz="8" w:space="0" w:color="00000A"/>
              <w:insideV w:val="single" w:sz="4" w:space="0" w:color="00000A"/>
            </w:tcBorders>
            <w:shd w:color="auto" w:fill="auto" w:val="clear"/>
            <w:vAlign w:val="center"/>
          </w:tcPr>
          <w:p>
            <w:pPr>
              <w:pStyle w:val="Normal"/>
              <w:widowControl/>
              <w:jc w:val="center"/>
              <w:rPr>
                <w:rFonts w:ascii="华文仿宋" w:hAnsi="华文仿宋" w:eastAsia="华文仿宋" w:cs="Tahoma"/>
                <w:color w:val="000000"/>
                <w:szCs w:val="21"/>
              </w:rPr>
            </w:pPr>
            <w:r>
              <w:rPr>
                <w:rFonts w:eastAsia="华文仿宋" w:cs="Tahoma" w:ascii="华文仿宋" w:hAnsi="华文仿宋"/>
                <w:color w:val="000000"/>
                <w:szCs w:val="21"/>
              </w:rPr>
              <w:t>2,814,807.69</w:t>
            </w:r>
          </w:p>
        </w:tc>
        <w:tc>
          <w:tcPr>
            <w:tcW w:w="1374" w:type="dxa"/>
            <w:tcBorders>
              <w:top w:val="single" w:sz="4" w:space="0" w:color="00000A"/>
              <w:bottom w:val="single" w:sz="8" w:space="0" w:color="00000A"/>
              <w:right w:val="single" w:sz="4" w:space="0" w:color="00000A"/>
              <w:insideH w:val="single" w:sz="8" w:space="0" w:color="00000A"/>
              <w:insideV w:val="single" w:sz="4" w:space="0" w:color="00000A"/>
            </w:tcBorders>
            <w:shd w:color="auto" w:fill="auto" w:val="clear"/>
            <w:vAlign w:val="center"/>
          </w:tcPr>
          <w:p>
            <w:pPr>
              <w:pStyle w:val="Normal"/>
              <w:widowControl/>
              <w:jc w:val="center"/>
              <w:rPr>
                <w:rFonts w:ascii="华文仿宋" w:hAnsi="华文仿宋" w:eastAsia="华文仿宋" w:cs="Tahoma"/>
                <w:color w:val="000000"/>
                <w:szCs w:val="21"/>
              </w:rPr>
            </w:pPr>
            <w:r>
              <w:rPr>
                <w:rFonts w:eastAsia="华文仿宋" w:cs="Tahoma" w:ascii="华文仿宋" w:hAnsi="华文仿宋"/>
                <w:color w:val="000000"/>
                <w:szCs w:val="21"/>
              </w:rPr>
              <w:t>2,680,769.23</w:t>
            </w:r>
          </w:p>
        </w:tc>
      </w:tr>
    </w:tbl>
    <w:p>
      <w:pPr>
        <w:pStyle w:val="Normal"/>
        <w:spacing w:lineRule="exact" w:line="480" w:before="156" w:after="0"/>
        <w:ind w:left="851" w:hanging="0"/>
        <w:rPr>
          <w:rFonts w:ascii="华文仿宋" w:hAnsi="华文仿宋" w:eastAsia="华文仿宋"/>
          <w:sz w:val="28"/>
          <w:szCs w:val="28"/>
        </w:rPr>
      </w:pPr>
      <w:r>
        <w:rPr>
          <w:rFonts w:eastAsia="华文仿宋" w:ascii="华文仿宋" w:hAnsi="华文仿宋"/>
          <w:sz w:val="28"/>
          <w:szCs w:val="28"/>
        </w:rPr>
      </w:r>
    </w:p>
    <w:p>
      <w:pPr>
        <w:pStyle w:val="Normal"/>
        <w:numPr>
          <w:ilvl w:val="4"/>
          <w:numId w:val="1"/>
        </w:numPr>
        <w:tabs>
          <w:tab w:val="left" w:pos="851" w:leader="none"/>
        </w:tabs>
        <w:spacing w:lineRule="exact" w:line="480" w:before="156" w:after="0"/>
        <w:ind w:left="851" w:hanging="720"/>
        <w:rPr>
          <w:rFonts w:ascii="华文仿宋" w:hAnsi="华文仿宋" w:eastAsia="华文仿宋"/>
          <w:sz w:val="28"/>
          <w:szCs w:val="28"/>
        </w:rPr>
      </w:pPr>
      <w:r>
        <w:rPr>
          <w:rFonts w:ascii="华文仿宋" w:hAnsi="华文仿宋" w:eastAsia="华文仿宋"/>
          <w:b/>
          <w:sz w:val="28"/>
          <w:szCs w:val="28"/>
        </w:rPr>
        <w:t>租赁标的物适用性广</w:t>
      </w:r>
      <w:r>
        <w:rPr>
          <w:rFonts w:ascii="华文仿宋" w:hAnsi="华文仿宋" w:eastAsia="华文仿宋"/>
          <w:sz w:val="28"/>
          <w:szCs w:val="28"/>
        </w:rPr>
        <w:t>：标的物为存量资产即可，承租人企业可灵活挑选合适的资产作为租赁标的物，且交易后该资产仍在企业资产负债表内；</w:t>
      </w:r>
    </w:p>
    <w:p>
      <w:pPr>
        <w:pStyle w:val="Normal"/>
        <w:numPr>
          <w:ilvl w:val="4"/>
          <w:numId w:val="1"/>
        </w:numPr>
        <w:tabs>
          <w:tab w:val="left" w:pos="851" w:leader="none"/>
        </w:tabs>
        <w:spacing w:lineRule="exact" w:line="480" w:before="156" w:after="0"/>
        <w:ind w:left="851" w:hanging="720"/>
        <w:rPr>
          <w:rFonts w:ascii="华文仿宋" w:hAnsi="华文仿宋" w:eastAsia="华文仿宋"/>
          <w:sz w:val="28"/>
          <w:szCs w:val="28"/>
        </w:rPr>
      </w:pPr>
      <w:r>
        <w:rPr>
          <w:rFonts w:ascii="华文仿宋" w:hAnsi="华文仿宋" w:eastAsia="华文仿宋"/>
          <w:b/>
          <w:sz w:val="28"/>
          <w:szCs w:val="28"/>
        </w:rPr>
        <w:t>丰富企业融资渠道</w:t>
      </w:r>
      <w:r>
        <w:rPr>
          <w:rFonts w:ascii="华文仿宋" w:hAnsi="华文仿宋" w:eastAsia="华文仿宋"/>
          <w:sz w:val="28"/>
          <w:szCs w:val="28"/>
        </w:rPr>
        <w:t>：通过融资租赁，企业可在原有的融资手段之外开拓新的融资渠道满足企业发展的资金需求；</w:t>
      </w:r>
    </w:p>
    <w:p>
      <w:pPr>
        <w:pStyle w:val="Normal"/>
        <w:numPr>
          <w:ilvl w:val="4"/>
          <w:numId w:val="1"/>
        </w:numPr>
        <w:tabs>
          <w:tab w:val="left" w:pos="851" w:leader="none"/>
        </w:tabs>
        <w:spacing w:lineRule="exact" w:line="480" w:before="156" w:after="0"/>
        <w:ind w:left="851" w:hanging="720"/>
        <w:rPr>
          <w:rFonts w:ascii="华文仿宋" w:hAnsi="华文仿宋" w:eastAsia="华文仿宋"/>
          <w:sz w:val="28"/>
          <w:szCs w:val="28"/>
        </w:rPr>
      </w:pPr>
      <w:r>
        <w:rPr>
          <w:rFonts w:ascii="华文仿宋" w:hAnsi="华文仿宋" w:eastAsia="华文仿宋"/>
          <w:b/>
          <w:sz w:val="28"/>
          <w:szCs w:val="28"/>
        </w:rPr>
        <w:t>实现跨境融资</w:t>
      </w:r>
      <w:r>
        <w:rPr>
          <w:rFonts w:ascii="华文仿宋" w:hAnsi="华文仿宋" w:eastAsia="华文仿宋"/>
          <w:sz w:val="28"/>
          <w:szCs w:val="28"/>
        </w:rPr>
        <w:t>：通过融资租赁的售后回租及外商投资租赁公司跨境融资的政策优势，突破企业跨境融资的政策障碍。</w:t>
      </w:r>
    </w:p>
    <w:p>
      <w:pPr>
        <w:pStyle w:val="Normal"/>
        <w:spacing w:lineRule="exact" w:line="520"/>
        <w:ind w:left="720" w:hanging="0"/>
        <w:rPr>
          <w:rFonts w:ascii="华文仿宋" w:hAnsi="华文仿宋" w:eastAsia="华文仿宋"/>
          <w:b/>
          <w:b/>
          <w:sz w:val="28"/>
          <w:szCs w:val="28"/>
        </w:rPr>
      </w:pPr>
      <w:r>
        <w:rPr>
          <w:rFonts w:eastAsia="华文仿宋" w:ascii="华文仿宋" w:hAnsi="华文仿宋"/>
          <w:b/>
          <w:sz w:val="28"/>
          <w:szCs w:val="28"/>
        </w:rPr>
      </w:r>
    </w:p>
    <w:p>
      <w:pPr>
        <w:pStyle w:val="Normal"/>
        <w:numPr>
          <w:ilvl w:val="0"/>
          <w:numId w:val="1"/>
        </w:numPr>
        <w:spacing w:lineRule="exact" w:line="520"/>
        <w:rPr>
          <w:rFonts w:ascii="华文仿宋" w:hAnsi="华文仿宋" w:eastAsia="华文仿宋"/>
          <w:b/>
          <w:b/>
          <w:sz w:val="28"/>
          <w:szCs w:val="28"/>
        </w:rPr>
      </w:pPr>
      <w:r>
        <w:rPr>
          <w:rFonts w:ascii="华文仿宋" w:hAnsi="华文仿宋" w:eastAsia="华文仿宋"/>
          <w:b/>
          <w:sz w:val="28"/>
          <w:szCs w:val="28"/>
        </w:rPr>
        <w:t>具体操作流程</w:t>
      </w:r>
    </w:p>
    <w:p>
      <w:pPr>
        <w:pStyle w:val="Normal"/>
        <w:numPr>
          <w:ilvl w:val="4"/>
          <w:numId w:val="1"/>
        </w:numPr>
        <w:tabs>
          <w:tab w:val="left" w:pos="851" w:leader="none"/>
          <w:tab w:val="left" w:pos="1146" w:leader="none"/>
        </w:tabs>
        <w:spacing w:lineRule="exact" w:line="480" w:before="312" w:after="0"/>
        <w:ind w:left="1145" w:hanging="720"/>
        <w:rPr>
          <w:rFonts w:ascii="华文仿宋" w:hAnsi="华文仿宋" w:eastAsia="华文仿宋"/>
          <w:b/>
          <w:b/>
          <w:sz w:val="28"/>
          <w:szCs w:val="28"/>
        </w:rPr>
      </w:pPr>
      <w:r>
        <w:rPr>
          <w:rFonts w:ascii="华文仿宋" w:hAnsi="华文仿宋" w:eastAsia="华文仿宋"/>
          <w:b/>
          <w:sz w:val="28"/>
          <w:szCs w:val="28"/>
        </w:rPr>
        <w:t>审批及授信阶段</w:t>
      </w:r>
    </w:p>
    <w:p>
      <w:pPr>
        <w:pStyle w:val="Normal"/>
        <w:numPr>
          <w:ilvl w:val="0"/>
          <w:numId w:val="2"/>
        </w:numPr>
        <w:tabs>
          <w:tab w:val="left" w:pos="993" w:leader="none"/>
        </w:tabs>
        <w:spacing w:lineRule="exact" w:line="500" w:before="156" w:after="0"/>
        <w:ind w:left="993" w:hanging="375"/>
        <w:rPr>
          <w:rFonts w:ascii="华文仿宋" w:hAnsi="华文仿宋" w:eastAsia="华文仿宋"/>
          <w:sz w:val="28"/>
          <w:szCs w:val="28"/>
        </w:rPr>
      </w:pPr>
      <w:r>
        <w:rPr>
          <w:rFonts w:ascii="华文仿宋" w:hAnsi="华文仿宋" w:eastAsia="华文仿宋"/>
          <w:sz w:val="28"/>
          <w:szCs w:val="28"/>
        </w:rPr>
        <w:t>境内企业与租赁建立融资租赁意向；</w:t>
      </w:r>
    </w:p>
    <w:p>
      <w:pPr>
        <w:pStyle w:val="Normal"/>
        <w:numPr>
          <w:ilvl w:val="0"/>
          <w:numId w:val="2"/>
        </w:numPr>
        <w:tabs>
          <w:tab w:val="left" w:pos="993" w:leader="none"/>
        </w:tabs>
        <w:spacing w:lineRule="exact" w:line="500" w:before="156" w:after="0"/>
        <w:ind w:left="993" w:hanging="375"/>
        <w:rPr>
          <w:rFonts w:ascii="华文仿宋" w:hAnsi="华文仿宋" w:eastAsia="华文仿宋"/>
          <w:sz w:val="28"/>
          <w:szCs w:val="28"/>
        </w:rPr>
      </w:pPr>
      <w:r>
        <w:rPr>
          <w:rFonts w:ascii="华文仿宋" w:hAnsi="华文仿宋" w:eastAsia="华文仿宋"/>
          <w:sz w:val="28"/>
          <w:szCs w:val="28"/>
        </w:rPr>
        <w:t>境内企业使用现有的授信额度，向境内银行申请受益人为境外银行的融资性保函，用于担保租赁公司向境外银行申请贷款；</w:t>
      </w:r>
    </w:p>
    <w:p>
      <w:pPr>
        <w:pStyle w:val="Normal"/>
        <w:numPr>
          <w:ilvl w:val="0"/>
          <w:numId w:val="2"/>
        </w:numPr>
        <w:tabs>
          <w:tab w:val="left" w:pos="993" w:leader="none"/>
        </w:tabs>
        <w:spacing w:lineRule="exact" w:line="500" w:before="156" w:after="0"/>
        <w:ind w:left="993" w:hanging="375"/>
        <w:rPr>
          <w:rFonts w:ascii="华文仿宋" w:hAnsi="华文仿宋" w:eastAsia="华文仿宋"/>
          <w:sz w:val="28"/>
          <w:szCs w:val="28"/>
        </w:rPr>
      </w:pPr>
      <w:r>
        <w:rPr>
          <w:rFonts w:ascii="华文仿宋" w:hAnsi="华文仿宋" w:eastAsia="华文仿宋"/>
          <w:sz w:val="28"/>
          <w:szCs w:val="28"/>
        </w:rPr>
        <w:t>境内企业、租赁公司、境内银行及</w:t>
      </w:r>
      <w:r>
        <w:rPr>
          <w:rFonts w:ascii="华文仿宋" w:hAnsi="华文仿宋" w:cs="宋体" w:eastAsia="华文仿宋"/>
          <w:sz w:val="28"/>
          <w:szCs w:val="28"/>
        </w:rPr>
        <w:t>境外银行</w:t>
      </w:r>
      <w:r>
        <w:rPr>
          <w:rFonts w:ascii="华文仿宋" w:hAnsi="华文仿宋" w:eastAsia="华文仿宋"/>
          <w:sz w:val="28"/>
          <w:szCs w:val="28"/>
        </w:rPr>
        <w:t>协商落实合作细节并审核交易相关法律文件；</w:t>
      </w:r>
    </w:p>
    <w:p>
      <w:pPr>
        <w:pStyle w:val="Normal"/>
        <w:numPr>
          <w:ilvl w:val="0"/>
          <w:numId w:val="2"/>
        </w:numPr>
        <w:tabs>
          <w:tab w:val="left" w:pos="993" w:leader="none"/>
        </w:tabs>
        <w:spacing w:lineRule="exact" w:line="500" w:before="156" w:after="0"/>
        <w:ind w:left="993" w:hanging="375"/>
        <w:rPr>
          <w:rFonts w:ascii="华文仿宋" w:hAnsi="华文仿宋" w:eastAsia="华文仿宋"/>
          <w:sz w:val="28"/>
          <w:szCs w:val="28"/>
        </w:rPr>
      </w:pPr>
      <w:r>
        <w:rPr>
          <w:rFonts w:ascii="华文仿宋" w:hAnsi="华文仿宋" w:eastAsia="华文仿宋"/>
          <w:sz w:val="28"/>
          <w:szCs w:val="28"/>
        </w:rPr>
        <w:t>境内企业获得上述融资租赁项目的批准（如有需要）；</w:t>
      </w:r>
    </w:p>
    <w:p>
      <w:pPr>
        <w:pStyle w:val="Normal"/>
        <w:numPr>
          <w:ilvl w:val="0"/>
          <w:numId w:val="2"/>
        </w:numPr>
        <w:tabs>
          <w:tab w:val="left" w:pos="993" w:leader="none"/>
        </w:tabs>
        <w:spacing w:lineRule="exact" w:line="500" w:before="156" w:after="0"/>
        <w:ind w:left="993" w:hanging="375"/>
        <w:rPr>
          <w:rFonts w:ascii="华文仿宋" w:hAnsi="华文仿宋" w:eastAsia="华文仿宋"/>
          <w:sz w:val="28"/>
          <w:szCs w:val="28"/>
        </w:rPr>
      </w:pPr>
      <w:r>
        <w:rPr>
          <w:rFonts w:ascii="华文仿宋" w:hAnsi="华文仿宋" w:eastAsia="华文仿宋"/>
          <w:sz w:val="28"/>
          <w:szCs w:val="28"/>
        </w:rPr>
        <w:t>境内企业向租赁公司提供拟用于售后回租租赁的固定资产（包括机器设备等）清单（包括名称、规格、数量、单价、折旧年限等）；</w:t>
      </w:r>
    </w:p>
    <w:p>
      <w:pPr>
        <w:pStyle w:val="Normal"/>
        <w:numPr>
          <w:ilvl w:val="0"/>
          <w:numId w:val="2"/>
        </w:numPr>
        <w:tabs>
          <w:tab w:val="left" w:pos="993" w:leader="none"/>
        </w:tabs>
        <w:spacing w:lineRule="exact" w:line="500" w:before="156" w:after="0"/>
        <w:ind w:left="993" w:hanging="375"/>
        <w:rPr>
          <w:rFonts w:ascii="华文仿宋" w:hAnsi="华文仿宋" w:eastAsia="华文仿宋"/>
          <w:sz w:val="28"/>
          <w:szCs w:val="28"/>
        </w:rPr>
      </w:pPr>
      <w:r>
        <w:rPr>
          <w:rFonts w:ascii="华文仿宋" w:hAnsi="华文仿宋" w:cs="宋体" w:eastAsia="华文仿宋"/>
          <w:sz w:val="28"/>
          <w:szCs w:val="28"/>
        </w:rPr>
        <w:t>该业务须在</w:t>
      </w:r>
      <w:r>
        <w:rPr>
          <w:rFonts w:ascii="华文仿宋" w:hAnsi="华文仿宋" w:eastAsia="华文仿宋"/>
          <w:sz w:val="28"/>
          <w:szCs w:val="28"/>
        </w:rPr>
        <w:t>境内银行（融资性保函开立银行），办理租赁项下的外债结汇及租金监管、结算等业务。</w:t>
      </w:r>
    </w:p>
    <w:p>
      <w:pPr>
        <w:pStyle w:val="Normal"/>
        <w:numPr>
          <w:ilvl w:val="4"/>
          <w:numId w:val="1"/>
        </w:numPr>
        <w:tabs>
          <w:tab w:val="left" w:pos="851" w:leader="none"/>
          <w:tab w:val="left" w:pos="1146" w:leader="none"/>
        </w:tabs>
        <w:spacing w:lineRule="exact" w:line="480" w:before="312" w:after="0"/>
        <w:ind w:left="1145" w:hanging="720"/>
        <w:rPr>
          <w:rFonts w:ascii="华文仿宋" w:hAnsi="华文仿宋" w:eastAsia="华文仿宋"/>
          <w:b/>
          <w:b/>
          <w:sz w:val="28"/>
          <w:szCs w:val="28"/>
        </w:rPr>
      </w:pPr>
      <w:r>
        <w:rPr>
          <w:rFonts w:ascii="华文仿宋" w:hAnsi="华文仿宋" w:eastAsia="华文仿宋"/>
          <w:b/>
          <w:sz w:val="28"/>
          <w:szCs w:val="28"/>
        </w:rPr>
        <w:t>交易阶段</w:t>
      </w:r>
    </w:p>
    <w:p>
      <w:pPr>
        <w:pStyle w:val="Normal"/>
        <w:numPr>
          <w:ilvl w:val="0"/>
          <w:numId w:val="3"/>
        </w:numPr>
        <w:tabs>
          <w:tab w:val="left" w:pos="993" w:leader="none"/>
        </w:tabs>
        <w:spacing w:lineRule="exact" w:line="500" w:before="156" w:after="0"/>
        <w:ind w:left="993" w:hanging="375"/>
        <w:rPr>
          <w:rFonts w:ascii="华文仿宋" w:hAnsi="华文仿宋" w:eastAsia="华文仿宋"/>
          <w:sz w:val="28"/>
          <w:szCs w:val="28"/>
        </w:rPr>
      </w:pPr>
      <w:r>
        <w:rPr>
          <w:rFonts w:ascii="华文仿宋" w:hAnsi="华文仿宋" w:cs="宋体" w:eastAsia="华文仿宋"/>
          <w:sz w:val="28"/>
          <w:szCs w:val="28"/>
        </w:rPr>
        <w:t>境外银行</w:t>
      </w:r>
      <w:r>
        <w:rPr>
          <w:rFonts w:ascii="华文仿宋" w:hAnsi="华文仿宋" w:eastAsia="华文仿宋"/>
          <w:sz w:val="28"/>
          <w:szCs w:val="28"/>
        </w:rPr>
        <w:t>与租赁公司签订借款用途为购买境内企业资产的《外币借款合同》；</w:t>
      </w:r>
    </w:p>
    <w:p>
      <w:pPr>
        <w:pStyle w:val="Normal"/>
        <w:numPr>
          <w:ilvl w:val="0"/>
          <w:numId w:val="3"/>
        </w:numPr>
        <w:tabs>
          <w:tab w:val="left" w:pos="993" w:leader="none"/>
        </w:tabs>
        <w:spacing w:lineRule="exact" w:line="500" w:before="156" w:after="0"/>
        <w:ind w:left="993" w:hanging="375"/>
        <w:rPr>
          <w:rFonts w:ascii="华文仿宋" w:hAnsi="华文仿宋" w:eastAsia="华文仿宋"/>
          <w:sz w:val="28"/>
          <w:szCs w:val="28"/>
        </w:rPr>
      </w:pPr>
      <w:r>
        <w:rPr>
          <w:rFonts w:ascii="华文仿宋" w:hAnsi="华文仿宋" w:eastAsia="华文仿宋"/>
          <w:sz w:val="28"/>
          <w:szCs w:val="28"/>
        </w:rPr>
        <w:t>境内企业与租赁公司签订《融资租赁售后回租合同》；</w:t>
      </w:r>
    </w:p>
    <w:p>
      <w:pPr>
        <w:pStyle w:val="Normal"/>
        <w:numPr>
          <w:ilvl w:val="0"/>
          <w:numId w:val="3"/>
        </w:numPr>
        <w:tabs>
          <w:tab w:val="left" w:pos="993" w:leader="none"/>
        </w:tabs>
        <w:spacing w:lineRule="exact" w:line="500" w:before="156" w:after="0"/>
        <w:ind w:left="993" w:hanging="375"/>
        <w:rPr>
          <w:rFonts w:ascii="华文仿宋" w:hAnsi="华文仿宋" w:eastAsia="华文仿宋"/>
          <w:sz w:val="28"/>
          <w:szCs w:val="28"/>
        </w:rPr>
      </w:pPr>
      <w:r>
        <w:rPr>
          <w:rFonts w:ascii="华文仿宋" w:hAnsi="华文仿宋" w:eastAsia="华文仿宋"/>
          <w:sz w:val="28"/>
          <w:szCs w:val="28"/>
        </w:rPr>
        <w:t>租赁公司凭《外币借款合同》到外管局进行外债登记；</w:t>
      </w:r>
    </w:p>
    <w:p>
      <w:pPr>
        <w:pStyle w:val="Normal"/>
        <w:numPr>
          <w:ilvl w:val="0"/>
          <w:numId w:val="3"/>
        </w:numPr>
        <w:tabs>
          <w:tab w:val="left" w:pos="993" w:leader="none"/>
        </w:tabs>
        <w:spacing w:lineRule="exact" w:line="500" w:before="156" w:after="0"/>
        <w:ind w:left="993" w:hanging="375"/>
        <w:rPr>
          <w:rFonts w:ascii="华文仿宋" w:hAnsi="华文仿宋" w:eastAsia="华文仿宋"/>
          <w:sz w:val="28"/>
          <w:szCs w:val="28"/>
        </w:rPr>
      </w:pPr>
      <w:r>
        <w:rPr>
          <w:rFonts w:ascii="华文仿宋" w:hAnsi="华文仿宋" w:eastAsia="华文仿宋"/>
          <w:sz w:val="28"/>
          <w:szCs w:val="28"/>
        </w:rPr>
        <w:t>租赁公司在境内银行开立</w:t>
      </w:r>
      <w:r>
        <w:rPr>
          <w:rFonts w:ascii="华文仿宋" w:hAnsi="华文仿宋" w:eastAsia="华文仿宋"/>
          <w:b/>
          <w:sz w:val="28"/>
          <w:szCs w:val="28"/>
        </w:rPr>
        <w:t>外债专户</w:t>
      </w:r>
      <w:r>
        <w:rPr>
          <w:rFonts w:ascii="华文仿宋" w:hAnsi="华文仿宋" w:eastAsia="华文仿宋"/>
          <w:sz w:val="28"/>
          <w:szCs w:val="28"/>
        </w:rPr>
        <w:t>，并同时开立人民币</w:t>
      </w:r>
      <w:r>
        <w:rPr>
          <w:rFonts w:ascii="华文仿宋" w:hAnsi="华文仿宋" w:eastAsia="华文仿宋"/>
          <w:b/>
          <w:sz w:val="28"/>
          <w:szCs w:val="28"/>
        </w:rPr>
        <w:t>偿债专户</w:t>
      </w:r>
      <w:r>
        <w:rPr>
          <w:rFonts w:ascii="华文仿宋" w:hAnsi="华文仿宋" w:eastAsia="华文仿宋"/>
          <w:sz w:val="28"/>
          <w:szCs w:val="28"/>
        </w:rPr>
        <w:t>，作为应收租金的唯一收款账户，境内企业亦同时在境内银行开立人民币租赁专户；</w:t>
      </w:r>
    </w:p>
    <w:p>
      <w:pPr>
        <w:pStyle w:val="Normal"/>
        <w:numPr>
          <w:ilvl w:val="0"/>
          <w:numId w:val="3"/>
        </w:numPr>
        <w:tabs>
          <w:tab w:val="left" w:pos="993" w:leader="none"/>
        </w:tabs>
        <w:spacing w:lineRule="exact" w:line="500" w:before="156" w:after="0"/>
        <w:ind w:left="993" w:hanging="375"/>
        <w:rPr>
          <w:rFonts w:ascii="华文仿宋" w:hAnsi="华文仿宋" w:eastAsia="华文仿宋"/>
          <w:sz w:val="28"/>
          <w:szCs w:val="28"/>
        </w:rPr>
      </w:pPr>
      <w:r>
        <w:rPr>
          <w:rFonts w:ascii="华文仿宋" w:hAnsi="华文仿宋" w:eastAsia="华文仿宋"/>
          <w:sz w:val="28"/>
          <w:szCs w:val="28"/>
        </w:rPr>
        <w:t>境内企业向境内银行申请开立受益人为境外银行的融资性保函，用于担保租赁公司向境外银行申请贷款；</w:t>
      </w:r>
    </w:p>
    <w:p>
      <w:pPr>
        <w:pStyle w:val="Normal"/>
        <w:numPr>
          <w:ilvl w:val="0"/>
          <w:numId w:val="3"/>
        </w:numPr>
        <w:tabs>
          <w:tab w:val="left" w:pos="993" w:leader="none"/>
        </w:tabs>
        <w:spacing w:lineRule="exact" w:line="500" w:before="156" w:after="0"/>
        <w:ind w:left="993" w:hanging="375"/>
        <w:rPr>
          <w:rFonts w:ascii="华文仿宋" w:hAnsi="华文仿宋" w:eastAsia="华文仿宋"/>
          <w:sz w:val="28"/>
          <w:szCs w:val="28"/>
        </w:rPr>
      </w:pPr>
      <w:r>
        <w:rPr>
          <w:rFonts w:ascii="华文仿宋" w:hAnsi="华文仿宋" w:cs="宋体" w:eastAsia="华文仿宋"/>
          <w:sz w:val="28"/>
          <w:szCs w:val="28"/>
        </w:rPr>
        <w:t>境外银行收到融资性保函后，</w:t>
      </w:r>
      <w:r>
        <w:rPr>
          <w:rFonts w:ascii="华文仿宋" w:hAnsi="华文仿宋" w:eastAsia="华文仿宋"/>
          <w:sz w:val="28"/>
          <w:szCs w:val="28"/>
        </w:rPr>
        <w:t>向租赁公司进行跨境放款，款项直接划拨至租赁公司在境内银行开立的外债专户；</w:t>
      </w:r>
    </w:p>
    <w:p>
      <w:pPr>
        <w:pStyle w:val="Normal"/>
        <w:numPr>
          <w:ilvl w:val="0"/>
          <w:numId w:val="3"/>
        </w:numPr>
        <w:tabs>
          <w:tab w:val="left" w:pos="993" w:leader="none"/>
        </w:tabs>
        <w:spacing w:lineRule="exact" w:line="500" w:before="156" w:after="0"/>
        <w:ind w:left="993" w:hanging="375"/>
        <w:rPr>
          <w:rFonts w:ascii="华文仿宋" w:hAnsi="华文仿宋" w:eastAsia="华文仿宋"/>
          <w:sz w:val="28"/>
          <w:szCs w:val="28"/>
        </w:rPr>
      </w:pPr>
      <w:r>
        <w:rPr>
          <w:rFonts w:ascii="华文仿宋" w:hAnsi="华文仿宋" w:eastAsia="华文仿宋"/>
          <w:sz w:val="28"/>
          <w:szCs w:val="28"/>
        </w:rPr>
        <w:t>境内银行根据《售后回租租赁合同》办理外债结汇，结汇资金用于向企业支付售后回租项下资产购买价款；</w:t>
      </w:r>
    </w:p>
    <w:p>
      <w:pPr>
        <w:pStyle w:val="Normal"/>
        <w:numPr>
          <w:ilvl w:val="0"/>
          <w:numId w:val="3"/>
        </w:numPr>
        <w:tabs>
          <w:tab w:val="left" w:pos="993" w:leader="none"/>
        </w:tabs>
        <w:spacing w:lineRule="exact" w:line="500" w:before="156" w:after="0"/>
        <w:ind w:left="993" w:hanging="375"/>
        <w:rPr>
          <w:rFonts w:ascii="华文仿宋" w:hAnsi="华文仿宋" w:eastAsia="华文仿宋"/>
          <w:sz w:val="28"/>
          <w:szCs w:val="28"/>
        </w:rPr>
      </w:pPr>
      <w:r>
        <w:rPr>
          <w:rFonts w:ascii="华文仿宋" w:hAnsi="华文仿宋" w:eastAsia="华文仿宋"/>
          <w:sz w:val="28"/>
          <w:szCs w:val="28"/>
        </w:rPr>
        <w:t>租赁公司与</w:t>
      </w:r>
      <w:r>
        <w:rPr>
          <w:rFonts w:ascii="华文仿宋" w:hAnsi="华文仿宋" w:cs="宋体" w:eastAsia="华文仿宋"/>
          <w:sz w:val="28"/>
          <w:szCs w:val="28"/>
        </w:rPr>
        <w:t>境内银行</w:t>
      </w:r>
      <w:r>
        <w:rPr>
          <w:rFonts w:ascii="华文仿宋" w:hAnsi="华文仿宋" w:eastAsia="华文仿宋"/>
          <w:sz w:val="28"/>
          <w:szCs w:val="28"/>
        </w:rPr>
        <w:t>签订《应收账款质押合同》、《租赁资产抵押合同》，同时在相关部门办理登记手续；</w:t>
      </w:r>
    </w:p>
    <w:p>
      <w:pPr>
        <w:pStyle w:val="Normal"/>
        <w:numPr>
          <w:ilvl w:val="0"/>
          <w:numId w:val="3"/>
        </w:numPr>
        <w:tabs>
          <w:tab w:val="left" w:pos="993" w:leader="none"/>
        </w:tabs>
        <w:spacing w:lineRule="exact" w:line="500" w:before="156" w:after="0"/>
        <w:ind w:left="993" w:hanging="375"/>
        <w:rPr>
          <w:rFonts w:ascii="华文仿宋" w:hAnsi="华文仿宋" w:eastAsia="华文仿宋"/>
          <w:sz w:val="28"/>
          <w:szCs w:val="28"/>
        </w:rPr>
      </w:pPr>
      <w:r>
        <w:rPr>
          <w:rFonts w:ascii="华文仿宋" w:hAnsi="华文仿宋" w:eastAsia="华文仿宋"/>
          <w:sz w:val="28"/>
          <w:szCs w:val="28"/>
        </w:rPr>
        <w:t>境内企业按《售后回租租赁合同》中的“租金支付表”按期向租赁公司支付租金，</w:t>
      </w:r>
      <w:r>
        <w:rPr>
          <w:rFonts w:ascii="华文仿宋" w:hAnsi="华文仿宋" w:eastAsia="华文仿宋"/>
          <w:sz w:val="28"/>
          <w:szCs w:val="28"/>
        </w:rPr>
        <w:t>租赁公司向企业开具租金增值部分的增值税发票；</w:t>
      </w:r>
    </w:p>
    <w:p>
      <w:pPr>
        <w:pStyle w:val="Normal"/>
        <w:numPr>
          <w:ilvl w:val="0"/>
          <w:numId w:val="3"/>
        </w:numPr>
        <w:tabs>
          <w:tab w:val="left" w:pos="993" w:leader="none"/>
        </w:tabs>
        <w:spacing w:lineRule="exact" w:line="500" w:before="156" w:after="0"/>
        <w:ind w:left="993" w:hanging="375"/>
        <w:rPr>
          <w:rFonts w:ascii="华文仿宋" w:hAnsi="华文仿宋" w:eastAsia="华文仿宋"/>
          <w:sz w:val="28"/>
          <w:szCs w:val="28"/>
        </w:rPr>
      </w:pPr>
      <w:r>
        <w:rPr>
          <w:rFonts w:ascii="华文仿宋" w:hAnsi="华文仿宋" w:eastAsia="华文仿宋"/>
          <w:sz w:val="28"/>
          <w:szCs w:val="28"/>
        </w:rPr>
        <w:t>租赁公司收到租金后，须在境内银行的全程监控下代扣代缴</w:t>
      </w:r>
      <w:r>
        <w:rPr>
          <w:rFonts w:ascii="华文仿宋" w:hAnsi="华文仿宋" w:cs="宋体" w:eastAsia="华文仿宋"/>
          <w:sz w:val="28"/>
          <w:szCs w:val="28"/>
        </w:rPr>
        <w:t>境外银行的利息</w:t>
      </w:r>
      <w:r>
        <w:rPr>
          <w:rFonts w:ascii="华文仿宋" w:hAnsi="华文仿宋" w:eastAsia="华文仿宋"/>
          <w:sz w:val="28"/>
          <w:szCs w:val="28"/>
        </w:rPr>
        <w:t>税；</w:t>
      </w:r>
    </w:p>
    <w:p>
      <w:pPr>
        <w:pStyle w:val="Normal"/>
        <w:numPr>
          <w:ilvl w:val="0"/>
          <w:numId w:val="3"/>
        </w:numPr>
        <w:tabs>
          <w:tab w:val="left" w:pos="993" w:leader="none"/>
        </w:tabs>
        <w:spacing w:lineRule="exact" w:line="500" w:before="156" w:after="0"/>
        <w:ind w:left="993" w:hanging="375"/>
        <w:rPr>
          <w:rFonts w:ascii="华文仿宋" w:hAnsi="华文仿宋" w:eastAsia="华文仿宋"/>
          <w:sz w:val="28"/>
          <w:szCs w:val="28"/>
        </w:rPr>
      </w:pPr>
      <w:r>
        <w:rPr>
          <w:rFonts w:ascii="华文仿宋" w:hAnsi="华文仿宋" w:eastAsia="华文仿宋"/>
          <w:sz w:val="28"/>
          <w:szCs w:val="28"/>
        </w:rPr>
        <w:t>租赁公司凭完税证明等资料在境内银行办理购汇偿还境外银行借款的利息及本金，相关款项受外管局及境内银行监控；</w:t>
      </w:r>
    </w:p>
    <w:p>
      <w:pPr>
        <w:pStyle w:val="Normal"/>
        <w:numPr>
          <w:ilvl w:val="0"/>
          <w:numId w:val="3"/>
        </w:numPr>
        <w:tabs>
          <w:tab w:val="left" w:pos="993" w:leader="none"/>
        </w:tabs>
        <w:spacing w:lineRule="exact" w:line="500" w:before="156" w:after="0"/>
        <w:ind w:left="993" w:hanging="375"/>
        <w:rPr>
          <w:rFonts w:ascii="华文仿宋" w:hAnsi="华文仿宋" w:eastAsia="华文仿宋"/>
          <w:sz w:val="28"/>
          <w:szCs w:val="28"/>
        </w:rPr>
      </w:pPr>
      <w:r>
        <w:rPr>
          <w:rFonts w:ascii="华文仿宋" w:hAnsi="华文仿宋" w:eastAsia="华文仿宋"/>
          <w:sz w:val="28"/>
          <w:szCs w:val="28"/>
        </w:rPr>
        <w:t>《售后回租租赁合同》期满，所有租金支付完毕后，上述售后回租资产所有权将无条件转移回给境内企业。</w:t>
      </w:r>
      <w:r>
        <w:br w:type="page"/>
      </w:r>
    </w:p>
    <w:p>
      <w:pPr>
        <w:pStyle w:val="Normal"/>
        <w:spacing w:lineRule="exact" w:line="520"/>
        <w:rPr>
          <w:rFonts w:ascii="华文仿宋" w:hAnsi="华文仿宋" w:eastAsia="华文仿宋"/>
          <w:b/>
          <w:b/>
          <w:sz w:val="28"/>
          <w:szCs w:val="28"/>
        </w:rPr>
      </w:pPr>
      <w:r>
        <w:rPr>
          <w:rFonts w:ascii="华文仿宋" w:hAnsi="华文仿宋" w:eastAsia="华文仿宋"/>
          <w:b/>
          <w:sz w:val="28"/>
          <w:szCs w:val="28"/>
        </w:rPr>
        <w:t>内保外贷融资租赁售后回租交易结构图</w:t>
      </w:r>
    </w:p>
    <w:p>
      <w:pPr>
        <w:pStyle w:val="Normal"/>
        <w:tabs>
          <w:tab w:val="left" w:pos="2220" w:leader="none"/>
          <w:tab w:val="left" w:pos="7365" w:leader="none"/>
        </w:tabs>
        <w:spacing w:lineRule="exact" w:line="520"/>
        <w:rPr>
          <w:rFonts w:ascii="华文仿宋" w:hAnsi="华文仿宋" w:eastAsia="华文仿宋"/>
          <w:b/>
          <w:b/>
          <w:sz w:val="28"/>
          <w:szCs w:val="28"/>
        </w:rPr>
      </w:pPr>
      <w:r>
        <mc:AlternateContent>
          <mc:Choice Requires="wpg">
            <w:drawing>
              <wp:anchor behindDoc="0" distT="0" distB="0" distL="113665" distR="113665" simplePos="0" locked="0" layoutInCell="1" allowOverlap="1" relativeHeight="2">
                <wp:simplePos x="0" y="0"/>
                <wp:positionH relativeFrom="column">
                  <wp:posOffset>-322580</wp:posOffset>
                </wp:positionH>
                <wp:positionV relativeFrom="paragraph">
                  <wp:posOffset>174625</wp:posOffset>
                </wp:positionV>
                <wp:extent cx="6420485" cy="4991735"/>
                <wp:effectExtent l="9525" t="13335" r="9525" b="5715"/>
                <wp:wrapNone/>
                <wp:docPr id="1" name="Group 2"/>
                <a:graphic xmlns:a="http://schemas.openxmlformats.org/drawingml/2006/main">
                  <a:graphicData uri="http://schemas.microsoft.com/office/word/2010/wordprocessingGroup">
                    <wpg:wgp>
                      <wpg:cNvGrpSpPr/>
                      <wpg:grpSpPr>
                        <a:xfrm>
                          <a:off x="0" y="0"/>
                          <a:ext cx="6419880" cy="4991040"/>
                        </a:xfrm>
                      </wpg:grpSpPr>
                      <wps:wsp>
                        <wps:cNvSpPr/>
                        <wps:spPr>
                          <a:xfrm>
                            <a:off x="3181320" y="1990800"/>
                            <a:ext cx="1542960" cy="428040"/>
                          </a:xfrm>
                          <a:prstGeom prst="rect">
                            <a:avLst/>
                          </a:prstGeom>
                          <a:solidFill>
                            <a:srgbClr val="ffffff"/>
                          </a:solidFill>
                          <a:ln w="9360">
                            <a:solidFill>
                              <a:srgbClr val="ffffff"/>
                            </a:solidFill>
                            <a:miter/>
                          </a:ln>
                        </wps:spPr>
                        <wps:style>
                          <a:lnRef idx="0"/>
                          <a:fillRef idx="0"/>
                          <a:effectRef idx="0"/>
                          <a:fontRef idx="minor"/>
                        </wps:style>
                        <wps:txbx>
                          <w:txbxContent>
                            <w:p>
                              <w:pPr>
                                <w:spacing w:before="0" w:after="0"/>
                                <w:jc w:val="left"/>
                                <w:rPr/>
                              </w:pPr>
                              <w:r>
                                <w:rPr>
                                  <w:u w:val="none"/>
                                  <w:dstrike w:val="false"/>
                                  <w:strike w:val="false"/>
                                  <w:vertAlign w:val="baseline"/>
                                  <w:position w:val="0"/>
                                  <w:sz w:val="21"/>
                                  <w:spacing w:val="0"/>
                                  <w:sz w:val="21"/>
                                  <w:szCs w:val="21"/>
                                  <w:b w:val="false"/>
                                  <w:bCs w:val="false"/>
                                  <w:i w:val="false"/>
                                  <w:iCs w:val="false"/>
                                  <w:smallCaps w:val="false"/>
                                  <w:caps w:val="false"/>
                                </w:rPr>
                                <w:t>资金监管</w:t>
                              </w:r>
                            </w:p>
                          </w:txbxContent>
                        </wps:txbx>
                        <wps:bodyPr>
                          <a:noAutofit/>
                        </wps:bodyPr>
                      </wps:wsp>
                      <wps:wsp>
                        <wps:cNvSpPr/>
                        <wps:spPr>
                          <a:xfrm>
                            <a:off x="1133640" y="2515320"/>
                            <a:ext cx="1656720" cy="1171080"/>
                          </a:xfrm>
                          <a:custGeom>
                            <a:avLst/>
                            <a:gdLst/>
                            <a:ahLst/>
                            <a:rect l="l" t="t" r="r" b="b"/>
                            <a:pathLst>
                              <a:path w="21600" h="21600">
                                <a:moveTo>
                                  <a:pt x="0" y="0"/>
                                </a:moveTo>
                                <a:lnTo>
                                  <a:pt x="21600" y="21600"/>
                                </a:lnTo>
                              </a:path>
                            </a:pathLst>
                          </a:custGeom>
                          <a:noFill/>
                          <a:ln w="9360">
                            <a:solidFill>
                              <a:srgbClr val="000000"/>
                            </a:solidFill>
                            <a:round/>
                          </a:ln>
                        </wps:spPr>
                        <wps:style>
                          <a:lnRef idx="0"/>
                          <a:fillRef idx="0"/>
                          <a:effectRef idx="0"/>
                          <a:fontRef idx="minor"/>
                        </wps:style>
                        <wps:bodyPr/>
                      </wps:wsp>
                      <wps:wsp>
                        <wps:cNvSpPr/>
                        <wps:spPr>
                          <a:xfrm>
                            <a:off x="114480" y="0"/>
                            <a:ext cx="1542240" cy="428040"/>
                          </a:xfrm>
                          <a:prstGeom prst="rect">
                            <a:avLst/>
                          </a:prstGeom>
                          <a:solidFill>
                            <a:srgbClr val="ffffff"/>
                          </a:solidFill>
                          <a:ln w="9360">
                            <a:solidFill>
                              <a:srgbClr val="ffffff"/>
                            </a:solidFill>
                            <a:miter/>
                          </a:ln>
                        </wps:spPr>
                        <wps:style>
                          <a:lnRef idx="0"/>
                          <a:fillRef idx="0"/>
                          <a:effectRef idx="0"/>
                          <a:fontRef idx="minor"/>
                        </wps:style>
                        <wps:txbx>
                          <w:txbxContent>
                            <w:p>
                              <w:pPr>
                                <w:spacing w:before="0" w:after="0" w:lineRule="auto" w:line="240"/>
                                <w:jc w:val="center"/>
                                <w:rPr/>
                              </w:pPr>
                              <w:r>
                                <w:rPr>
                                  <w:u w:val="none"/>
                                  <w:dstrike w:val="false"/>
                                  <w:strike w:val="false"/>
                                  <w:vertAlign w:val="baseline"/>
                                  <w:position w:val="0"/>
                                  <w:sz w:val="32"/>
                                  <w:spacing w:val="0"/>
                                  <w:sz w:val="32"/>
                                  <w:szCs w:val="32"/>
                                  <w:b/>
                                  <w:bCs/>
                                  <w:i w:val="false"/>
                                  <w:iCs w:val="false"/>
                                  <w:smallCaps w:val="false"/>
                                  <w:caps w:val="false"/>
                                </w:rPr>
                                <w:t>境外</w:t>
                              </w:r>
                            </w:p>
                          </w:txbxContent>
                        </wps:txbx>
                        <wps:bodyPr>
                          <a:noAutofit/>
                        </wps:bodyPr>
                      </wps:wsp>
                      <wps:wsp>
                        <wps:cNvSpPr/>
                        <wps:spPr>
                          <a:xfrm>
                            <a:off x="4791600" y="0"/>
                            <a:ext cx="1542240" cy="428040"/>
                          </a:xfrm>
                          <a:prstGeom prst="rect">
                            <a:avLst/>
                          </a:prstGeom>
                          <a:solidFill>
                            <a:srgbClr val="ffffff"/>
                          </a:solidFill>
                          <a:ln w="9360">
                            <a:solidFill>
                              <a:srgbClr val="ffffff"/>
                            </a:solidFill>
                            <a:miter/>
                          </a:ln>
                        </wps:spPr>
                        <wps:style>
                          <a:lnRef idx="0"/>
                          <a:fillRef idx="0"/>
                          <a:effectRef idx="0"/>
                          <a:fontRef idx="minor"/>
                        </wps:style>
                        <wps:txbx>
                          <w:txbxContent>
                            <w:p>
                              <w:pPr>
                                <w:spacing w:before="0" w:after="0" w:lineRule="auto" w:line="240"/>
                                <w:jc w:val="center"/>
                                <w:rPr/>
                              </w:pPr>
                              <w:r>
                                <w:rPr>
                                  <w:u w:val="none"/>
                                  <w:dstrike w:val="false"/>
                                  <w:strike w:val="false"/>
                                  <w:vertAlign w:val="baseline"/>
                                  <w:position w:val="0"/>
                                  <w:sz w:val="32"/>
                                  <w:spacing w:val="0"/>
                                  <w:sz w:val="32"/>
                                  <w:szCs w:val="32"/>
                                  <w:b/>
                                  <w:bCs/>
                                  <w:i w:val="false"/>
                                  <w:iCs w:val="false"/>
                                  <w:smallCaps w:val="false"/>
                                  <w:caps w:val="false"/>
                                </w:rPr>
                                <w:t>境内</w:t>
                              </w:r>
                            </w:p>
                          </w:txbxContent>
                        </wps:txbx>
                        <wps:bodyPr>
                          <a:noAutofit/>
                        </wps:bodyPr>
                      </wps:wsp>
                      <wps:wsp>
                        <wps:cNvSpPr/>
                        <wps:spPr>
                          <a:xfrm>
                            <a:off x="0" y="2085840"/>
                            <a:ext cx="1542240" cy="428760"/>
                          </a:xfrm>
                          <a:prstGeom prst="rect">
                            <a:avLst/>
                          </a:prstGeom>
                          <a:solidFill>
                            <a:srgbClr val="ffffff"/>
                          </a:solidFill>
                          <a:ln w="9360">
                            <a:solidFill>
                              <a:srgbClr val="000000"/>
                            </a:solidFill>
                            <a:miter/>
                          </a:ln>
                        </wps:spPr>
                        <wps:style>
                          <a:lnRef idx="0"/>
                          <a:fillRef idx="0"/>
                          <a:effectRef idx="0"/>
                          <a:fontRef idx="minor"/>
                        </wps:style>
                        <wps:txbx>
                          <w:txbxContent>
                            <w:p>
                              <w:pPr>
                                <w:spacing w:before="0" w:after="0" w:lineRule="auto" w:line="240"/>
                                <w:jc w:val="center"/>
                                <w:rPr/>
                              </w:pPr>
                              <w:r>
                                <w:rPr>
                                  <w:u w:val="none"/>
                                  <w:dstrike w:val="false"/>
                                  <w:strike w:val="false"/>
                                  <w:vertAlign w:val="baseline"/>
                                  <w:position w:val="0"/>
                                  <w:sz w:val="30"/>
                                  <w:spacing w:val="0"/>
                                  <w:sz w:val="30"/>
                                  <w:szCs w:val="30"/>
                                  <w:b w:val="false"/>
                                  <w:bCs w:val="false"/>
                                  <w:i w:val="false"/>
                                  <w:iCs w:val="false"/>
                                  <w:smallCaps w:val="false"/>
                                  <w:caps w:val="false"/>
                                </w:rPr>
                                <w:t>境外银行</w:t>
                              </w:r>
                            </w:p>
                          </w:txbxContent>
                        </wps:txbx>
                        <wps:bodyPr>
                          <a:noAutofit/>
                        </wps:bodyPr>
                      </wps:wsp>
                      <wps:wsp>
                        <wps:cNvSpPr/>
                        <wps:spPr>
                          <a:xfrm>
                            <a:off x="2457360" y="828720"/>
                            <a:ext cx="1542960" cy="428040"/>
                          </a:xfrm>
                          <a:prstGeom prst="rect">
                            <a:avLst/>
                          </a:prstGeom>
                          <a:solidFill>
                            <a:srgbClr val="ffffff"/>
                          </a:solidFill>
                          <a:ln w="9360">
                            <a:solidFill>
                              <a:srgbClr val="000000"/>
                            </a:solidFill>
                            <a:miter/>
                          </a:ln>
                        </wps:spPr>
                        <wps:style>
                          <a:lnRef idx="0"/>
                          <a:fillRef idx="0"/>
                          <a:effectRef idx="0"/>
                          <a:fontRef idx="minor"/>
                        </wps:style>
                        <wps:txbx>
                          <w:txbxContent>
                            <w:p>
                              <w:pPr>
                                <w:spacing w:before="0" w:after="0" w:lineRule="auto" w:line="240"/>
                                <w:jc w:val="center"/>
                                <w:rPr/>
                              </w:pPr>
                              <w:r>
                                <w:rPr>
                                  <w:u w:val="none"/>
                                  <w:dstrike w:val="false"/>
                                  <w:strike w:val="false"/>
                                  <w:vertAlign w:val="baseline"/>
                                  <w:position w:val="0"/>
                                  <w:sz w:val="30"/>
                                  <w:spacing w:val="0"/>
                                  <w:sz w:val="30"/>
                                  <w:szCs w:val="30"/>
                                  <w:b w:val="false"/>
                                  <w:bCs w:val="false"/>
                                  <w:i w:val="false"/>
                                  <w:iCs w:val="false"/>
                                  <w:smallCaps w:val="false"/>
                                  <w:caps w:val="false"/>
                                </w:rPr>
                                <w:t>租赁公司</w:t>
                              </w:r>
                            </w:p>
                          </w:txbxContent>
                        </wps:txbx>
                        <wps:bodyPr>
                          <a:noAutofit/>
                        </wps:bodyPr>
                      </wps:wsp>
                      <wps:wsp>
                        <wps:cNvSpPr/>
                        <wps:spPr>
                          <a:xfrm>
                            <a:off x="2523960" y="3686760"/>
                            <a:ext cx="1542960" cy="428040"/>
                          </a:xfrm>
                          <a:prstGeom prst="rect">
                            <a:avLst/>
                          </a:prstGeom>
                          <a:solidFill>
                            <a:srgbClr val="ffffff"/>
                          </a:solidFill>
                          <a:ln w="9360">
                            <a:solidFill>
                              <a:srgbClr val="000000"/>
                            </a:solidFill>
                            <a:miter/>
                          </a:ln>
                        </wps:spPr>
                        <wps:style>
                          <a:lnRef idx="0"/>
                          <a:fillRef idx="0"/>
                          <a:effectRef idx="0"/>
                          <a:fontRef idx="minor"/>
                        </wps:style>
                        <wps:txbx>
                          <w:txbxContent>
                            <w:p>
                              <w:pPr>
                                <w:spacing w:before="0" w:after="0" w:lineRule="auto" w:line="240"/>
                                <w:jc w:val="center"/>
                                <w:rPr/>
                              </w:pPr>
                              <w:r>
                                <w:rPr>
                                  <w:u w:val="none"/>
                                  <w:dstrike w:val="false"/>
                                  <w:strike w:val="false"/>
                                  <w:vertAlign w:val="baseline"/>
                                  <w:position w:val="0"/>
                                  <w:sz w:val="30"/>
                                  <w:spacing w:val="0"/>
                                  <w:sz w:val="30"/>
                                  <w:szCs w:val="30"/>
                                  <w:b w:val="false"/>
                                  <w:bCs w:val="false"/>
                                  <w:i w:val="false"/>
                                  <w:iCs w:val="false"/>
                                  <w:smallCaps w:val="false"/>
                                  <w:caps w:val="false"/>
                                </w:rPr>
                                <w:t>境内银行</w:t>
                              </w:r>
                            </w:p>
                          </w:txbxContent>
                        </wps:txbx>
                        <wps:bodyPr>
                          <a:noAutofit/>
                        </wps:bodyPr>
                      </wps:wsp>
                      <wps:wsp>
                        <wps:cNvSpPr/>
                        <wps:spPr>
                          <a:xfrm>
                            <a:off x="4877280" y="2133720"/>
                            <a:ext cx="1542240" cy="428760"/>
                          </a:xfrm>
                          <a:prstGeom prst="rect">
                            <a:avLst/>
                          </a:prstGeom>
                          <a:solidFill>
                            <a:srgbClr val="ffffff"/>
                          </a:solidFill>
                          <a:ln w="9360">
                            <a:solidFill>
                              <a:srgbClr val="000000"/>
                            </a:solidFill>
                            <a:miter/>
                          </a:ln>
                        </wps:spPr>
                        <wps:style>
                          <a:lnRef idx="0"/>
                          <a:fillRef idx="0"/>
                          <a:effectRef idx="0"/>
                          <a:fontRef idx="minor"/>
                        </wps:style>
                        <wps:txbx>
                          <w:txbxContent>
                            <w:p>
                              <w:pPr>
                                <w:spacing w:before="0" w:after="0" w:lineRule="auto" w:line="240"/>
                                <w:jc w:val="center"/>
                                <w:rPr/>
                              </w:pPr>
                              <w:r>
                                <w:rPr>
                                  <w:u w:val="none"/>
                                  <w:dstrike w:val="false"/>
                                  <w:strike w:val="false"/>
                                  <w:vertAlign w:val="baseline"/>
                                  <w:position w:val="0"/>
                                  <w:sz w:val="30"/>
                                  <w:spacing w:val="0"/>
                                  <w:sz w:val="30"/>
                                  <w:szCs w:val="30"/>
                                  <w:b w:val="false"/>
                                  <w:bCs w:val="false"/>
                                  <w:i w:val="false"/>
                                  <w:iCs w:val="false"/>
                                  <w:smallCaps w:val="false"/>
                                  <w:caps w:val="false"/>
                                </w:rPr>
                                <w:t>企业客户</w:t>
                              </w:r>
                            </w:p>
                          </w:txbxContent>
                        </wps:txbx>
                        <wps:bodyPr>
                          <a:noAutofit/>
                        </wps:bodyPr>
                      </wps:wsp>
                      <wps:wsp>
                        <wps:cNvSpPr/>
                        <wps:spPr>
                          <a:xfrm>
                            <a:off x="4725000" y="1400040"/>
                            <a:ext cx="1028160" cy="266040"/>
                          </a:xfrm>
                          <a:prstGeom prst="rect">
                            <a:avLst/>
                          </a:prstGeom>
                          <a:solidFill>
                            <a:srgbClr val="ffffff"/>
                          </a:solidFill>
                          <a:ln w="9360">
                            <a:solidFill>
                              <a:srgbClr val="ffffff"/>
                            </a:solidFill>
                            <a:miter/>
                          </a:ln>
                        </wps:spPr>
                        <wps:style>
                          <a:lnRef idx="0"/>
                          <a:fillRef idx="0"/>
                          <a:effectRef idx="0"/>
                          <a:fontRef idx="minor"/>
                        </wps:style>
                        <wps:txbx>
                          <w:txbxContent>
                            <w:p>
                              <w:pPr>
                                <w:spacing w:before="0" w:after="0"/>
                                <w:jc w:val="left"/>
                                <w:rPr/>
                              </w:pPr>
                              <w:r>
                                <w:rPr>
                                  <w:u w:val="none"/>
                                  <w:dstrike w:val="false"/>
                                  <w:strike w:val="false"/>
                                  <w:vertAlign w:val="baseline"/>
                                  <w:position w:val="0"/>
                                  <w:sz w:val="21"/>
                                  <w:spacing w:val="0"/>
                                  <w:sz w:val="21"/>
                                  <w:szCs w:val="21"/>
                                  <w:b w:val="false"/>
                                  <w:bCs w:val="false"/>
                                  <w:i w:val="false"/>
                                  <w:iCs w:val="false"/>
                                  <w:smallCaps w:val="false"/>
                                  <w:caps w:val="false"/>
                                </w:rPr>
                                <w:t>售后回租</w:t>
                              </w:r>
                            </w:p>
                          </w:txbxContent>
                        </wps:txbx>
                        <wps:bodyPr>
                          <a:noAutofit/>
                        </wps:bodyPr>
                      </wps:wsp>
                      <wps:wsp>
                        <wps:cNvSpPr/>
                        <wps:spPr>
                          <a:xfrm>
                            <a:off x="723960" y="1333440"/>
                            <a:ext cx="932760" cy="256680"/>
                          </a:xfrm>
                          <a:prstGeom prst="rect">
                            <a:avLst/>
                          </a:prstGeom>
                          <a:solidFill>
                            <a:srgbClr val="ffffff"/>
                          </a:solidFill>
                          <a:ln w="9360">
                            <a:solidFill>
                              <a:srgbClr val="ffffff"/>
                            </a:solidFill>
                            <a:miter/>
                          </a:ln>
                        </wps:spPr>
                        <wps:style>
                          <a:lnRef idx="0"/>
                          <a:fillRef idx="0"/>
                          <a:effectRef idx="0"/>
                          <a:fontRef idx="minor"/>
                        </wps:style>
                        <wps:txbx>
                          <w:txbxContent>
                            <w:p>
                              <w:pPr>
                                <w:spacing w:before="0" w:after="0"/>
                                <w:jc w:val="left"/>
                                <w:rPr/>
                              </w:pPr>
                              <w:r>
                                <w:rPr>
                                  <w:u w:val="none"/>
                                  <w:dstrike w:val="false"/>
                                  <w:strike w:val="false"/>
                                  <w:vertAlign w:val="baseline"/>
                                  <w:position w:val="0"/>
                                  <w:sz w:val="21"/>
                                  <w:spacing w:val="0"/>
                                  <w:sz w:val="21"/>
                                  <w:szCs w:val="21"/>
                                  <w:b w:val="false"/>
                                  <w:bCs w:val="false"/>
                                  <w:i w:val="false"/>
                                  <w:iCs w:val="false"/>
                                  <w:smallCaps w:val="false"/>
                                  <w:caps w:val="false"/>
                                </w:rPr>
                                <w:t>外币借款</w:t>
                              </w:r>
                            </w:p>
                          </w:txbxContent>
                        </wps:txbx>
                        <wps:bodyPr>
                          <a:noAutofit/>
                        </wps:bodyPr>
                      </wps:wsp>
                      <wps:wsp>
                        <wps:cNvSpPr/>
                        <wps:spPr>
                          <a:xfrm>
                            <a:off x="266760" y="3010680"/>
                            <a:ext cx="1542240" cy="313560"/>
                          </a:xfrm>
                          <a:prstGeom prst="rect">
                            <a:avLst/>
                          </a:prstGeom>
                          <a:solidFill>
                            <a:srgbClr val="ffffff"/>
                          </a:solidFill>
                          <a:ln w="9360">
                            <a:solidFill>
                              <a:srgbClr val="ffffff"/>
                            </a:solidFill>
                            <a:miter/>
                          </a:ln>
                        </wps:spPr>
                        <wps:style>
                          <a:lnRef idx="0"/>
                          <a:fillRef idx="0"/>
                          <a:effectRef idx="0"/>
                          <a:fontRef idx="minor"/>
                        </wps:style>
                        <wps:txbx>
                          <w:txbxContent>
                            <w:p>
                              <w:pPr>
                                <w:spacing w:before="0" w:after="0"/>
                                <w:jc w:val="left"/>
                                <w:rPr/>
                              </w:pPr>
                              <w:r>
                                <w:rPr>
                                  <w:u w:val="none"/>
                                  <w:dstrike w:val="false"/>
                                  <w:strike w:val="false"/>
                                  <w:vertAlign w:val="baseline"/>
                                  <w:position w:val="0"/>
                                  <w:sz w:val="21"/>
                                  <w:spacing w:val="0"/>
                                  <w:sz w:val="21"/>
                                  <w:szCs w:val="21"/>
                                  <w:b w:val="false"/>
                                  <w:bCs w:val="false"/>
                                  <w:i w:val="false"/>
                                  <w:iCs w:val="false"/>
                                  <w:smallCaps w:val="false"/>
                                  <w:caps w:val="false"/>
                                </w:rPr>
                                <w:t>备付信用证/保函担保</w:t>
                              </w:r>
                            </w:p>
                          </w:txbxContent>
                        </wps:txbx>
                        <wps:bodyPr>
                          <a:noAutofit/>
                        </wps:bodyPr>
                      </wps:wsp>
                      <wps:wsp>
                        <wps:cNvSpPr/>
                        <wps:spPr>
                          <a:xfrm>
                            <a:off x="4458240" y="3191400"/>
                            <a:ext cx="1542240" cy="494640"/>
                          </a:xfrm>
                          <a:prstGeom prst="rect">
                            <a:avLst/>
                          </a:prstGeom>
                          <a:solidFill>
                            <a:srgbClr val="ffffff"/>
                          </a:solidFill>
                          <a:ln w="9360">
                            <a:solidFill>
                              <a:srgbClr val="ffffff"/>
                            </a:solidFill>
                            <a:miter/>
                          </a:ln>
                        </wps:spPr>
                        <wps:style>
                          <a:lnRef idx="0"/>
                          <a:fillRef idx="0"/>
                          <a:effectRef idx="0"/>
                          <a:fontRef idx="minor"/>
                        </wps:style>
                        <wps:txbx>
                          <w:txbxContent>
                            <w:p>
                              <w:pPr>
                                <w:spacing w:before="0" w:after="0"/>
                                <w:jc w:val="left"/>
                                <w:rPr/>
                              </w:pPr>
                              <w:r>
                                <w:rPr>
                                  <w:u w:val="none"/>
                                  <w:dstrike w:val="false"/>
                                  <w:strike w:val="false"/>
                                  <w:vertAlign w:val="baseline"/>
                                  <w:position w:val="0"/>
                                  <w:sz w:val="21"/>
                                  <w:spacing w:val="0"/>
                                  <w:sz w:val="21"/>
                                  <w:szCs w:val="21"/>
                                  <w:b w:val="false"/>
                                  <w:bCs w:val="false"/>
                                  <w:i w:val="false"/>
                                  <w:iCs w:val="false"/>
                                  <w:smallCaps w:val="false"/>
                                  <w:caps w:val="false"/>
                                </w:rPr>
                                <w:t>申请开立备付信用证或融资性保函</w:t>
                              </w:r>
                            </w:p>
                          </w:txbxContent>
                        </wps:txbx>
                        <wps:bodyPr>
                          <a:noAutofit/>
                        </wps:bodyPr>
                      </wps:wsp>
                      <wps:wsp>
                        <wps:cNvSpPr/>
                        <wps:spPr>
                          <a:xfrm flipH="1">
                            <a:off x="1133640" y="1076400"/>
                            <a:ext cx="1323360" cy="1009080"/>
                          </a:xfrm>
                          <a:custGeom>
                            <a:avLst/>
                            <a:gdLst/>
                            <a:ahLst/>
                            <a:rect l="l" t="t" r="r" b="b"/>
                            <a:pathLst>
                              <a:path w="21600" h="21600">
                                <a:moveTo>
                                  <a:pt x="0" y="0"/>
                                </a:moveTo>
                                <a:lnTo>
                                  <a:pt x="21600" y="21600"/>
                                </a:lnTo>
                              </a:path>
                            </a:pathLst>
                          </a:custGeom>
                          <a:noFill/>
                          <a:ln w="9360">
                            <a:solidFill>
                              <a:srgbClr val="000000"/>
                            </a:solidFill>
                            <a:round/>
                          </a:ln>
                        </wps:spPr>
                        <wps:style>
                          <a:lnRef idx="0"/>
                          <a:fillRef idx="0"/>
                          <a:effectRef idx="0"/>
                          <a:fontRef idx="minor"/>
                        </wps:style>
                        <wps:bodyPr/>
                      </wps:wsp>
                      <wps:wsp>
                        <wps:cNvSpPr/>
                        <wps:spPr>
                          <a:xfrm>
                            <a:off x="3115800" y="1257480"/>
                            <a:ext cx="720" cy="2428920"/>
                          </a:xfrm>
                          <a:custGeom>
                            <a:avLst/>
                            <a:gdLst/>
                            <a:ahLst/>
                            <a:rect l="l" t="t" r="r" b="b"/>
                            <a:pathLst>
                              <a:path w="21600" h="21600">
                                <a:moveTo>
                                  <a:pt x="0" y="0"/>
                                </a:moveTo>
                                <a:lnTo>
                                  <a:pt x="21600" y="21600"/>
                                </a:lnTo>
                              </a:path>
                            </a:pathLst>
                          </a:custGeom>
                          <a:noFill/>
                          <a:ln cap="rnd" w="9360">
                            <a:solidFill>
                              <a:srgbClr val="000000"/>
                            </a:solidFill>
                            <a:custDash>
                              <a:ds d="500000" sp="400000"/>
                            </a:custDash>
                            <a:round/>
                          </a:ln>
                        </wps:spPr>
                        <wps:style>
                          <a:lnRef idx="0"/>
                          <a:fillRef idx="0"/>
                          <a:effectRef idx="0"/>
                          <a:fontRef idx="minor"/>
                        </wps:style>
                        <wps:bodyPr/>
                      </wps:wsp>
                      <wps:wsp>
                        <wps:cNvSpPr/>
                        <wps:spPr>
                          <a:xfrm flipH="1">
                            <a:off x="3562200" y="2562840"/>
                            <a:ext cx="1675800" cy="1123200"/>
                          </a:xfrm>
                          <a:custGeom>
                            <a:avLst/>
                            <a:gdLst/>
                            <a:ahLst/>
                            <a:rect l="l" t="t" r="r" b="b"/>
                            <a:pathLst>
                              <a:path w="21600" h="21600">
                                <a:moveTo>
                                  <a:pt x="0" y="0"/>
                                </a:moveTo>
                                <a:lnTo>
                                  <a:pt x="21600" y="21600"/>
                                </a:lnTo>
                              </a:path>
                            </a:pathLst>
                          </a:custGeom>
                          <a:noFill/>
                          <a:ln w="9360">
                            <a:solidFill>
                              <a:srgbClr val="000000"/>
                            </a:solidFill>
                            <a:round/>
                          </a:ln>
                        </wps:spPr>
                        <wps:style>
                          <a:lnRef idx="0"/>
                          <a:fillRef idx="0"/>
                          <a:effectRef idx="0"/>
                          <a:fontRef idx="minor"/>
                        </wps:style>
                        <wps:bodyPr/>
                      </wps:wsp>
                      <wps:wsp>
                        <wps:cNvSpPr/>
                        <wps:spPr>
                          <a:xfrm flipH="1" flipV="1">
                            <a:off x="4001040" y="1076400"/>
                            <a:ext cx="1190160" cy="1056600"/>
                          </a:xfrm>
                          <a:custGeom>
                            <a:avLst/>
                            <a:gdLst/>
                            <a:ahLst/>
                            <a:rect l="l" t="t" r="r" b="b"/>
                            <a:pathLst>
                              <a:path w="21600" h="21600">
                                <a:moveTo>
                                  <a:pt x="0" y="0"/>
                                </a:moveTo>
                                <a:lnTo>
                                  <a:pt x="21600" y="21600"/>
                                </a:lnTo>
                              </a:path>
                            </a:pathLst>
                          </a:custGeom>
                          <a:noFill/>
                          <a:ln w="9360">
                            <a:solidFill>
                              <a:srgbClr val="000000"/>
                            </a:solidFill>
                            <a:round/>
                          </a:ln>
                        </wps:spPr>
                        <wps:style>
                          <a:lnRef idx="0"/>
                          <a:fillRef idx="0"/>
                          <a:effectRef idx="0"/>
                          <a:fontRef idx="minor"/>
                        </wps:style>
                        <wps:bodyPr/>
                      </wps:wsp>
                      <wps:wsp>
                        <wps:cNvSpPr/>
                        <wps:spPr>
                          <a:xfrm>
                            <a:off x="2085840" y="0"/>
                            <a:ext cx="720" cy="4991040"/>
                          </a:xfrm>
                          <a:custGeom>
                            <a:avLst/>
                            <a:gdLst/>
                            <a:ahLst/>
                            <a:rect l="l" t="t" r="r" b="b"/>
                            <a:pathLst>
                              <a:path w="21600" h="21600">
                                <a:moveTo>
                                  <a:pt x="0" y="0"/>
                                </a:moveTo>
                                <a:lnTo>
                                  <a:pt x="21600" y="21600"/>
                                </a:lnTo>
                              </a:path>
                            </a:pathLst>
                          </a:custGeom>
                          <a:noFill/>
                          <a:ln cap="rnd" w="9360">
                            <a:solidFill>
                              <a:srgbClr val="000000"/>
                            </a:solidFill>
                            <a:custDash>
                              <a:ds d="500000" sp="400000"/>
                            </a:custDash>
                            <a:round/>
                          </a:ln>
                        </wps:spPr>
                        <wps:style>
                          <a:lnRef idx="0"/>
                          <a:fillRef idx="0"/>
                          <a:effectRef idx="0"/>
                          <a:fontRef idx="minor"/>
                        </wps:style>
                        <wps:bodyPr/>
                      </wps:wsp>
                    </wpg:wgp>
                  </a:graphicData>
                </a:graphic>
              </wp:anchor>
            </w:drawing>
          </mc:Choice>
          <mc:Fallback>
            <w:pict>
              <v:group id="shape_0" alt="Group 2" style="position:absolute;margin-left:-25.4pt;margin-top:13.75pt;width:505.5pt;height:393pt" coordorigin="-508,275" coordsize="10110,7860">
                <v:rect id="shape_0" ID="Text Box 3" fillcolor="white" stroked="t" style="position:absolute;left:4502;top:3410;width:2429;height:673">
                  <v:textbox>
                    <w:txbxContent>
                      <w:p>
                        <w:pPr>
                          <w:spacing w:before="0" w:after="0"/>
                          <w:jc w:val="left"/>
                          <w:rPr/>
                        </w:pPr>
                        <w:r>
                          <w:rPr>
                            <w:u w:val="none"/>
                            <w:dstrike w:val="false"/>
                            <w:strike w:val="false"/>
                            <w:vertAlign w:val="baseline"/>
                            <w:position w:val="0"/>
                            <w:sz w:val="21"/>
                            <w:spacing w:val="0"/>
                            <w:sz w:val="21"/>
                            <w:szCs w:val="21"/>
                            <w:b w:val="false"/>
                            <w:bCs w:val="false"/>
                            <w:i w:val="false"/>
                            <w:iCs w:val="false"/>
                            <w:smallCaps w:val="false"/>
                            <w:caps w:val="false"/>
                          </w:rPr>
                          <w:t>资金监管</w:t>
                        </w:r>
                      </w:p>
                    </w:txbxContent>
                  </v:textbox>
                  <w10:wrap type="square"/>
                  <v:fill o:detectmouseclick="t" type="solid" color2="black"/>
                  <v:stroke color="white" weight="9360" joinstyle="miter" endcap="flat"/>
                </v:rect>
                <v:shapetype id="shapetype_32" coordsize="21600,21600" o:spt="32" path="m,l21600,21600nfe">
                  <v:stroke joinstyle="miter"/>
                  <v:path gradientshapeok="t" o:connecttype="rect" textboxrect="0,0,21600,21600"/>
                </v:shapetype>
                <v:shape id="shape_0" ID="AutoShape 4" stroked="t" style="position:absolute;left:1277;top:4236;width:2608;height:1843" type="shapetype_32">
                  <w10:wrap type="none"/>
                  <v:fill o:detectmouseclick="t" on="false"/>
                  <v:stroke color="black" weight="9360" joinstyle="round" endcap="flat"/>
                </v:shape>
                <v:rect id="shape_0" ID="Text Box 5" fillcolor="white" stroked="t" style="position:absolute;left:-328;top:275;width:2428;height:673">
                  <v:textbox>
                    <w:txbxContent>
                      <w:p>
                        <w:pPr>
                          <w:spacing w:before="0" w:after="0" w:lineRule="auto" w:line="240"/>
                          <w:jc w:val="center"/>
                          <w:rPr/>
                        </w:pPr>
                        <w:r>
                          <w:rPr>
                            <w:u w:val="none"/>
                            <w:dstrike w:val="false"/>
                            <w:strike w:val="false"/>
                            <w:vertAlign w:val="baseline"/>
                            <w:position w:val="0"/>
                            <w:sz w:val="32"/>
                            <w:spacing w:val="0"/>
                            <w:sz w:val="32"/>
                            <w:szCs w:val="32"/>
                            <w:b/>
                            <w:bCs/>
                            <w:i w:val="false"/>
                            <w:iCs w:val="false"/>
                            <w:smallCaps w:val="false"/>
                            <w:caps w:val="false"/>
                          </w:rPr>
                          <w:t>境外</w:t>
                        </w:r>
                      </w:p>
                    </w:txbxContent>
                  </v:textbox>
                  <w10:wrap type="square"/>
                  <v:fill o:detectmouseclick="t" type="solid" color2="black"/>
                  <v:stroke color="white" weight="9360" joinstyle="miter" endcap="flat"/>
                </v:rect>
                <v:rect id="shape_0" ID="Text Box 6" fillcolor="white" stroked="t" style="position:absolute;left:7038;top:275;width:2428;height:673">
                  <v:textbox>
                    <w:txbxContent>
                      <w:p>
                        <w:pPr>
                          <w:spacing w:before="0" w:after="0" w:lineRule="auto" w:line="240"/>
                          <w:jc w:val="center"/>
                          <w:rPr/>
                        </w:pPr>
                        <w:r>
                          <w:rPr>
                            <w:u w:val="none"/>
                            <w:dstrike w:val="false"/>
                            <w:strike w:val="false"/>
                            <w:vertAlign w:val="baseline"/>
                            <w:position w:val="0"/>
                            <w:sz w:val="32"/>
                            <w:spacing w:val="0"/>
                            <w:sz w:val="32"/>
                            <w:szCs w:val="32"/>
                            <w:b/>
                            <w:bCs/>
                            <w:i w:val="false"/>
                            <w:iCs w:val="false"/>
                            <w:smallCaps w:val="false"/>
                            <w:caps w:val="false"/>
                          </w:rPr>
                          <w:t>境内</w:t>
                        </w:r>
                      </w:p>
                    </w:txbxContent>
                  </v:textbox>
                  <w10:wrap type="square"/>
                  <v:fill o:detectmouseclick="t" type="solid" color2="black"/>
                  <v:stroke color="white" weight="9360" joinstyle="miter" endcap="flat"/>
                </v:rect>
                <v:rect id="shape_0" ID="Text Box 7" fillcolor="white" stroked="t" style="position:absolute;left:-508;top:3560;width:2428;height:674">
                  <v:textbox>
                    <w:txbxContent>
                      <w:p>
                        <w:pPr>
                          <w:spacing w:before="0" w:after="0" w:lineRule="auto" w:line="240"/>
                          <w:jc w:val="center"/>
                          <w:rPr/>
                        </w:pPr>
                        <w:r>
                          <w:rPr>
                            <w:u w:val="none"/>
                            <w:dstrike w:val="false"/>
                            <w:strike w:val="false"/>
                            <w:vertAlign w:val="baseline"/>
                            <w:position w:val="0"/>
                            <w:sz w:val="30"/>
                            <w:spacing w:val="0"/>
                            <w:sz w:val="30"/>
                            <w:szCs w:val="30"/>
                            <w:b w:val="false"/>
                            <w:bCs w:val="false"/>
                            <w:i w:val="false"/>
                            <w:iCs w:val="false"/>
                            <w:smallCaps w:val="false"/>
                            <w:caps w:val="false"/>
                          </w:rPr>
                          <w:t>境外银行</w:t>
                        </w:r>
                      </w:p>
                    </w:txbxContent>
                  </v:textbox>
                  <w10:wrap type="square"/>
                  <v:fill o:detectmouseclick="t" type="solid" color2="black"/>
                  <v:stroke color="black" weight="9360" joinstyle="miter" endcap="flat"/>
                </v:rect>
                <v:rect id="shape_0" ID="Text Box 8" fillcolor="white" stroked="t" style="position:absolute;left:3362;top:1580;width:2429;height:673">
                  <v:textbox>
                    <w:txbxContent>
                      <w:p>
                        <w:pPr>
                          <w:spacing w:before="0" w:after="0" w:lineRule="auto" w:line="240"/>
                          <w:jc w:val="center"/>
                          <w:rPr/>
                        </w:pPr>
                        <w:r>
                          <w:rPr>
                            <w:u w:val="none"/>
                            <w:dstrike w:val="false"/>
                            <w:strike w:val="false"/>
                            <w:vertAlign w:val="baseline"/>
                            <w:position w:val="0"/>
                            <w:sz w:val="30"/>
                            <w:spacing w:val="0"/>
                            <w:sz w:val="30"/>
                            <w:szCs w:val="30"/>
                            <w:b w:val="false"/>
                            <w:bCs w:val="false"/>
                            <w:i w:val="false"/>
                            <w:iCs w:val="false"/>
                            <w:smallCaps w:val="false"/>
                            <w:caps w:val="false"/>
                          </w:rPr>
                          <w:t>租赁公司</w:t>
                        </w:r>
                      </w:p>
                    </w:txbxContent>
                  </v:textbox>
                  <w10:wrap type="square"/>
                  <v:fill o:detectmouseclick="t" type="solid" color2="black"/>
                  <v:stroke color="black" weight="9360" joinstyle="miter" endcap="flat"/>
                </v:rect>
                <v:rect id="shape_0" ID="Text Box 9" fillcolor="white" stroked="t" style="position:absolute;left:3467;top:6081;width:2429;height:673">
                  <v:textbox>
                    <w:txbxContent>
                      <w:p>
                        <w:pPr>
                          <w:spacing w:before="0" w:after="0" w:lineRule="auto" w:line="240"/>
                          <w:jc w:val="center"/>
                          <w:rPr/>
                        </w:pPr>
                        <w:r>
                          <w:rPr>
                            <w:u w:val="none"/>
                            <w:dstrike w:val="false"/>
                            <w:strike w:val="false"/>
                            <w:vertAlign w:val="baseline"/>
                            <w:position w:val="0"/>
                            <w:sz w:val="30"/>
                            <w:spacing w:val="0"/>
                            <w:sz w:val="30"/>
                            <w:szCs w:val="30"/>
                            <w:b w:val="false"/>
                            <w:bCs w:val="false"/>
                            <w:i w:val="false"/>
                            <w:iCs w:val="false"/>
                            <w:smallCaps w:val="false"/>
                            <w:caps w:val="false"/>
                          </w:rPr>
                          <w:t>境内银行</w:t>
                        </w:r>
                      </w:p>
                    </w:txbxContent>
                  </v:textbox>
                  <w10:wrap type="square"/>
                  <v:fill o:detectmouseclick="t" type="solid" color2="black"/>
                  <v:stroke color="black" weight="9360" joinstyle="miter" endcap="flat"/>
                </v:rect>
                <v:rect id="shape_0" ID="Text Box 10" fillcolor="white" stroked="t" style="position:absolute;left:7173;top:3635;width:2428;height:674">
                  <v:textbox>
                    <w:txbxContent>
                      <w:p>
                        <w:pPr>
                          <w:spacing w:before="0" w:after="0" w:lineRule="auto" w:line="240"/>
                          <w:jc w:val="center"/>
                          <w:rPr/>
                        </w:pPr>
                        <w:r>
                          <w:rPr>
                            <w:u w:val="none"/>
                            <w:dstrike w:val="false"/>
                            <w:strike w:val="false"/>
                            <w:vertAlign w:val="baseline"/>
                            <w:position w:val="0"/>
                            <w:sz w:val="30"/>
                            <w:spacing w:val="0"/>
                            <w:sz w:val="30"/>
                            <w:szCs w:val="30"/>
                            <w:b w:val="false"/>
                            <w:bCs w:val="false"/>
                            <w:i w:val="false"/>
                            <w:iCs w:val="false"/>
                            <w:smallCaps w:val="false"/>
                            <w:caps w:val="false"/>
                          </w:rPr>
                          <w:t>企业客户</w:t>
                        </w:r>
                      </w:p>
                    </w:txbxContent>
                  </v:textbox>
                  <w10:wrap type="square"/>
                  <v:fill o:detectmouseclick="t" type="solid" color2="black"/>
                  <v:stroke color="black" weight="9360" joinstyle="miter" endcap="flat"/>
                </v:rect>
                <v:rect id="shape_0" ID="Text Box 11" fillcolor="white" stroked="t" style="position:absolute;left:6933;top:2480;width:1618;height:418">
                  <v:textbox>
                    <w:txbxContent>
                      <w:p>
                        <w:pPr>
                          <w:spacing w:before="0" w:after="0"/>
                          <w:jc w:val="left"/>
                          <w:rPr/>
                        </w:pPr>
                        <w:r>
                          <w:rPr>
                            <w:u w:val="none"/>
                            <w:dstrike w:val="false"/>
                            <w:strike w:val="false"/>
                            <w:vertAlign w:val="baseline"/>
                            <w:position w:val="0"/>
                            <w:sz w:val="21"/>
                            <w:spacing w:val="0"/>
                            <w:sz w:val="21"/>
                            <w:szCs w:val="21"/>
                            <w:b w:val="false"/>
                            <w:bCs w:val="false"/>
                            <w:i w:val="false"/>
                            <w:iCs w:val="false"/>
                            <w:smallCaps w:val="false"/>
                            <w:caps w:val="false"/>
                          </w:rPr>
                          <w:t>售后回租</w:t>
                        </w:r>
                      </w:p>
                    </w:txbxContent>
                  </v:textbox>
                  <w10:wrap type="square"/>
                  <v:fill o:detectmouseclick="t" type="solid" color2="black"/>
                  <v:stroke color="white" weight="9360" joinstyle="miter" endcap="flat"/>
                </v:rect>
                <v:rect id="shape_0" ID="Text Box 12" fillcolor="white" stroked="t" style="position:absolute;left:632;top:2375;width:1468;height:403">
                  <v:textbox>
                    <w:txbxContent>
                      <w:p>
                        <w:pPr>
                          <w:spacing w:before="0" w:after="0"/>
                          <w:jc w:val="left"/>
                          <w:rPr/>
                        </w:pPr>
                        <w:r>
                          <w:rPr>
                            <w:u w:val="none"/>
                            <w:dstrike w:val="false"/>
                            <w:strike w:val="false"/>
                            <w:vertAlign w:val="baseline"/>
                            <w:position w:val="0"/>
                            <w:sz w:val="21"/>
                            <w:spacing w:val="0"/>
                            <w:sz w:val="21"/>
                            <w:szCs w:val="21"/>
                            <w:b w:val="false"/>
                            <w:bCs w:val="false"/>
                            <w:i w:val="false"/>
                            <w:iCs w:val="false"/>
                            <w:smallCaps w:val="false"/>
                            <w:caps w:val="false"/>
                          </w:rPr>
                          <w:t>外币借款</w:t>
                        </w:r>
                      </w:p>
                    </w:txbxContent>
                  </v:textbox>
                  <w10:wrap type="square"/>
                  <v:fill o:detectmouseclick="t" type="solid" color2="black"/>
                  <v:stroke color="white" weight="9360" joinstyle="miter" endcap="flat"/>
                </v:rect>
                <v:rect id="shape_0" ID="Text Box 13" fillcolor="white" stroked="t" style="position:absolute;left:-88;top:5016;width:2428;height:493">
                  <v:textbox>
                    <w:txbxContent>
                      <w:p>
                        <w:pPr>
                          <w:spacing w:before="0" w:after="0"/>
                          <w:jc w:val="left"/>
                          <w:rPr/>
                        </w:pPr>
                        <w:r>
                          <w:rPr>
                            <w:u w:val="none"/>
                            <w:dstrike w:val="false"/>
                            <w:strike w:val="false"/>
                            <w:vertAlign w:val="baseline"/>
                            <w:position w:val="0"/>
                            <w:sz w:val="21"/>
                            <w:spacing w:val="0"/>
                            <w:sz w:val="21"/>
                            <w:szCs w:val="21"/>
                            <w:b w:val="false"/>
                            <w:bCs w:val="false"/>
                            <w:i w:val="false"/>
                            <w:iCs w:val="false"/>
                            <w:smallCaps w:val="false"/>
                            <w:caps w:val="false"/>
                          </w:rPr>
                          <w:t>备付信用证/保函担保</w:t>
                        </w:r>
                      </w:p>
                    </w:txbxContent>
                  </v:textbox>
                  <w10:wrap type="square"/>
                  <v:fill o:detectmouseclick="t" type="solid" color2="black"/>
                  <v:stroke color="white" weight="9360" joinstyle="miter" endcap="flat"/>
                </v:rect>
                <v:rect id="shape_0" ID="Text Box 14" fillcolor="white" stroked="t" style="position:absolute;left:6513;top:5301;width:2428;height:778">
                  <v:textbox>
                    <w:txbxContent>
                      <w:p>
                        <w:pPr>
                          <w:spacing w:before="0" w:after="0"/>
                          <w:jc w:val="left"/>
                          <w:rPr/>
                        </w:pPr>
                        <w:r>
                          <w:rPr>
                            <w:u w:val="none"/>
                            <w:dstrike w:val="false"/>
                            <w:strike w:val="false"/>
                            <w:vertAlign w:val="baseline"/>
                            <w:position w:val="0"/>
                            <w:sz w:val="21"/>
                            <w:spacing w:val="0"/>
                            <w:sz w:val="21"/>
                            <w:szCs w:val="21"/>
                            <w:b w:val="false"/>
                            <w:bCs w:val="false"/>
                            <w:i w:val="false"/>
                            <w:iCs w:val="false"/>
                            <w:smallCaps w:val="false"/>
                            <w:caps w:val="false"/>
                          </w:rPr>
                          <w:t>申请开立备付信用证或融资性保函</w:t>
                        </w:r>
                      </w:p>
                    </w:txbxContent>
                  </v:textbox>
                  <w10:wrap type="square"/>
                  <v:fill o:detectmouseclick="t" type="solid" color2="black"/>
                  <v:stroke color="white" weight="9360" joinstyle="miter" endcap="flat"/>
                </v:rect>
                <v:shape id="shape_0" ID="AutoShape 15" stroked="t" style="position:absolute;left:1277;top:1970;width:2083;height:1588;flip:x" type="shapetype_32">
                  <w10:wrap type="none"/>
                  <v:fill o:detectmouseclick="t" on="false"/>
                  <v:stroke color="black" weight="9360" joinstyle="round" endcap="flat"/>
                </v:shape>
                <v:shape id="shape_0" ID="AutoShape 16" stroked="t" style="position:absolute;left:4399;top:2255;width:0;height:3824" type="shapetype_32">
                  <w10:wrap type="none"/>
                  <v:fill o:detectmouseclick="t" on="false"/>
                  <v:stroke color="black" weight="9360" dashstyle="dash" joinstyle="round" endcap="round"/>
                </v:shape>
                <v:shape id="shape_0" ID="AutoShape 17" stroked="t" style="position:absolute;left:5102;top:4311;width:2638;height:1768;flip:x" type="shapetype_32">
                  <w10:wrap type="none"/>
                  <v:fill o:detectmouseclick="t" on="false"/>
                  <v:stroke color="black" weight="9360" joinstyle="round" endcap="flat"/>
                </v:shape>
                <v:shape id="shape_0" ID="AutoShape 18" stroked="t" style="position:absolute;left:5793;top:1970;width:1873;height:1663;flip:xy" type="shapetype_32">
                  <w10:wrap type="none"/>
                  <v:fill o:detectmouseclick="t" on="false"/>
                  <v:stroke color="black" weight="9360" joinstyle="round" endcap="flat"/>
                </v:shape>
                <v:shape id="shape_0" ID="AutoShape 19" stroked="t" style="position:absolute;left:2777;top:275;width:0;height:7859" type="shapetype_32">
                  <w10:wrap type="none"/>
                  <v:fill o:detectmouseclick="t" on="false"/>
                  <v:stroke color="black" weight="9360" dashstyle="dash" joinstyle="round" endcap="round"/>
                </v:shape>
              </v:group>
            </w:pict>
          </mc:Fallback>
        </mc:AlternateContent>
      </w:r>
      <w:r>
        <w:rPr>
          <w:rFonts w:eastAsia="华文仿宋" w:ascii="华文仿宋" w:hAnsi="华文仿宋"/>
          <w:b/>
          <w:sz w:val="28"/>
          <w:szCs w:val="28"/>
        </w:rPr>
        <w:tab/>
        <w:tab/>
      </w:r>
    </w:p>
    <w:p>
      <w:pPr>
        <w:pStyle w:val="Normal"/>
        <w:spacing w:lineRule="exact" w:line="520"/>
        <w:rPr>
          <w:rFonts w:ascii="华文仿宋" w:hAnsi="华文仿宋" w:eastAsia="华文仿宋"/>
          <w:b/>
          <w:b/>
          <w:sz w:val="28"/>
          <w:szCs w:val="28"/>
        </w:rPr>
      </w:pPr>
      <w:r>
        <w:rPr>
          <w:rFonts w:eastAsia="华文仿宋" w:ascii="华文仿宋" w:hAnsi="华文仿宋"/>
          <w:b/>
          <w:sz w:val="28"/>
          <w:szCs w:val="28"/>
        </w:rPr>
      </w:r>
    </w:p>
    <w:p>
      <w:pPr>
        <w:pStyle w:val="Normal"/>
        <w:spacing w:lineRule="exact" w:line="520"/>
        <w:rPr>
          <w:rFonts w:ascii="华文仿宋" w:hAnsi="华文仿宋" w:eastAsia="华文仿宋"/>
          <w:b/>
          <w:b/>
          <w:sz w:val="28"/>
          <w:szCs w:val="28"/>
        </w:rPr>
      </w:pPr>
      <w:r>
        <w:rPr>
          <w:rFonts w:eastAsia="华文仿宋" w:ascii="华文仿宋" w:hAnsi="华文仿宋"/>
          <w:b/>
          <w:sz w:val="28"/>
          <w:szCs w:val="28"/>
        </w:rPr>
      </w:r>
      <w:r>
        <w:br w:type="page"/>
      </w:r>
    </w:p>
    <w:p>
      <w:pPr>
        <w:pStyle w:val="Normal"/>
        <w:numPr>
          <w:ilvl w:val="0"/>
          <w:numId w:val="1"/>
        </w:numPr>
        <w:spacing w:lineRule="exact" w:line="520"/>
        <w:rPr>
          <w:rFonts w:ascii="华文仿宋" w:hAnsi="华文仿宋" w:eastAsia="华文仿宋"/>
          <w:b/>
          <w:b/>
          <w:sz w:val="28"/>
          <w:szCs w:val="28"/>
        </w:rPr>
      </w:pPr>
      <w:r>
        <w:rPr>
          <w:rFonts w:ascii="华文仿宋" w:hAnsi="华文仿宋" w:eastAsia="华文仿宋"/>
          <w:b/>
          <w:sz w:val="28"/>
          <w:szCs w:val="28"/>
        </w:rPr>
        <w:t>法律保障</w:t>
      </w:r>
      <w:r>
        <w:rPr>
          <w:rFonts w:ascii="华文仿宋" w:hAnsi="华文仿宋" w:eastAsia="华文仿宋"/>
          <w:b/>
          <w:sz w:val="28"/>
          <w:szCs w:val="28"/>
        </w:rPr>
        <w:t xml:space="preserve"> </w:t>
      </w:r>
    </w:p>
    <w:p>
      <w:pPr>
        <w:pStyle w:val="Normal"/>
        <w:numPr>
          <w:ilvl w:val="4"/>
          <w:numId w:val="1"/>
        </w:numPr>
        <w:spacing w:lineRule="exact" w:line="480"/>
        <w:rPr>
          <w:rFonts w:ascii="华文仿宋" w:hAnsi="华文仿宋" w:eastAsia="华文仿宋"/>
          <w:b/>
          <w:b/>
          <w:sz w:val="28"/>
          <w:szCs w:val="28"/>
        </w:rPr>
      </w:pPr>
      <w:r>
        <w:rPr>
          <w:rFonts w:ascii="华文仿宋" w:hAnsi="华文仿宋" w:eastAsia="华文仿宋"/>
          <w:b/>
          <w:sz w:val="28"/>
          <w:szCs w:val="28"/>
        </w:rPr>
        <w:t>交易合法性</w:t>
      </w:r>
    </w:p>
    <w:p>
      <w:pPr>
        <w:pStyle w:val="Normal"/>
        <w:numPr>
          <w:ilvl w:val="0"/>
          <w:numId w:val="4"/>
        </w:numPr>
        <w:tabs>
          <w:tab w:val="left" w:pos="1620" w:leader="none"/>
        </w:tabs>
        <w:spacing w:lineRule="exact" w:line="480"/>
        <w:ind w:left="1620" w:hanging="420"/>
        <w:rPr>
          <w:rFonts w:ascii="华文仿宋" w:hAnsi="华文仿宋" w:eastAsia="华文仿宋"/>
          <w:sz w:val="28"/>
          <w:szCs w:val="28"/>
        </w:rPr>
      </w:pPr>
      <w:r>
        <w:rPr>
          <w:rFonts w:ascii="华文仿宋" w:hAnsi="华文仿宋" w:eastAsia="华文仿宋"/>
          <w:sz w:val="28"/>
          <w:szCs w:val="28"/>
        </w:rPr>
        <w:t>根据商务部颁布的</w:t>
      </w:r>
      <w:r>
        <w:rPr>
          <w:rFonts w:ascii="华文仿宋" w:hAnsi="华文仿宋" w:eastAsia="华文仿宋"/>
          <w:b/>
          <w:sz w:val="28"/>
          <w:szCs w:val="28"/>
        </w:rPr>
        <w:t>《外商投资租赁业管理办法》</w:t>
      </w:r>
      <w:r>
        <w:rPr>
          <w:rFonts w:ascii="华文仿宋" w:hAnsi="华文仿宋" w:eastAsia="华文仿宋"/>
          <w:sz w:val="28"/>
          <w:szCs w:val="28"/>
        </w:rPr>
        <w:t>第五条规定“外商投资融资租赁公司可以采取直接租赁、转租赁、</w:t>
      </w:r>
      <w:r>
        <w:rPr>
          <w:rFonts w:ascii="华文仿宋" w:hAnsi="华文仿宋" w:eastAsia="华文仿宋"/>
          <w:b/>
          <w:sz w:val="28"/>
          <w:szCs w:val="28"/>
        </w:rPr>
        <w:t>回租赁</w:t>
      </w:r>
      <w:r>
        <w:rPr>
          <w:rFonts w:ascii="华文仿宋" w:hAnsi="华文仿宋" w:eastAsia="华文仿宋"/>
          <w:sz w:val="28"/>
          <w:szCs w:val="28"/>
        </w:rPr>
        <w:t>、杠杆租赁、委托租赁、联合租赁等不同形式开展融资租赁业务。”</w:t>
      </w:r>
    </w:p>
    <w:p>
      <w:pPr>
        <w:pStyle w:val="Normal"/>
        <w:numPr>
          <w:ilvl w:val="0"/>
          <w:numId w:val="4"/>
        </w:numPr>
        <w:tabs>
          <w:tab w:val="left" w:pos="1620" w:leader="none"/>
        </w:tabs>
        <w:spacing w:lineRule="exact" w:line="480"/>
        <w:ind w:left="1620" w:hanging="420"/>
        <w:rPr>
          <w:rFonts w:ascii="华文仿宋" w:hAnsi="华文仿宋" w:eastAsia="华文仿宋"/>
          <w:sz w:val="28"/>
          <w:szCs w:val="28"/>
        </w:rPr>
      </w:pPr>
      <w:r>
        <w:rPr>
          <w:rFonts w:ascii="华文仿宋" w:hAnsi="华文仿宋" w:eastAsia="华文仿宋"/>
          <w:sz w:val="28"/>
          <w:szCs w:val="28"/>
        </w:rPr>
        <w:t>根据商务部颁布的</w:t>
      </w:r>
      <w:r>
        <w:rPr>
          <w:rFonts w:ascii="华文仿宋" w:hAnsi="华文仿宋" w:eastAsia="华文仿宋"/>
          <w:b/>
          <w:sz w:val="28"/>
          <w:szCs w:val="28"/>
        </w:rPr>
        <w:t>《外商投资租赁业管理办法》</w:t>
      </w:r>
      <w:r>
        <w:rPr>
          <w:rFonts w:ascii="华文仿宋" w:hAnsi="华文仿宋" w:eastAsia="华文仿宋"/>
          <w:sz w:val="28"/>
          <w:szCs w:val="28"/>
        </w:rPr>
        <w:t>第六条规定“本办法所称租赁财产包括：（一）生产设备、通信设备、医疗设备、科研设备、检验检测设备、工程机械设备、办公设备等各类动产；（二）飞机、汽车、船舶等各类交通工具。”</w:t>
      </w:r>
    </w:p>
    <w:p>
      <w:pPr>
        <w:pStyle w:val="Normal"/>
        <w:numPr>
          <w:ilvl w:val="0"/>
          <w:numId w:val="4"/>
        </w:numPr>
        <w:tabs>
          <w:tab w:val="left" w:pos="1620" w:leader="none"/>
        </w:tabs>
        <w:spacing w:lineRule="exact" w:line="480"/>
        <w:ind w:left="1620" w:hanging="420"/>
        <w:rPr>
          <w:rFonts w:ascii="华文仿宋" w:hAnsi="华文仿宋" w:eastAsia="华文仿宋"/>
          <w:sz w:val="28"/>
          <w:szCs w:val="28"/>
        </w:rPr>
      </w:pPr>
      <w:r>
        <w:rPr>
          <w:rFonts w:ascii="华文仿宋" w:hAnsi="华文仿宋" w:eastAsia="华文仿宋"/>
          <w:sz w:val="28"/>
          <w:szCs w:val="28"/>
        </w:rPr>
        <w:t>根据</w:t>
      </w:r>
      <w:r>
        <w:rPr>
          <w:rFonts w:ascii="华文仿宋" w:hAnsi="华文仿宋" w:eastAsia="华文仿宋"/>
          <w:b/>
          <w:sz w:val="28"/>
          <w:szCs w:val="28"/>
        </w:rPr>
        <w:t>《合同法》</w:t>
      </w:r>
      <w:r>
        <w:rPr>
          <w:rFonts w:ascii="华文仿宋" w:hAnsi="华文仿宋" w:eastAsia="华文仿宋"/>
          <w:sz w:val="28"/>
          <w:szCs w:val="28"/>
        </w:rPr>
        <w:t>第十三章第二百四十五条规定：出租人应当保证承租人对租赁物的占有和使用。</w:t>
      </w:r>
    </w:p>
    <w:p>
      <w:pPr>
        <w:pStyle w:val="Normal"/>
        <w:numPr>
          <w:ilvl w:val="0"/>
          <w:numId w:val="4"/>
        </w:numPr>
        <w:tabs>
          <w:tab w:val="left" w:pos="1620" w:leader="none"/>
        </w:tabs>
        <w:spacing w:lineRule="exact" w:line="480"/>
        <w:ind w:left="1620" w:hanging="420"/>
        <w:rPr>
          <w:rFonts w:ascii="华文仿宋" w:hAnsi="华文仿宋" w:eastAsia="华文仿宋"/>
          <w:sz w:val="28"/>
          <w:szCs w:val="28"/>
        </w:rPr>
      </w:pPr>
      <w:r>
        <w:rPr>
          <w:rFonts w:ascii="华文仿宋" w:hAnsi="华文仿宋" w:eastAsia="华文仿宋"/>
          <w:sz w:val="28"/>
          <w:szCs w:val="28"/>
        </w:rPr>
        <w:t>根据</w:t>
      </w:r>
      <w:r>
        <w:rPr>
          <w:rFonts w:ascii="华文仿宋" w:hAnsi="华文仿宋" w:eastAsia="华文仿宋"/>
          <w:b/>
          <w:sz w:val="28"/>
          <w:szCs w:val="28"/>
        </w:rPr>
        <w:t>《合同法》</w:t>
      </w:r>
      <w:r>
        <w:rPr>
          <w:rFonts w:ascii="华文仿宋" w:hAnsi="华文仿宋" w:eastAsia="华文仿宋"/>
          <w:sz w:val="28"/>
          <w:szCs w:val="28"/>
        </w:rPr>
        <w:t>第十三章第二百五十条规定：出租人和承租人可以约定租赁期间届满租赁物的归属。</w:t>
      </w:r>
    </w:p>
    <w:p>
      <w:pPr>
        <w:pStyle w:val="Normal"/>
        <w:numPr>
          <w:ilvl w:val="4"/>
          <w:numId w:val="1"/>
        </w:numPr>
        <w:spacing w:lineRule="exact" w:line="480"/>
        <w:ind w:left="1145" w:hanging="720"/>
        <w:rPr>
          <w:rFonts w:ascii="华文仿宋" w:hAnsi="华文仿宋" w:eastAsia="华文仿宋"/>
          <w:b/>
          <w:b/>
          <w:sz w:val="28"/>
          <w:szCs w:val="28"/>
        </w:rPr>
      </w:pPr>
      <w:r>
        <w:rPr>
          <w:rFonts w:ascii="华文仿宋" w:hAnsi="华文仿宋" w:eastAsia="华文仿宋"/>
          <w:b/>
          <w:sz w:val="28"/>
          <w:szCs w:val="28"/>
        </w:rPr>
        <w:t>关于售后回租的税收政策</w:t>
      </w:r>
    </w:p>
    <w:p>
      <w:pPr>
        <w:pStyle w:val="Normal"/>
        <w:spacing w:lineRule="exact" w:line="480"/>
        <w:ind w:left="1080" w:firstLine="628"/>
        <w:rPr>
          <w:rFonts w:ascii="华文仿宋" w:hAnsi="华文仿宋" w:eastAsia="华文仿宋"/>
          <w:sz w:val="28"/>
          <w:szCs w:val="28"/>
        </w:rPr>
      </w:pPr>
      <w:r>
        <w:rPr>
          <w:rFonts w:ascii="华文仿宋" w:hAnsi="华文仿宋" w:eastAsia="华文仿宋"/>
          <w:b/>
          <w:sz w:val="28"/>
          <w:szCs w:val="28"/>
        </w:rPr>
        <w:t>《国家税务总局关于融资性售后回租业务中承租方出售资产行为有关税收 问题的公告》</w:t>
      </w:r>
      <w:r>
        <w:rPr>
          <w:rFonts w:ascii="华文仿宋" w:hAnsi="华文仿宋" w:eastAsia="华文仿宋"/>
          <w:sz w:val="28"/>
          <w:szCs w:val="28"/>
        </w:rPr>
        <w:t>（国家税务总局公告</w:t>
      </w:r>
      <w:r>
        <w:rPr>
          <w:rFonts w:eastAsia="华文仿宋" w:ascii="华文仿宋" w:hAnsi="华文仿宋"/>
          <w:sz w:val="28"/>
          <w:szCs w:val="28"/>
        </w:rPr>
        <w:t>2010</w:t>
      </w:r>
      <w:r>
        <w:rPr>
          <w:rFonts w:ascii="华文仿宋" w:hAnsi="华文仿宋" w:eastAsia="华文仿宋"/>
          <w:sz w:val="28"/>
          <w:szCs w:val="28"/>
        </w:rPr>
        <w:t>年第</w:t>
      </w:r>
      <w:r>
        <w:rPr>
          <w:rFonts w:eastAsia="华文仿宋" w:ascii="华文仿宋" w:hAnsi="华文仿宋"/>
          <w:sz w:val="28"/>
          <w:szCs w:val="28"/>
        </w:rPr>
        <w:t>13</w:t>
      </w:r>
      <w:r>
        <w:rPr>
          <w:rFonts w:ascii="华文仿宋" w:hAnsi="华文仿宋" w:eastAsia="华文仿宋"/>
          <w:sz w:val="28"/>
          <w:szCs w:val="28"/>
        </w:rPr>
        <w:t>号）规定：</w:t>
      </w:r>
    </w:p>
    <w:p>
      <w:pPr>
        <w:pStyle w:val="Normal"/>
        <w:numPr>
          <w:ilvl w:val="0"/>
          <w:numId w:val="5"/>
        </w:numPr>
        <w:tabs>
          <w:tab w:val="left" w:pos="1620" w:leader="none"/>
        </w:tabs>
        <w:spacing w:lineRule="exact" w:line="480"/>
        <w:ind w:left="1620" w:hanging="420"/>
        <w:rPr>
          <w:rFonts w:ascii="华文仿宋" w:hAnsi="华文仿宋" w:eastAsia="华文仿宋"/>
          <w:sz w:val="28"/>
          <w:szCs w:val="28"/>
        </w:rPr>
      </w:pPr>
      <w:r>
        <w:rPr>
          <w:rFonts w:ascii="华文仿宋" w:hAnsi="华文仿宋" w:eastAsia="华文仿宋"/>
          <w:sz w:val="28"/>
          <w:szCs w:val="28"/>
        </w:rPr>
        <w:t>融资性售后回租业务是指承租方以融资为目的将资产出售给经批准从事融资租赁业务的企业后，又将该项资产从该融资租赁企业租回的行为。融资性售后回租业务中承租方出售资产时，资产所有权以及与资产所有权有关的全部报酬和风险并未完全转移。</w:t>
      </w:r>
    </w:p>
    <w:p>
      <w:pPr>
        <w:pStyle w:val="Normal"/>
        <w:numPr>
          <w:ilvl w:val="0"/>
          <w:numId w:val="5"/>
        </w:numPr>
        <w:tabs>
          <w:tab w:val="left" w:pos="1620" w:leader="none"/>
        </w:tabs>
        <w:spacing w:lineRule="exact" w:line="480"/>
        <w:ind w:left="1620" w:hanging="420"/>
        <w:rPr>
          <w:rFonts w:ascii="华文仿宋" w:hAnsi="华文仿宋" w:eastAsia="华文仿宋"/>
          <w:sz w:val="28"/>
          <w:szCs w:val="28"/>
        </w:rPr>
      </w:pPr>
      <w:r>
        <w:rPr>
          <w:rFonts w:ascii="华文仿宋" w:hAnsi="华文仿宋" w:eastAsia="华文仿宋"/>
          <w:sz w:val="28"/>
          <w:szCs w:val="28"/>
        </w:rPr>
        <w:t>增值税和营业税： 根据现行增值税和营业税有关规定，融资性售后回租业务中承租方出售资产的行为，不属于增值税和营业税征收范围，不征收增值税和营业税。</w:t>
      </w:r>
    </w:p>
    <w:p>
      <w:pPr>
        <w:pStyle w:val="Normal"/>
        <w:numPr>
          <w:ilvl w:val="0"/>
          <w:numId w:val="5"/>
        </w:numPr>
        <w:tabs>
          <w:tab w:val="left" w:pos="1620" w:leader="none"/>
        </w:tabs>
        <w:spacing w:lineRule="exact" w:line="480"/>
        <w:ind w:left="1620" w:hanging="420"/>
        <w:rPr>
          <w:rFonts w:ascii="华文仿宋" w:hAnsi="华文仿宋" w:eastAsia="华文仿宋"/>
          <w:sz w:val="28"/>
          <w:szCs w:val="28"/>
        </w:rPr>
      </w:pPr>
      <w:r>
        <w:rPr>
          <w:rFonts w:ascii="华文仿宋" w:hAnsi="华文仿宋" w:eastAsia="华文仿宋"/>
          <w:sz w:val="28"/>
          <w:szCs w:val="28"/>
        </w:rPr>
        <w:t>企业所得税：根据现行企业所得税法及有关收入确定规定，融资性售后回租业务中，承租人出售资产的行为，不确认为销售收入，对融资性租赁的资产，仍按承租人出售前原账面价值作为计税基础计提折旧。租赁期间，承租人支付的属于融资利息的部分，作为企业财务费用在税前扣除。</w:t>
      </w:r>
    </w:p>
    <w:p>
      <w:pPr>
        <w:pStyle w:val="Normal"/>
        <w:numPr>
          <w:ilvl w:val="0"/>
          <w:numId w:val="5"/>
        </w:numPr>
        <w:tabs>
          <w:tab w:val="left" w:pos="1620" w:leader="none"/>
        </w:tabs>
        <w:spacing w:lineRule="exact" w:line="480"/>
        <w:ind w:left="1620" w:hanging="420"/>
        <w:rPr>
          <w:rFonts w:ascii="华文仿宋" w:hAnsi="华文仿宋" w:eastAsia="华文仿宋"/>
          <w:sz w:val="28"/>
          <w:szCs w:val="28"/>
        </w:rPr>
      </w:pPr>
      <w:r>
        <w:rPr>
          <w:rFonts w:eastAsia="华文仿宋" w:ascii="华文仿宋" w:hAnsi="华文仿宋"/>
          <w:sz w:val="28"/>
          <w:szCs w:val="28"/>
        </w:rPr>
        <w:t>2012</w:t>
      </w:r>
      <w:r>
        <w:rPr>
          <w:rFonts w:ascii="华文仿宋" w:hAnsi="华文仿宋" w:eastAsia="华文仿宋"/>
          <w:sz w:val="28"/>
          <w:szCs w:val="28"/>
        </w:rPr>
        <w:t>年</w:t>
      </w:r>
      <w:r>
        <w:rPr>
          <w:rFonts w:eastAsia="华文仿宋" w:ascii="华文仿宋" w:hAnsi="华文仿宋"/>
          <w:sz w:val="28"/>
          <w:szCs w:val="28"/>
        </w:rPr>
        <w:t>9</w:t>
      </w:r>
      <w:r>
        <w:rPr>
          <w:rFonts w:ascii="华文仿宋" w:hAnsi="华文仿宋" w:eastAsia="华文仿宋"/>
          <w:sz w:val="28"/>
          <w:szCs w:val="28"/>
        </w:rPr>
        <w:t>月</w:t>
      </w:r>
      <w:r>
        <w:rPr>
          <w:rFonts w:eastAsia="华文仿宋" w:ascii="华文仿宋" w:hAnsi="华文仿宋"/>
          <w:sz w:val="28"/>
          <w:szCs w:val="28"/>
        </w:rPr>
        <w:t>1</w:t>
      </w:r>
      <w:r>
        <w:rPr>
          <w:rFonts w:ascii="华文仿宋" w:hAnsi="华文仿宋" w:eastAsia="华文仿宋"/>
          <w:sz w:val="28"/>
          <w:szCs w:val="28"/>
        </w:rPr>
        <w:t>日，财政部、国家税务总局启动在广州等</w:t>
      </w:r>
      <w:r>
        <w:rPr>
          <w:rFonts w:eastAsia="华文仿宋" w:ascii="华文仿宋" w:hAnsi="华文仿宋"/>
          <w:sz w:val="28"/>
          <w:szCs w:val="28"/>
        </w:rPr>
        <w:t>8</w:t>
      </w:r>
      <w:r>
        <w:rPr>
          <w:rFonts w:ascii="华文仿宋" w:hAnsi="华文仿宋" w:eastAsia="华文仿宋"/>
          <w:sz w:val="28"/>
          <w:szCs w:val="28"/>
        </w:rPr>
        <w:t>省市开展交通运输业和部分现代服务业营业税改增值税的试点政策，政策规定：提供有形动产租赁服务，税率为</w:t>
      </w:r>
      <w:r>
        <w:rPr>
          <w:rFonts w:eastAsia="华文仿宋" w:ascii="华文仿宋" w:hAnsi="华文仿宋"/>
          <w:sz w:val="28"/>
          <w:szCs w:val="28"/>
        </w:rPr>
        <w:t>17%</w:t>
      </w:r>
      <w:r>
        <w:rPr>
          <w:rFonts w:ascii="华文仿宋" w:hAnsi="华文仿宋" w:eastAsia="华文仿宋"/>
          <w:sz w:val="28"/>
          <w:szCs w:val="28"/>
        </w:rPr>
        <w:t>，其中包括有形动产融资租赁和有形动产经营性租赁。（融资租赁售后回租业务即包含在营改增政策内，目前，租赁公司可以就租金的利息部分开具全额增值税票。）</w:t>
      </w:r>
    </w:p>
    <w:p>
      <w:pPr>
        <w:pStyle w:val="Normal"/>
        <w:numPr>
          <w:ilvl w:val="4"/>
          <w:numId w:val="1"/>
        </w:numPr>
        <w:spacing w:lineRule="exact" w:line="480"/>
        <w:ind w:left="1145" w:hanging="720"/>
        <w:rPr>
          <w:rFonts w:ascii="华文仿宋" w:hAnsi="华文仿宋" w:eastAsia="华文仿宋"/>
          <w:b/>
          <w:b/>
          <w:sz w:val="28"/>
          <w:szCs w:val="28"/>
        </w:rPr>
      </w:pPr>
      <w:r>
        <w:rPr>
          <w:rFonts w:ascii="华文仿宋" w:hAnsi="华文仿宋" w:eastAsia="华文仿宋"/>
          <w:b/>
          <w:sz w:val="28"/>
          <w:szCs w:val="28"/>
        </w:rPr>
        <w:t>外商投资租赁公司的外债政策</w:t>
      </w:r>
    </w:p>
    <w:p>
      <w:pPr>
        <w:pStyle w:val="Normal"/>
        <w:spacing w:lineRule="exact" w:line="480" w:before="156" w:after="0"/>
        <w:ind w:firstLine="661"/>
        <w:rPr/>
      </w:pPr>
      <w:r>
        <w:rPr>
          <w:rFonts w:ascii="华文仿宋" w:hAnsi="华文仿宋" w:eastAsia="华文仿宋"/>
          <w:sz w:val="28"/>
          <w:szCs w:val="28"/>
        </w:rPr>
        <w:t>根据国家外汇管理局颁布的</w:t>
      </w:r>
      <w:r>
        <w:rPr>
          <w:rFonts w:ascii="华文仿宋" w:hAnsi="华文仿宋" w:eastAsia="华文仿宋"/>
          <w:b/>
          <w:sz w:val="28"/>
          <w:szCs w:val="28"/>
        </w:rPr>
        <w:t>汇发【</w:t>
      </w:r>
      <w:r>
        <w:rPr>
          <w:rFonts w:eastAsia="华文仿宋" w:ascii="华文仿宋" w:hAnsi="华文仿宋"/>
          <w:b/>
          <w:sz w:val="28"/>
          <w:szCs w:val="28"/>
        </w:rPr>
        <w:t>2013</w:t>
      </w:r>
      <w:r>
        <w:rPr>
          <w:rFonts w:ascii="华文仿宋" w:hAnsi="华文仿宋" w:eastAsia="华文仿宋"/>
          <w:b/>
          <w:sz w:val="28"/>
          <w:szCs w:val="28"/>
        </w:rPr>
        <w:t>】</w:t>
      </w:r>
      <w:r>
        <w:rPr>
          <w:rFonts w:eastAsia="华文仿宋" w:ascii="华文仿宋" w:hAnsi="华文仿宋"/>
          <w:b/>
          <w:sz w:val="28"/>
          <w:szCs w:val="28"/>
        </w:rPr>
        <w:t>19</w:t>
      </w:r>
      <w:r>
        <w:rPr>
          <w:rFonts w:ascii="华文仿宋" w:hAnsi="华文仿宋" w:eastAsia="华文仿宋"/>
          <w:b/>
          <w:sz w:val="28"/>
          <w:szCs w:val="28"/>
        </w:rPr>
        <w:t>号文：《</w:t>
      </w:r>
      <w:r>
        <w:rPr>
          <w:rFonts w:ascii="华文仿宋" w:hAnsi="华文仿宋" w:eastAsia="华文仿宋"/>
          <w:b/>
          <w:bCs/>
          <w:sz w:val="28"/>
          <w:szCs w:val="28"/>
        </w:rPr>
        <w:t>国家外汇管理局关于发布</w:t>
      </w:r>
      <w:r>
        <w:rPr>
          <w:rFonts w:eastAsia="华文仿宋" w:ascii="华文仿宋" w:hAnsi="华文仿宋"/>
          <w:b/>
          <w:bCs/>
          <w:sz w:val="28"/>
          <w:szCs w:val="28"/>
        </w:rPr>
        <w:t>&lt;</w:t>
      </w:r>
      <w:r>
        <w:rPr>
          <w:rFonts w:ascii="华文仿宋" w:hAnsi="华文仿宋" w:eastAsia="华文仿宋"/>
          <w:b/>
          <w:bCs/>
          <w:sz w:val="28"/>
          <w:szCs w:val="28"/>
        </w:rPr>
        <w:t>外债登记管理办法</w:t>
      </w:r>
      <w:r>
        <w:rPr>
          <w:rFonts w:eastAsia="华文仿宋" w:ascii="华文仿宋" w:hAnsi="华文仿宋"/>
          <w:b/>
          <w:bCs/>
          <w:sz w:val="28"/>
          <w:szCs w:val="28"/>
        </w:rPr>
        <w:t>&gt;</w:t>
      </w:r>
      <w:r>
        <w:rPr>
          <w:rFonts w:ascii="华文仿宋" w:hAnsi="华文仿宋" w:eastAsia="华文仿宋"/>
          <w:b/>
          <w:bCs/>
          <w:sz w:val="28"/>
          <w:szCs w:val="28"/>
        </w:rPr>
        <w:t>的通知》</w:t>
      </w:r>
      <w:r>
        <w:rPr>
          <w:rFonts w:ascii="华文仿宋" w:hAnsi="华文仿宋" w:eastAsia="华文仿宋"/>
          <w:b/>
          <w:sz w:val="28"/>
          <w:szCs w:val="28"/>
        </w:rPr>
        <w:t>》</w:t>
      </w:r>
      <w:r>
        <w:rPr>
          <w:rFonts w:ascii="华文仿宋" w:hAnsi="华文仿宋" w:eastAsia="华文仿宋"/>
          <w:sz w:val="28"/>
          <w:szCs w:val="28"/>
        </w:rPr>
        <w:t>附件一——非银行债务人办理外债签约登记的审核原则第</w:t>
      </w:r>
      <w:r>
        <w:rPr>
          <w:rFonts w:eastAsia="华文仿宋" w:ascii="华文仿宋" w:hAnsi="华文仿宋"/>
          <w:sz w:val="28"/>
          <w:szCs w:val="28"/>
        </w:rPr>
        <w:t>5</w:t>
      </w:r>
      <w:r>
        <w:rPr>
          <w:rFonts w:ascii="华文仿宋" w:hAnsi="华文仿宋" w:eastAsia="华文仿宋"/>
          <w:sz w:val="28"/>
          <w:szCs w:val="28"/>
        </w:rPr>
        <w:t>点规定“外商投资租赁公司对外借款，应根据外商投资租赁公司提供的上年度经审计的报告，计算出上年度末风险资产总额（</w:t>
      </w:r>
      <w:r>
        <w:rPr>
          <w:rFonts w:eastAsia="华文仿宋" w:ascii="华文仿宋" w:hAnsi="华文仿宋"/>
          <w:sz w:val="28"/>
          <w:szCs w:val="28"/>
        </w:rPr>
        <w:t>A</w:t>
      </w:r>
      <w:r>
        <w:rPr>
          <w:rFonts w:ascii="华文仿宋" w:hAnsi="华文仿宋" w:eastAsia="华文仿宋"/>
          <w:sz w:val="28"/>
          <w:szCs w:val="28"/>
        </w:rPr>
        <w:t>），再计算净资产的</w:t>
      </w:r>
      <w:r>
        <w:rPr>
          <w:rFonts w:eastAsia="华文仿宋" w:ascii="华文仿宋" w:hAnsi="华文仿宋"/>
          <w:sz w:val="28"/>
          <w:szCs w:val="28"/>
        </w:rPr>
        <w:t>10</w:t>
      </w:r>
      <w:r>
        <w:rPr>
          <w:rFonts w:ascii="华文仿宋" w:hAnsi="华文仿宋" w:eastAsia="华文仿宋"/>
          <w:sz w:val="28"/>
          <w:szCs w:val="28"/>
        </w:rPr>
        <w:t>倍（</w:t>
      </w:r>
      <w:r>
        <w:rPr>
          <w:rFonts w:eastAsia="华文仿宋" w:ascii="华文仿宋" w:hAnsi="华文仿宋"/>
          <w:sz w:val="28"/>
          <w:szCs w:val="28"/>
        </w:rPr>
        <w:t>B</w:t>
      </w:r>
      <w:r>
        <w:rPr>
          <w:rFonts w:ascii="华文仿宋" w:hAnsi="华文仿宋" w:eastAsia="华文仿宋"/>
          <w:sz w:val="28"/>
          <w:szCs w:val="28"/>
        </w:rPr>
        <w:t>），然后（</w:t>
      </w:r>
      <w:r>
        <w:rPr>
          <w:rFonts w:eastAsia="华文仿宋" w:ascii="华文仿宋" w:hAnsi="华文仿宋"/>
          <w:sz w:val="28"/>
          <w:szCs w:val="28"/>
        </w:rPr>
        <w:t>B-A</w:t>
      </w:r>
      <w:r>
        <w:rPr>
          <w:rFonts w:ascii="华文仿宋" w:hAnsi="华文仿宋" w:eastAsia="华文仿宋"/>
          <w:sz w:val="28"/>
          <w:szCs w:val="28"/>
        </w:rPr>
        <w:t>）作为新年度期间该公司可新借外债的余额的最高限额。借用外债形成的资产全部计算为风险资产。”</w:t>
      </w:r>
    </w:p>
    <w:p>
      <w:pPr>
        <w:pStyle w:val="Normal"/>
        <w:numPr>
          <w:ilvl w:val="0"/>
          <w:numId w:val="1"/>
        </w:numPr>
        <w:spacing w:lineRule="exact" w:line="520" w:before="156" w:after="0"/>
        <w:rPr>
          <w:rFonts w:ascii="华文仿宋" w:hAnsi="华文仿宋" w:eastAsia="华文仿宋"/>
          <w:b/>
          <w:b/>
          <w:sz w:val="28"/>
          <w:szCs w:val="28"/>
        </w:rPr>
      </w:pPr>
      <w:r>
        <w:rPr>
          <w:rFonts w:ascii="华文仿宋" w:hAnsi="华文仿宋" w:eastAsia="华文仿宋"/>
          <w:b/>
          <w:sz w:val="28"/>
          <w:szCs w:val="28"/>
        </w:rPr>
        <w:t>资金安全监控</w:t>
      </w:r>
    </w:p>
    <w:p>
      <w:pPr>
        <w:pStyle w:val="Normal"/>
        <w:spacing w:lineRule="exact" w:line="520" w:before="156" w:after="0"/>
        <w:ind w:firstLine="560"/>
        <w:rPr>
          <w:rFonts w:ascii="华文仿宋" w:hAnsi="华文仿宋" w:eastAsia="华文仿宋"/>
          <w:sz w:val="28"/>
          <w:szCs w:val="28"/>
        </w:rPr>
      </w:pPr>
      <w:r>
        <w:rPr>
          <w:rFonts w:ascii="华文仿宋" w:hAnsi="华文仿宋" w:eastAsia="华文仿宋"/>
          <w:sz w:val="28"/>
          <w:szCs w:val="28"/>
        </w:rPr>
        <w:t>在银行监管层面，境内企业、租赁、</w:t>
      </w:r>
      <w:r>
        <w:rPr>
          <w:rFonts w:ascii="华文仿宋" w:hAnsi="华文仿宋" w:cs="宋体" w:eastAsia="华文仿宋"/>
          <w:sz w:val="28"/>
          <w:szCs w:val="28"/>
        </w:rPr>
        <w:t>境外银行</w:t>
      </w:r>
      <w:r>
        <w:rPr>
          <w:rFonts w:ascii="华文仿宋" w:hAnsi="华文仿宋" w:eastAsia="华文仿宋"/>
          <w:sz w:val="28"/>
          <w:szCs w:val="28"/>
        </w:rPr>
        <w:t>及境内银行签订《账户监管协议》，约定</w:t>
      </w:r>
      <w:r>
        <w:rPr>
          <w:rFonts w:ascii="华文仿宋" w:hAnsi="华文仿宋" w:cs="宋体" w:eastAsia="华文仿宋"/>
          <w:sz w:val="28"/>
          <w:szCs w:val="28"/>
        </w:rPr>
        <w:t>境外银行</w:t>
      </w:r>
      <w:r>
        <w:rPr>
          <w:rFonts w:ascii="华文仿宋" w:hAnsi="华文仿宋" w:eastAsia="华文仿宋"/>
          <w:sz w:val="28"/>
          <w:szCs w:val="28"/>
        </w:rPr>
        <w:t>作为贷款方委托境内银行就该笔外债的放款、租金结算及还本付息进行全程全额的资金监管。租赁租赁须在境内银行开立相应的外债专户接收</w:t>
      </w:r>
      <w:r>
        <w:rPr>
          <w:rFonts w:ascii="华文仿宋" w:hAnsi="华文仿宋" w:cs="宋体" w:eastAsia="华文仿宋"/>
          <w:sz w:val="28"/>
          <w:szCs w:val="28"/>
        </w:rPr>
        <w:t>境外银行</w:t>
      </w:r>
      <w:r>
        <w:rPr>
          <w:rFonts w:ascii="华文仿宋" w:hAnsi="华文仿宋" w:eastAsia="华文仿宋"/>
          <w:sz w:val="28"/>
          <w:szCs w:val="28"/>
        </w:rPr>
        <w:t>的跨境放款，境内企业及租赁公司均要在境内银行开立相应的租金结算专户进行后续租金结算，上述账户均在境内银行进行封闭操作以确保资金安全。</w:t>
      </w:r>
    </w:p>
    <w:p>
      <w:pPr>
        <w:pStyle w:val="Normal"/>
        <w:pBdr/>
        <w:spacing w:lineRule="exact" w:line="520" w:before="156" w:after="0"/>
        <w:ind w:firstLine="560"/>
        <w:rPr/>
      </w:pPr>
      <w:r>
        <w:rPr>
          <w:rFonts w:ascii="华文仿宋" w:hAnsi="华文仿宋" w:eastAsia="华文仿宋"/>
          <w:sz w:val="28"/>
          <w:szCs w:val="28"/>
        </w:rPr>
        <w:t>在政府部门监管层面，租赁公司的外债借款、外债结汇支付及后续每笔外债还本付息的操作均需要得到国家外汇管理局的核准后，国内银行才能进行匹配操作，在整个交易过程中，租赁公司无权支配除自身收益以外的任何款项，从而保障了整个交易结构的资金安全。</w:t>
      </w:r>
    </w:p>
    <w:sectPr>
      <w:footerReference w:type="default" r:id="rId2"/>
      <w:type w:val="nextPage"/>
      <w:pgSz w:w="11906" w:h="16838"/>
      <w:pgMar w:left="1259" w:right="1106" w:header="0" w:top="851" w:footer="992" w:bottom="1049" w:gutter="0"/>
      <w:pgNumType w:fmt="decimal"/>
      <w:formProt w:val="false"/>
      <w:textDirection w:val="lrTb"/>
      <w:docGrid w:type="lines" w:linePitch="312" w:charSpace="0"/>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Times New Roman">
    <w:charset w:val="01"/>
    <w:family w:val="swiss"/>
    <w:pitch w:val="default"/>
  </w:font>
  <w:font w:name="华文仿宋">
    <w:charset w:val="01"/>
    <w:family w:val="swiss"/>
    <w:pitch w:val="default"/>
  </w:font>
  <w:font w:name="Georgia">
    <w:charset w:val="01"/>
    <w:family w:val="roman"/>
    <w:pitch w:val="default"/>
  </w:font>
  <w:font w:name="Calibri">
    <w:charset w:val="01"/>
    <w:family w:val="swiss"/>
    <w:pitch w:val="default"/>
  </w:font>
  <w:font w:name="宋体">
    <w:charset w:val="01"/>
    <w:family w:val="swiss"/>
    <w:pitch w:val="default"/>
  </w:font>
</w:fonts>
</file>

<file path=word/footer1.xml><?xml version="1.0" encoding="utf-8"?>
<w:ftr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mc:Ignorable="w14 wp14">
  <w:p>
    <w:pPr>
      <w:pStyle w:val="Style17"/>
      <w:jc w:val="center"/>
      <w:rPr/>
    </w:pPr>
    <w:r>
      <w:rPr/>
    </w:r>
  </w:p>
</w:ftr>
</file>

<file path=word/numbering.xml><?xml version="1.0" encoding="utf-8"?>
<w:numbering xmlns:w="http://schemas.openxmlformats.org/wordprocessingml/2006/main" xmlns:o="urn:schemas-microsoft-com:office:office" xmlns:r="http://schemas.openxmlformats.org/officeDocument/2006/relationships" xmlns:v="urn:schemas-microsoft-com:vml">
  <w:abstractNum w:abstractNumId="1">
    <w:lvl w:ilvl="0">
      <w:start w:val="1"/>
      <w:numFmt w:val="taiwaneseCountingThousand"/>
      <w:lvlText w:val="%1、"/>
      <w:lvlJc w:val="left"/>
      <w:pPr>
        <w:tabs>
          <w:tab w:val="num" w:pos="720"/>
        </w:tabs>
        <w:ind w:left="720" w:hanging="720"/>
      </w:pPr>
    </w:lvl>
    <w:lvl w:ilvl="1">
      <w:start w:val="1"/>
      <w:numFmt w:val="decimal"/>
      <w:lvlText w:val="%2."/>
      <w:lvlJc w:val="left"/>
      <w:pPr>
        <w:tabs>
          <w:tab w:val="num" w:pos="780"/>
        </w:tabs>
        <w:ind w:left="780" w:hanging="360"/>
      </w:pPr>
    </w:lvl>
    <w:lvl w:ilvl="2">
      <w:start w:val="1"/>
      <w:numFmt w:val="decimal"/>
      <w:lvlText w:val="%3．"/>
      <w:lvlJc w:val="left"/>
      <w:pPr>
        <w:tabs>
          <w:tab w:val="num" w:pos="1080"/>
        </w:tabs>
        <w:ind w:left="1080" w:hanging="360"/>
      </w:pPr>
      <w:rPr>
        <w:sz w:val="24"/>
        <w:color w:val="00000A"/>
      </w:rPr>
    </w:lvl>
    <w:lvl w:ilvl="3">
      <w:start w:val="1"/>
      <w:numFmt w:val="decimal"/>
      <w:lvlText w:val="%4."/>
      <w:lvlJc w:val="left"/>
      <w:pPr>
        <w:tabs>
          <w:tab w:val="num" w:pos="1680"/>
        </w:tabs>
        <w:ind w:left="1680" w:hanging="420"/>
      </w:pPr>
    </w:lvl>
    <w:lvl w:ilvl="4">
      <w:start w:val="1"/>
      <w:numFmt w:val="decimal"/>
      <w:lvlText w:val="%5、"/>
      <w:lvlJc w:val="left"/>
      <w:pPr>
        <w:tabs>
          <w:tab w:val="num" w:pos="1146"/>
        </w:tabs>
        <w:ind w:left="1146" w:hanging="720"/>
      </w:pPr>
      <w:rPr>
        <w:sz w:val="28"/>
        <w:b/>
        <w:rFonts w:ascii="华文仿宋" w:hAnsi="华文仿宋"/>
      </w:rPr>
    </w:lvl>
    <w:lvl w:ilvl="5">
      <w:start w:val="4"/>
      <w:numFmt w:val="decimal"/>
      <w:lvlText w:val="%6】"/>
      <w:lvlJc w:val="left"/>
      <w:pPr>
        <w:tabs>
          <w:tab w:val="num" w:pos="2460"/>
        </w:tabs>
        <w:ind w:left="2460" w:hanging="360"/>
      </w:pPr>
      <w:rPr>
        <w:b/>
      </w:rPr>
    </w:lvl>
    <w:lvl w:ilvl="6">
      <w:start w:val="1"/>
      <w:numFmt w:val="decimalFullWidth"/>
      <w:lvlText w:val="%7、"/>
      <w:lvlJc w:val="left"/>
      <w:pPr>
        <w:ind w:left="3030" w:hanging="510"/>
      </w:pPr>
      <w:rPr>
        <w:b/>
      </w:rPr>
    </w:lvl>
    <w:lvl w:ilvl="7">
      <w:start w:val="1"/>
      <w:numFmt w:val="lowerLetter"/>
      <w:lvlText w:val="%8)"/>
      <w:lvlJc w:val="left"/>
      <w:pPr>
        <w:tabs>
          <w:tab w:val="num" w:pos="3360"/>
        </w:tabs>
        <w:ind w:left="3360" w:hanging="420"/>
      </w:pPr>
    </w:lvl>
    <w:lvl w:ilvl="8">
      <w:start w:val="1"/>
      <w:numFmt w:val="lowerRoman"/>
      <w:lvlText w:val="%9."/>
      <w:lvlJc w:val="right"/>
      <w:pPr>
        <w:tabs>
          <w:tab w:val="num" w:pos="3780"/>
        </w:tabs>
        <w:ind w:left="3780" w:hanging="420"/>
      </w:pPr>
    </w:lvl>
  </w:abstractNum>
  <w:abstractNum w:abstractNumId="2">
    <w:lvl w:ilvl="0">
      <w:start w:val="1"/>
      <w:numFmt w:val="decimal"/>
      <w:lvlText w:val="%1)"/>
      <w:lvlJc w:val="left"/>
      <w:pPr>
        <w:tabs>
          <w:tab w:val="num" w:pos="795"/>
        </w:tabs>
        <w:ind w:left="795" w:hanging="375"/>
      </w:pPr>
      <w:rPr>
        <w:sz w:val="28"/>
        <w:b w:val="false"/>
        <w:rFonts w:ascii="华文仿宋" w:hAnsi="华文仿宋"/>
      </w:rPr>
    </w:lvl>
    <w:lvl w:ilvl="1">
      <w:start w:val="1"/>
      <w:numFmt w:val="lowerLetter"/>
      <w:lvlText w:val="%2)"/>
      <w:lvlJc w:val="left"/>
      <w:pPr>
        <w:tabs>
          <w:tab w:val="num" w:pos="1260"/>
        </w:tabs>
        <w:ind w:left="1260" w:hanging="420"/>
      </w:pPr>
    </w:lvl>
    <w:lvl w:ilvl="2">
      <w:start w:val="1"/>
      <w:numFmt w:val="lowerRoman"/>
      <w:lvlText w:val="%3."/>
      <w:lvlJc w:val="right"/>
      <w:pPr>
        <w:tabs>
          <w:tab w:val="num" w:pos="1680"/>
        </w:tabs>
        <w:ind w:left="1680" w:hanging="420"/>
      </w:pPr>
    </w:lvl>
    <w:lvl w:ilvl="3">
      <w:start w:val="1"/>
      <w:numFmt w:val="decimal"/>
      <w:lvlText w:val="%4."/>
      <w:lvlJc w:val="left"/>
      <w:pPr>
        <w:tabs>
          <w:tab w:val="num" w:pos="2100"/>
        </w:tabs>
        <w:ind w:left="2100" w:hanging="420"/>
      </w:pPr>
    </w:lvl>
    <w:lvl w:ilvl="4">
      <w:start w:val="1"/>
      <w:numFmt w:val="lowerLetter"/>
      <w:lvlText w:val="%5)"/>
      <w:lvlJc w:val="left"/>
      <w:pPr>
        <w:tabs>
          <w:tab w:val="num" w:pos="2520"/>
        </w:tabs>
        <w:ind w:left="2520" w:hanging="420"/>
      </w:pPr>
    </w:lvl>
    <w:lvl w:ilvl="5">
      <w:start w:val="1"/>
      <w:numFmt w:val="lowerRoman"/>
      <w:lvlText w:val="%6."/>
      <w:lvlJc w:val="right"/>
      <w:pPr>
        <w:tabs>
          <w:tab w:val="num" w:pos="2940"/>
        </w:tabs>
        <w:ind w:left="2940" w:hanging="420"/>
      </w:pPr>
    </w:lvl>
    <w:lvl w:ilvl="6">
      <w:start w:val="1"/>
      <w:numFmt w:val="decimal"/>
      <w:lvlText w:val="%7."/>
      <w:lvlJc w:val="left"/>
      <w:pPr>
        <w:tabs>
          <w:tab w:val="num" w:pos="3360"/>
        </w:tabs>
        <w:ind w:left="3360" w:hanging="420"/>
      </w:pPr>
    </w:lvl>
    <w:lvl w:ilvl="7">
      <w:start w:val="1"/>
      <w:numFmt w:val="lowerLetter"/>
      <w:lvlText w:val="%8)"/>
      <w:lvlJc w:val="left"/>
      <w:pPr>
        <w:tabs>
          <w:tab w:val="num" w:pos="3780"/>
        </w:tabs>
        <w:ind w:left="3780" w:hanging="420"/>
      </w:pPr>
    </w:lvl>
    <w:lvl w:ilvl="8">
      <w:start w:val="1"/>
      <w:numFmt w:val="lowerRoman"/>
      <w:lvlText w:val="%9."/>
      <w:lvlJc w:val="right"/>
      <w:pPr>
        <w:tabs>
          <w:tab w:val="num" w:pos="4200"/>
        </w:tabs>
        <w:ind w:left="4200" w:hanging="420"/>
      </w:pPr>
    </w:lvl>
  </w:abstractNum>
  <w:abstractNum w:abstractNumId="3">
    <w:lvl w:ilvl="0">
      <w:start w:val="1"/>
      <w:numFmt w:val="decimal"/>
      <w:lvlText w:val="%1)"/>
      <w:lvlJc w:val="left"/>
      <w:pPr>
        <w:tabs>
          <w:tab w:val="num" w:pos="795"/>
        </w:tabs>
        <w:ind w:left="795" w:hanging="375"/>
      </w:pPr>
      <w:rPr>
        <w:sz w:val="28"/>
        <w:b w:val="false"/>
        <w:rFonts w:ascii="华文仿宋" w:hAnsi="华文仿宋"/>
      </w:rPr>
    </w:lvl>
    <w:lvl w:ilvl="1">
      <w:start w:val="1"/>
      <w:numFmt w:val="lowerLetter"/>
      <w:lvlText w:val="%2)"/>
      <w:lvlJc w:val="left"/>
      <w:pPr>
        <w:tabs>
          <w:tab w:val="num" w:pos="1260"/>
        </w:tabs>
        <w:ind w:left="1260" w:hanging="420"/>
      </w:pPr>
    </w:lvl>
    <w:lvl w:ilvl="2">
      <w:start w:val="1"/>
      <w:numFmt w:val="lowerRoman"/>
      <w:lvlText w:val="%3."/>
      <w:lvlJc w:val="right"/>
      <w:pPr>
        <w:tabs>
          <w:tab w:val="num" w:pos="1680"/>
        </w:tabs>
        <w:ind w:left="1680" w:hanging="420"/>
      </w:pPr>
    </w:lvl>
    <w:lvl w:ilvl="3">
      <w:start w:val="1"/>
      <w:numFmt w:val="decimal"/>
      <w:lvlText w:val="%4."/>
      <w:lvlJc w:val="left"/>
      <w:pPr>
        <w:tabs>
          <w:tab w:val="num" w:pos="2100"/>
        </w:tabs>
        <w:ind w:left="2100" w:hanging="420"/>
      </w:pPr>
    </w:lvl>
    <w:lvl w:ilvl="4">
      <w:start w:val="1"/>
      <w:numFmt w:val="lowerLetter"/>
      <w:lvlText w:val="%5)"/>
      <w:lvlJc w:val="left"/>
      <w:pPr>
        <w:tabs>
          <w:tab w:val="num" w:pos="2520"/>
        </w:tabs>
        <w:ind w:left="2520" w:hanging="420"/>
      </w:pPr>
    </w:lvl>
    <w:lvl w:ilvl="5">
      <w:start w:val="1"/>
      <w:numFmt w:val="lowerRoman"/>
      <w:lvlText w:val="%6."/>
      <w:lvlJc w:val="right"/>
      <w:pPr>
        <w:tabs>
          <w:tab w:val="num" w:pos="2940"/>
        </w:tabs>
        <w:ind w:left="2940" w:hanging="420"/>
      </w:pPr>
    </w:lvl>
    <w:lvl w:ilvl="6">
      <w:start w:val="1"/>
      <w:numFmt w:val="decimal"/>
      <w:lvlText w:val="%7."/>
      <w:lvlJc w:val="left"/>
      <w:pPr>
        <w:tabs>
          <w:tab w:val="num" w:pos="3360"/>
        </w:tabs>
        <w:ind w:left="3360" w:hanging="420"/>
      </w:pPr>
    </w:lvl>
    <w:lvl w:ilvl="7">
      <w:start w:val="1"/>
      <w:numFmt w:val="lowerLetter"/>
      <w:lvlText w:val="%8)"/>
      <w:lvlJc w:val="left"/>
      <w:pPr>
        <w:tabs>
          <w:tab w:val="num" w:pos="3780"/>
        </w:tabs>
        <w:ind w:left="3780" w:hanging="420"/>
      </w:pPr>
    </w:lvl>
    <w:lvl w:ilvl="8">
      <w:start w:val="1"/>
      <w:numFmt w:val="lowerRoman"/>
      <w:lvlText w:val="%9."/>
      <w:lvlJc w:val="right"/>
      <w:pPr>
        <w:tabs>
          <w:tab w:val="num" w:pos="4200"/>
        </w:tabs>
        <w:ind w:left="4200" w:hanging="420"/>
      </w:pPr>
    </w:lvl>
  </w:abstractNum>
  <w:abstractNum w:abstractNumId="4">
    <w:lvl w:ilvl="0">
      <w:start w:val="1"/>
      <w:numFmt w:val="decimal"/>
      <w:lvlText w:val="%1)"/>
      <w:lvlJc w:val="left"/>
      <w:pPr>
        <w:tabs>
          <w:tab w:val="num" w:pos="846"/>
        </w:tabs>
        <w:ind w:left="846" w:hanging="420"/>
      </w:pPr>
    </w:lvl>
    <w:lvl w:ilvl="1">
      <w:start w:val="1"/>
      <w:numFmt w:val="lowerLetter"/>
      <w:lvlText w:val="%2)"/>
      <w:lvlJc w:val="left"/>
      <w:pPr>
        <w:tabs>
          <w:tab w:val="num" w:pos="1266"/>
        </w:tabs>
        <w:ind w:left="1266" w:hanging="420"/>
      </w:pPr>
    </w:lvl>
    <w:lvl w:ilvl="2">
      <w:start w:val="1"/>
      <w:numFmt w:val="lowerRoman"/>
      <w:lvlText w:val="%3."/>
      <w:lvlJc w:val="right"/>
      <w:pPr>
        <w:tabs>
          <w:tab w:val="num" w:pos="1686"/>
        </w:tabs>
        <w:ind w:left="1686" w:hanging="420"/>
      </w:pPr>
    </w:lvl>
    <w:lvl w:ilvl="3">
      <w:start w:val="1"/>
      <w:numFmt w:val="decimal"/>
      <w:lvlText w:val="%4."/>
      <w:lvlJc w:val="left"/>
      <w:pPr>
        <w:tabs>
          <w:tab w:val="num" w:pos="2106"/>
        </w:tabs>
        <w:ind w:left="2106" w:hanging="420"/>
      </w:pPr>
    </w:lvl>
    <w:lvl w:ilvl="4">
      <w:start w:val="1"/>
      <w:numFmt w:val="lowerLetter"/>
      <w:lvlText w:val="%5)"/>
      <w:lvlJc w:val="left"/>
      <w:pPr>
        <w:tabs>
          <w:tab w:val="num" w:pos="2526"/>
        </w:tabs>
        <w:ind w:left="2526" w:hanging="420"/>
      </w:pPr>
    </w:lvl>
    <w:lvl w:ilvl="5">
      <w:start w:val="1"/>
      <w:numFmt w:val="lowerRoman"/>
      <w:lvlText w:val="%6."/>
      <w:lvlJc w:val="right"/>
      <w:pPr>
        <w:tabs>
          <w:tab w:val="num" w:pos="2946"/>
        </w:tabs>
        <w:ind w:left="2946" w:hanging="420"/>
      </w:pPr>
    </w:lvl>
    <w:lvl w:ilvl="6">
      <w:start w:val="1"/>
      <w:numFmt w:val="decimal"/>
      <w:lvlText w:val="%7."/>
      <w:lvlJc w:val="left"/>
      <w:pPr>
        <w:tabs>
          <w:tab w:val="num" w:pos="3366"/>
        </w:tabs>
        <w:ind w:left="3366" w:hanging="420"/>
      </w:pPr>
    </w:lvl>
    <w:lvl w:ilvl="7">
      <w:start w:val="1"/>
      <w:numFmt w:val="lowerLetter"/>
      <w:lvlText w:val="%8)"/>
      <w:lvlJc w:val="left"/>
      <w:pPr>
        <w:tabs>
          <w:tab w:val="num" w:pos="3786"/>
        </w:tabs>
        <w:ind w:left="3786" w:hanging="420"/>
      </w:pPr>
    </w:lvl>
    <w:lvl w:ilvl="8">
      <w:start w:val="1"/>
      <w:numFmt w:val="lowerRoman"/>
      <w:lvlText w:val="%9."/>
      <w:lvlJc w:val="right"/>
      <w:pPr>
        <w:tabs>
          <w:tab w:val="num" w:pos="4206"/>
        </w:tabs>
        <w:ind w:left="4206" w:hanging="420"/>
      </w:pPr>
    </w:lvl>
  </w:abstractNum>
  <w:abstractNum w:abstractNumId="5">
    <w:lvl w:ilvl="0">
      <w:start w:val="1"/>
      <w:numFmt w:val="decimal"/>
      <w:lvlText w:val="%1)"/>
      <w:lvlJc w:val="left"/>
      <w:pPr>
        <w:tabs>
          <w:tab w:val="num" w:pos="846"/>
        </w:tabs>
        <w:ind w:left="846" w:hanging="420"/>
      </w:pPr>
    </w:lvl>
    <w:lvl w:ilvl="1">
      <w:start w:val="1"/>
      <w:numFmt w:val="lowerLetter"/>
      <w:lvlText w:val="%2)"/>
      <w:lvlJc w:val="left"/>
      <w:pPr>
        <w:tabs>
          <w:tab w:val="num" w:pos="840"/>
        </w:tabs>
        <w:ind w:left="840" w:hanging="420"/>
      </w:pPr>
    </w:lvl>
    <w:lvl w:ilvl="2">
      <w:start w:val="1"/>
      <w:numFmt w:val="lowerRoman"/>
      <w:lvlText w:val="%3."/>
      <w:lvlJc w:val="right"/>
      <w:pPr>
        <w:tabs>
          <w:tab w:val="num" w:pos="1260"/>
        </w:tabs>
        <w:ind w:left="1260" w:hanging="420"/>
      </w:pPr>
    </w:lvl>
    <w:lvl w:ilvl="3">
      <w:start w:val="1"/>
      <w:numFmt w:val="decimal"/>
      <w:lvlText w:val="%4."/>
      <w:lvlJc w:val="left"/>
      <w:pPr>
        <w:tabs>
          <w:tab w:val="num" w:pos="1680"/>
        </w:tabs>
        <w:ind w:left="1680" w:hanging="420"/>
      </w:pPr>
    </w:lvl>
    <w:lvl w:ilvl="4">
      <w:start w:val="1"/>
      <w:numFmt w:val="lowerLetter"/>
      <w:lvlText w:val="%5)"/>
      <w:lvlJc w:val="left"/>
      <w:pPr>
        <w:tabs>
          <w:tab w:val="num" w:pos="2100"/>
        </w:tabs>
        <w:ind w:left="2100" w:hanging="420"/>
      </w:pPr>
    </w:lvl>
    <w:lvl w:ilvl="5">
      <w:start w:val="1"/>
      <w:numFmt w:val="lowerRoman"/>
      <w:lvlText w:val="%6."/>
      <w:lvlJc w:val="right"/>
      <w:pPr>
        <w:tabs>
          <w:tab w:val="num" w:pos="2520"/>
        </w:tabs>
        <w:ind w:left="2520" w:hanging="420"/>
      </w:pPr>
    </w:lvl>
    <w:lvl w:ilvl="6">
      <w:start w:val="1"/>
      <w:numFmt w:val="decimal"/>
      <w:lvlText w:val="%7."/>
      <w:lvlJc w:val="left"/>
      <w:pPr>
        <w:tabs>
          <w:tab w:val="num" w:pos="2940"/>
        </w:tabs>
        <w:ind w:left="2940" w:hanging="420"/>
      </w:pPr>
    </w:lvl>
    <w:lvl w:ilvl="7">
      <w:start w:val="1"/>
      <w:numFmt w:val="lowerLetter"/>
      <w:lvlText w:val="%8)"/>
      <w:lvlJc w:val="left"/>
      <w:pPr>
        <w:tabs>
          <w:tab w:val="num" w:pos="3360"/>
        </w:tabs>
        <w:ind w:left="3360" w:hanging="420"/>
      </w:pPr>
    </w:lvl>
    <w:lvl w:ilvl="8">
      <w:start w:val="1"/>
      <w:numFmt w:val="lowerRoman"/>
      <w:lvlText w:val="%9."/>
      <w:lvlJc w:val="right"/>
      <w:pPr>
        <w:tabs>
          <w:tab w:val="num" w:pos="3780"/>
        </w:tabs>
        <w:ind w:left="3780" w:hanging="420"/>
      </w:pPr>
    </w:lvl>
  </w:abstractNum>
  <w:abstractNum w:abstractNumId="6">
    <w:lvl w:ilvl="0">
      <w:start w:val="1"/>
      <w:numFmt w:val="none"/>
      <w:suff w:val="nothing"/>
      <w:lvlText w:val=""/>
      <w:lvlJc w:val="left"/>
      <w:pPr>
        <w:tabs>
          <w:tab w:val="num" w:pos="432"/>
        </w:tabs>
        <w:ind w:left="432" w:hanging="432"/>
      </w:pPr>
    </w:lvl>
    <w:lvl w:ilvl="1">
      <w:start w:val="1"/>
      <w:numFmt w:val="none"/>
      <w:suff w:val="nothing"/>
      <w:lvlText w:val=""/>
      <w:lvlJc w:val="left"/>
      <w:pPr>
        <w:tabs>
          <w:tab w:val="num" w:pos="576"/>
        </w:tabs>
        <w:ind w:left="576" w:hanging="576"/>
      </w:pPr>
    </w:lvl>
    <w:lvl w:ilvl="2">
      <w:start w:val="1"/>
      <w:numFmt w:val="none"/>
      <w:suff w:val="nothing"/>
      <w:lvlText w:val=""/>
      <w:lvlJc w:val="left"/>
      <w:pPr>
        <w:tabs>
          <w:tab w:val="num" w:pos="720"/>
        </w:tabs>
        <w:ind w:left="720" w:hanging="720"/>
      </w:pPr>
    </w:lvl>
    <w:lvl w:ilvl="3">
      <w:start w:val="1"/>
      <w:numFmt w:val="none"/>
      <w:suff w:val="nothing"/>
      <w:lvlText w:val=""/>
      <w:lvlJc w:val="left"/>
      <w:pPr>
        <w:tabs>
          <w:tab w:val="num" w:pos="864"/>
        </w:tabs>
        <w:ind w:left="864" w:hanging="864"/>
      </w:pPr>
    </w:lvl>
    <w:lvl w:ilvl="4">
      <w:start w:val="1"/>
      <w:numFmt w:val="none"/>
      <w:suff w:val="nothing"/>
      <w:lvlText w:val=""/>
      <w:lvlJc w:val="left"/>
      <w:pPr>
        <w:tabs>
          <w:tab w:val="num" w:pos="1008"/>
        </w:tabs>
        <w:ind w:left="1008" w:hanging="1008"/>
      </w:pPr>
    </w:lvl>
    <w:lvl w:ilvl="5">
      <w:start w:val="1"/>
      <w:numFmt w:val="none"/>
      <w:suff w:val="nothing"/>
      <w:lvlText w:val=""/>
      <w:lvlJc w:val="left"/>
      <w:pPr>
        <w:tabs>
          <w:tab w:val="num" w:pos="1152"/>
        </w:tabs>
        <w:ind w:left="1152" w:hanging="1152"/>
      </w:pPr>
    </w:lvl>
    <w:lvl w:ilvl="6">
      <w:start w:val="1"/>
      <w:numFmt w:val="none"/>
      <w:suff w:val="nothing"/>
      <w:lvlText w:val=""/>
      <w:lvlJc w:val="left"/>
      <w:pPr>
        <w:tabs>
          <w:tab w:val="num" w:pos="1296"/>
        </w:tabs>
        <w:ind w:left="1296" w:hanging="1296"/>
      </w:pPr>
    </w:lvl>
    <w:lvl w:ilvl="7">
      <w:start w:val="1"/>
      <w:numFmt w:val="none"/>
      <w:suff w:val="nothing"/>
      <w:lvlText w:val=""/>
      <w:lvlJc w:val="left"/>
      <w:pPr>
        <w:tabs>
          <w:tab w:val="num" w:pos="1440"/>
        </w:tabs>
        <w:ind w:left="1440" w:hanging="1440"/>
      </w:pPr>
    </w:lvl>
    <w:lvl w:ilvl="8">
      <w:start w:val="1"/>
      <w:numFmt w:val="none"/>
      <w:suff w:val="nothing"/>
      <w:lvlText w:val=""/>
      <w:lvlJc w:val="left"/>
      <w:pPr>
        <w:tabs>
          <w:tab w:val="num" w:pos="1584"/>
        </w:tabs>
        <w:ind w:left="1584" w:hanging="1584"/>
      </w:pPr>
    </w:lvl>
  </w:abstractNum>
  <w:num w:numId="1">
    <w:abstractNumId w:val="1"/>
  </w:num>
  <w:num w:numId="2">
    <w:abstractNumId w:val="2"/>
  </w:num>
  <w:num w:numId="3">
    <w:abstractNumId w:val="3"/>
  </w:num>
  <w:num w:numId="4">
    <w:abstractNumId w:val="4"/>
  </w:num>
  <w:num w:numId="5">
    <w:abstractNumId w:val="5"/>
  </w:num>
  <w:num w:numId="6">
    <w:abstractNumId w:val="6"/>
  </w:num>
</w:numbering>
</file>

<file path=word/settings.xml><?xml version="1.0" encoding="utf-8"?>
<w:settings xmlns:w="http://schemas.openxmlformats.org/wordprocessingml/2006/main">
  <w:zoom w:percent="100"/>
  <w:defaultTabStop w:val="420"/>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themeFontLang w:val="en-US" w:eastAsia="zh-CN" w:bidi=""/>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Times New Roman" w:hAnsi="Times New Roman" w:eastAsia="宋体" w:cs="Times New Roman"/>
        <w:lang w:val="en-US" w:eastAsia="zh-CN" w:bidi="ar-SA"/>
      </w:rPr>
    </w:rPrDefault>
    <w:pPrDefault>
      <w:pPr/>
    </w:pPrDefault>
  </w:docDefaults>
  <w:latentStyles w:defLockedState="0" w:defUIPriority="0" w:defSemiHidden="0" w:defUnhideWhenUsed="0" w:defQFormat="0" w:count="371">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caption" w:semiHidden="1" w:unhideWhenUsed="1" w:qFormat="1"/>
    <w:lsdException w:name="Title" w:qFormat="1"/>
    <w:lsdException w:name="Subtitle" w:qFormat="1"/>
    <w:lsdException w:name="Strong" w:qFormat="1"/>
    <w:lsdException w:name="Emphasis" w:qFormat="1"/>
    <w:lsdException w:name="Normal Table"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Table Theme" w:semiHidden="1" w:unhideWhenUsed="1"/>
    <w:lsdException w:name="Placeholder Text" w:uiPriority="99"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uiPriority="99"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uiPriority="37" w:semiHidden="1" w:unhideWhenUsed="1"/>
    <w:lsdException w:name="TOC Heading" w:uiPriority="39" w:semiHidden="1"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styleId="Normal" w:default="1">
    <w:name w:val="Normal"/>
    <w:qFormat/>
    <w:pPr>
      <w:widowControl w:val="false"/>
      <w:bidi w:val="0"/>
      <w:jc w:val="both"/>
    </w:pPr>
    <w:rPr>
      <w:rFonts w:ascii="Times New Roman" w:hAnsi="Times New Roman" w:eastAsia="宋体" w:cs="Times New Roman"/>
      <w:color w:val="auto"/>
      <w:sz w:val="21"/>
      <w:szCs w:val="24"/>
      <w:lang w:val="en-US" w:eastAsia="zh-CN" w:bidi="ar-SA"/>
    </w:rPr>
  </w:style>
  <w:style w:type="paragraph" w:styleId="1">
    <w:name w:val="标题 1"/>
    <w:basedOn w:val="Style11"/>
    <w:pPr/>
    <w:rPr/>
  </w:style>
  <w:style w:type="paragraph" w:styleId="2">
    <w:name w:val="标题 2"/>
    <w:basedOn w:val="Style11"/>
    <w:pPr/>
    <w:rPr/>
  </w:style>
  <w:style w:type="paragraph" w:styleId="3">
    <w:name w:val="标题 3"/>
    <w:basedOn w:val="Style11"/>
    <w:pPr/>
    <w:rPr/>
  </w:style>
  <w:style w:type="character" w:styleId="DefaultParagraphFont" w:default="1">
    <w:name w:val="Default Paragraph Font"/>
    <w:uiPriority w:val="1"/>
    <w:semiHidden/>
    <w:unhideWhenUsed/>
    <w:qFormat/>
    <w:rPr/>
  </w:style>
  <w:style w:type="character" w:styleId="Font141" w:customStyle="1">
    <w:name w:val="font141"/>
    <w:qFormat/>
    <w:rPr>
      <w:sz w:val="21"/>
      <w:szCs w:val="21"/>
    </w:rPr>
  </w:style>
  <w:style w:type="character" w:styleId="Pagenumber">
    <w:name w:val="page number"/>
    <w:basedOn w:val="DefaultParagraphFont"/>
    <w:qFormat/>
    <w:rPr/>
  </w:style>
  <w:style w:type="character" w:styleId="Strong">
    <w:name w:val="Strong"/>
    <w:qFormat/>
    <w:rPr>
      <w:b/>
      <w:bCs/>
    </w:rPr>
  </w:style>
  <w:style w:type="character" w:styleId="Internet">
    <w:name w:val="Internet 链接"/>
    <w:rPr>
      <w:color w:val="0000FF"/>
      <w:u w:val="single"/>
    </w:rPr>
  </w:style>
  <w:style w:type="character" w:styleId="ListLabel1">
    <w:name w:val="ListLabel 1"/>
    <w:qFormat/>
    <w:rPr>
      <w:color w:val="00000A"/>
      <w:sz w:val="24"/>
    </w:rPr>
  </w:style>
  <w:style w:type="character" w:styleId="ListLabel2">
    <w:name w:val="ListLabel 2"/>
    <w:qFormat/>
    <w:rPr>
      <w:rFonts w:ascii="华文仿宋" w:hAnsi="华文仿宋"/>
      <w:b/>
      <w:sz w:val="28"/>
    </w:rPr>
  </w:style>
  <w:style w:type="character" w:styleId="ListLabel3">
    <w:name w:val="ListLabel 3"/>
    <w:qFormat/>
    <w:rPr>
      <w:b/>
    </w:rPr>
  </w:style>
  <w:style w:type="character" w:styleId="ListLabel4">
    <w:name w:val="ListLabel 4"/>
    <w:qFormat/>
    <w:rPr>
      <w:rFonts w:ascii="华文仿宋" w:hAnsi="华文仿宋"/>
      <w:b w:val="false"/>
      <w:sz w:val="28"/>
    </w:rPr>
  </w:style>
  <w:style w:type="paragraph" w:styleId="Style11">
    <w:name w:val="标题"/>
    <w:basedOn w:val="Normal"/>
    <w:next w:val="Style12"/>
    <w:qFormat/>
    <w:pPr>
      <w:keepNext/>
      <w:spacing w:before="240" w:after="120"/>
    </w:pPr>
    <w:rPr>
      <w:rFonts w:ascii="Georgia" w:hAnsi="Georgia" w:eastAsia="Microsoft YaHei" w:cs="Lucida Sans"/>
      <w:sz w:val="28"/>
      <w:szCs w:val="28"/>
    </w:rPr>
  </w:style>
  <w:style w:type="paragraph" w:styleId="Style12">
    <w:name w:val="正文"/>
    <w:basedOn w:val="Normal"/>
    <w:pPr>
      <w:spacing w:lineRule="auto" w:line="288" w:before="0" w:after="140"/>
    </w:pPr>
    <w:rPr/>
  </w:style>
  <w:style w:type="paragraph" w:styleId="Style13">
    <w:name w:val="列表"/>
    <w:basedOn w:val="Style12"/>
    <w:pPr/>
    <w:rPr>
      <w:rFonts w:ascii="Calibri" w:hAnsi="Calibri" w:eastAsia="宋体" w:cs="Lucida Sans"/>
    </w:rPr>
  </w:style>
  <w:style w:type="paragraph" w:styleId="Style14">
    <w:name w:val="题注"/>
    <w:basedOn w:val="Normal"/>
    <w:pPr>
      <w:suppressLineNumbers/>
      <w:spacing w:before="120" w:after="120"/>
    </w:pPr>
    <w:rPr>
      <w:rFonts w:ascii="Calibri" w:hAnsi="Calibri" w:eastAsia="宋体" w:cs="Lucida Sans"/>
      <w:i/>
      <w:iCs/>
      <w:sz w:val="24"/>
      <w:szCs w:val="24"/>
    </w:rPr>
  </w:style>
  <w:style w:type="paragraph" w:styleId="Style15">
    <w:name w:val="索引"/>
    <w:basedOn w:val="Normal"/>
    <w:qFormat/>
    <w:pPr>
      <w:suppressLineNumbers/>
    </w:pPr>
    <w:rPr>
      <w:rFonts w:ascii="Calibri" w:hAnsi="Calibri" w:eastAsia="宋体" w:cs="Lucida Sans"/>
    </w:rPr>
  </w:style>
  <w:style w:type="paragraph" w:styleId="Style16">
    <w:name w:val="页眉"/>
    <w:basedOn w:val="Normal"/>
    <w:pPr>
      <w:pBdr>
        <w:bottom w:val="single" w:sz="6" w:space="1" w:color="00000A"/>
      </w:pBdr>
      <w:tabs>
        <w:tab w:val="center" w:pos="4153" w:leader="none"/>
        <w:tab w:val="right" w:pos="8306" w:leader="none"/>
      </w:tabs>
      <w:snapToGrid w:val="false"/>
      <w:jc w:val="center"/>
    </w:pPr>
    <w:rPr>
      <w:sz w:val="18"/>
      <w:szCs w:val="18"/>
    </w:rPr>
  </w:style>
  <w:style w:type="paragraph" w:styleId="Revision">
    <w:name w:val="Revision"/>
    <w:qFormat/>
    <w:pPr>
      <w:widowControl/>
      <w:bidi w:val="0"/>
      <w:jc w:val="left"/>
    </w:pPr>
    <w:rPr>
      <w:rFonts w:ascii="Times New Roman" w:hAnsi="Times New Roman" w:eastAsia="宋体" w:cs="Times New Roman"/>
      <w:color w:val="auto"/>
      <w:sz w:val="21"/>
      <w:szCs w:val="24"/>
      <w:lang w:val="en-US" w:eastAsia="zh-CN" w:bidi="ar-SA"/>
    </w:rPr>
  </w:style>
  <w:style w:type="paragraph" w:styleId="105v" w:customStyle="1">
    <w:name w:val="105v"/>
    <w:basedOn w:val="Normal"/>
    <w:qFormat/>
    <w:pPr>
      <w:widowControl/>
      <w:spacing w:beforeAutospacing="1" w:afterAutospacing="1"/>
      <w:jc w:val="left"/>
    </w:pPr>
    <w:rPr>
      <w:rFonts w:ascii="宋体" w:hAnsi="宋体"/>
      <w:szCs w:val="21"/>
    </w:rPr>
  </w:style>
  <w:style w:type="paragraph" w:styleId="ParaChar" w:customStyle="1">
    <w:name w:val="默认段落字体 Para Char"/>
    <w:basedOn w:val="Normal"/>
    <w:qFormat/>
    <w:pPr>
      <w:spacing w:lineRule="auto" w:line="360"/>
      <w:ind w:firstLine="200"/>
    </w:pPr>
    <w:rPr>
      <w:rFonts w:ascii="宋体" w:hAnsi="宋体" w:cs="宋体"/>
      <w:sz w:val="24"/>
    </w:rPr>
  </w:style>
  <w:style w:type="paragraph" w:styleId="Date">
    <w:name w:val="Date"/>
    <w:basedOn w:val="Normal"/>
    <w:qFormat/>
    <w:pPr>
      <w:ind w:left="100" w:hanging="0"/>
    </w:pPr>
    <w:rPr/>
  </w:style>
  <w:style w:type="paragraph" w:styleId="BodyText2">
    <w:name w:val="Body Text 2"/>
    <w:basedOn w:val="Normal"/>
    <w:qFormat/>
    <w:pPr>
      <w:jc w:val="center"/>
    </w:pPr>
    <w:rPr>
      <w:rFonts w:eastAsia="仿宋_GB2312"/>
    </w:rPr>
  </w:style>
  <w:style w:type="paragraph" w:styleId="NormalWeb">
    <w:name w:val="Normal (Web)"/>
    <w:basedOn w:val="Normal"/>
    <w:qFormat/>
    <w:pPr>
      <w:widowControl/>
      <w:spacing w:beforeAutospacing="1" w:afterAutospacing="1"/>
      <w:jc w:val="left"/>
    </w:pPr>
    <w:rPr>
      <w:rFonts w:ascii="宋体" w:hAnsi="宋体"/>
      <w:sz w:val="24"/>
    </w:rPr>
  </w:style>
  <w:style w:type="paragraph" w:styleId="Style17">
    <w:name w:val="页脚"/>
    <w:basedOn w:val="Normal"/>
    <w:pPr>
      <w:tabs>
        <w:tab w:val="center" w:pos="4153" w:leader="none"/>
        <w:tab w:val="right" w:pos="8306" w:leader="none"/>
      </w:tabs>
      <w:snapToGrid w:val="false"/>
      <w:jc w:val="left"/>
    </w:pPr>
    <w:rPr>
      <w:sz w:val="18"/>
      <w:szCs w:val="18"/>
    </w:rPr>
  </w:style>
  <w:style w:type="paragraph" w:styleId="BalloonText">
    <w:name w:val="Balloon Text"/>
    <w:basedOn w:val="Normal"/>
    <w:qFormat/>
    <w:pPr/>
    <w:rPr>
      <w:sz w:val="18"/>
      <w:szCs w:val="18"/>
    </w:rPr>
  </w:style>
  <w:style w:type="paragraph" w:styleId="Style18">
    <w:name w:val="引用"/>
    <w:basedOn w:val="Normal"/>
    <w:qFormat/>
    <w:pPr/>
    <w:rPr/>
  </w:style>
  <w:style w:type="paragraph" w:styleId="Style19">
    <w:name w:val="大标题"/>
    <w:basedOn w:val="Style11"/>
    <w:pPr/>
    <w:rPr/>
  </w:style>
  <w:style w:type="paragraph" w:styleId="Style20">
    <w:name w:val="分标题"/>
    <w:basedOn w:val="Style11"/>
    <w:pPr/>
    <w:rPr/>
  </w:style>
  <w:style w:type="numbering" w:styleId="NoList" w:default="1">
    <w:name w:val="No List"/>
    <w:uiPriority w:val="99"/>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footer" Target="footer1.xml"/><Relationship Id="rId3" Type="http://schemas.openxmlformats.org/officeDocument/2006/relationships/numbering" Target="numbering.xml"/><Relationship Id="rId4" Type="http://schemas.openxmlformats.org/officeDocument/2006/relationships/fontTable" Target="fontTable.xml"/><Relationship Id="rId5" Type="http://schemas.openxmlformats.org/officeDocument/2006/relationships/settings" Target="settings.xml"/><Relationship Id="rId6" Type="http://schemas.openxmlformats.org/officeDocument/2006/relationships/theme" Target="theme/theme1.xml"/>
</Relationships>
</file>

<file path=word/theme/theme1.xml><?xml version="1.0" encoding="utf-8"?>
<a:theme xmlns:a="http://schemas.openxmlformats.org/drawingml/2006/main" name="Office 主题">
  <a:themeElements>
    <a:clrScheme name="Office">
      <a:dk1>
        <a:sysClr val="windowText" lastClr="454545"/>
      </a:dk1>
      <a:lt1>
        <a:sysClr val="window" lastClr="C7EDCC"/>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12</TotalTime>
  <Application>LibreOffice/5.0.2.2$MacOSX_X86_64 LibreOffice_project/37b43f919e4de5eeaca9b9755ed688758a8251fe</Application>
  <Paragraphs>7</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2015-05-21T16:58:00Z</dcterms:created>
  <dc:language>zh-CN</dc:language>
  <cp:lastModifiedBy>张 艳坤</cp:lastModifiedBy>
  <cp:lastPrinted>2013-11-19T07:25:00Z</cp:lastPrinted>
  <dcterms:modified xsi:type="dcterms:W3CDTF">2015-10-13T16:00:43Z</dcterms:modified>
  <cp:revision>9</cp:revision>
  <dc:title>企业运用融资性租赁的优势分析</dc:title>
</cp:coreProperties>
</file>

<file path=docProps/custom.xml><?xml version="1.0" encoding="utf-8"?>
<Properties xmlns="http://schemas.openxmlformats.org/officeDocument/2006/custom-properties" xmlns:vt="http://schemas.openxmlformats.org/officeDocument/2006/docPropsVTypes">
  <property fmtid="{D5CDD505-2E9C-101B-9397-08002B2CF9AE}" pid="2" name="AppVersion">
    <vt:lpwstr>15.0000</vt:lpwstr>
  </property>
  <property fmtid="{D5CDD505-2E9C-101B-9397-08002B2CF9AE}" pid="3" name="DocSecurity">
    <vt:i4>0</vt:i4>
  </property>
  <property fmtid="{D5CDD505-2E9C-101B-9397-08002B2CF9AE}" pid="4" name="HiddenSlides">
    <vt:i4>0</vt:i4>
  </property>
  <property fmtid="{D5CDD505-2E9C-101B-9397-08002B2CF9AE}" pid="5" name="HyperlinksChanged">
    <vt:bool>0</vt:bool>
  </property>
  <property fmtid="{D5CDD505-2E9C-101B-9397-08002B2CF9AE}" pid="6" name="KSOProductBuildVer">
    <vt:lpwstr>2052-8.1.0.3483</vt:lpwstr>
  </property>
  <property fmtid="{D5CDD505-2E9C-101B-9397-08002B2CF9AE}" pid="7" name="LinksUpToDate">
    <vt:bool>0</vt:bool>
  </property>
  <property fmtid="{D5CDD505-2E9C-101B-9397-08002B2CF9AE}" pid="8" name="MMClips">
    <vt:i4>0</vt:i4>
  </property>
  <property fmtid="{D5CDD505-2E9C-101B-9397-08002B2CF9AE}" pid="9" name="Notes">
    <vt:i4>0</vt:i4>
  </property>
  <property fmtid="{D5CDD505-2E9C-101B-9397-08002B2CF9AE}" pid="10" name="ScaleCrop">
    <vt:bool>0</vt:bool>
  </property>
  <property fmtid="{D5CDD505-2E9C-101B-9397-08002B2CF9AE}" pid="11" name="ShareDoc">
    <vt:bool>0</vt:bool>
  </property>
  <property fmtid="{D5CDD505-2E9C-101B-9397-08002B2CF9AE}" pid="12" name="Slides">
    <vt:i4>0</vt:i4>
  </property>
</Properties>
</file>