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header1.xml" ContentType="application/vnd.openxmlformats-officedocument.wordprocessingml.header+xml"/>
  <Override PartName="/word/_rels/document.xml.rels" ContentType="application/vnd.openxmlformats-package.relationships+xml"/>
  <Override PartName="/word/settings.xml" ContentType="application/vnd.openxmlformats-officedocument.wordprocessingml.settings+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szCs w:val="21"/>
        </w:rPr>
      </w:pPr>
      <w:r>
        <w:rPr>
          <w:szCs w:val="21"/>
        </w:rPr>
        <w:t>计入其他应收款</w:t>
      </w:r>
      <w:r>
        <w:rPr>
          <w:szCs w:val="21"/>
        </w:rPr>
        <w:t>/</w:t>
      </w:r>
      <w:r>
        <w:rPr>
          <w:szCs w:val="21"/>
        </w:rPr>
        <w:t>其他应付款（无偿资金往来）的涉税问题</w:t>
      </w:r>
    </w:p>
    <w:p>
      <w:pPr>
        <w:pStyle w:val="Normal"/>
        <w:rPr>
          <w:szCs w:val="21"/>
        </w:rPr>
      </w:pPr>
      <w:r>
        <w:rPr>
          <w:szCs w:val="21"/>
        </w:rPr>
      </w:r>
    </w:p>
    <w:p>
      <w:pPr>
        <w:pStyle w:val="Normal"/>
        <w:rPr>
          <w:szCs w:val="21"/>
        </w:rPr>
      </w:pPr>
      <w:r>
        <w:rPr>
          <w:szCs w:val="21"/>
        </w:rPr>
      </w:r>
    </w:p>
    <w:p>
      <w:pPr>
        <w:pStyle w:val="Normal"/>
        <w:rPr>
          <w:szCs w:val="21"/>
        </w:rPr>
      </w:pPr>
      <w:r>
        <w:rPr>
          <w:szCs w:val="21"/>
        </w:rPr>
        <w:t>国税发〔</w:t>
      </w:r>
      <w:r>
        <w:rPr>
          <w:szCs w:val="21"/>
        </w:rPr>
        <w:t>2009</w:t>
      </w:r>
      <w:r>
        <w:rPr>
          <w:szCs w:val="21"/>
        </w:rPr>
        <w:t>〕</w:t>
      </w:r>
      <w:r>
        <w:rPr>
          <w:szCs w:val="21"/>
        </w:rPr>
        <w:t>2</w:t>
      </w:r>
      <w:r>
        <w:rPr>
          <w:szCs w:val="21"/>
        </w:rPr>
        <w:t>号国税总局关于印发《特别纳税调整实施办法（试行）》的通知第三十条　</w:t>
      </w:r>
      <w:r>
        <w:rPr>
          <w:color w:val="FF0000"/>
          <w:szCs w:val="21"/>
        </w:rPr>
        <w:t>实际税负相同的境内关联方之间的交易，只要该交易没有直接或间接导致国家总体税收收入的减少，原则上不做转让定价调查、调整。从这一个文件上来看，关联企业之间的转移定价（包括资金融通），在不违背上述原则的情况下，从所得税的角度来说，应该是可以商量的。</w:t>
      </w:r>
      <w:r>
        <w:rPr>
          <w:rFonts w:ascii="Calibri" w:hAnsi="Calibri" w:cs="Calibri"/>
          <w:szCs w:val="21"/>
        </w:rPr>
        <w:t></w:t>
      </w:r>
      <w:r>
        <w:rPr>
          <w:szCs w:val="21"/>
        </w:rPr>
        <w:t>但是资金融通也涉及利息所得的营业税，如果双方之前有统借统贷协议，不超过银行利率的部分可以不用交营业税。</w:t>
      </w:r>
    </w:p>
    <w:p>
      <w:pPr>
        <w:pStyle w:val="Normal"/>
        <w:widowControl/>
        <w:spacing w:lineRule="auto" w:line="379" w:beforeAutospacing="1" w:afterAutospacing="1"/>
        <w:jc w:val="left"/>
        <w:rPr>
          <w:rFonts w:ascii="Arial" w:hAnsi="Arial" w:eastAsia="宋体" w:cs="Arial"/>
          <w:color w:val="454545"/>
          <w:sz w:val="18"/>
          <w:szCs w:val="18"/>
        </w:rPr>
      </w:pPr>
      <w:r>
        <w:rPr>
          <w:rFonts w:ascii="Arial" w:hAnsi="Arial" w:cs="Arial"/>
          <w:color w:val="454545"/>
          <w:sz w:val="20"/>
          <w:szCs w:val="20"/>
        </w:rPr>
        <w:t>基本案情</w:t>
      </w:r>
      <w:r>
        <w:rPr>
          <w:rFonts w:eastAsia="宋体" w:cs="Arial" w:ascii="Arial" w:hAnsi="Arial"/>
          <w:color w:val="454545"/>
          <w:sz w:val="20"/>
          <w:szCs w:val="20"/>
        </w:rPr>
        <w:br/>
        <w:t xml:space="preserve">    </w:t>
      </w:r>
      <w:r>
        <w:rPr>
          <w:rFonts w:ascii="Arial" w:hAnsi="Arial" w:cs="Arial"/>
          <w:color w:val="454545"/>
          <w:sz w:val="20"/>
          <w:szCs w:val="20"/>
        </w:rPr>
        <w:t>某房地产开发集团出资成立</w:t>
      </w:r>
      <w:r>
        <w:rPr>
          <w:rFonts w:eastAsia="宋体" w:cs="Arial" w:ascii="Arial" w:hAnsi="Arial"/>
          <w:color w:val="454545"/>
          <w:sz w:val="20"/>
          <w:szCs w:val="20"/>
        </w:rPr>
        <w:t>A</w:t>
      </w:r>
      <w:r>
        <w:rPr>
          <w:rFonts w:ascii="Arial" w:hAnsi="Arial" w:cs="Arial"/>
          <w:color w:val="454545"/>
          <w:sz w:val="20"/>
          <w:szCs w:val="20"/>
        </w:rPr>
        <w:t>房地产开发有限公司（以下简称</w:t>
      </w:r>
      <w:r>
        <w:rPr>
          <w:rFonts w:eastAsia="宋体" w:cs="Arial" w:ascii="Arial" w:hAnsi="Arial"/>
          <w:color w:val="454545"/>
          <w:sz w:val="20"/>
          <w:szCs w:val="20"/>
        </w:rPr>
        <w:t>A</w:t>
      </w:r>
      <w:r>
        <w:rPr>
          <w:rFonts w:ascii="Arial" w:hAnsi="Arial" w:cs="Arial"/>
          <w:color w:val="454545"/>
          <w:sz w:val="20"/>
          <w:szCs w:val="20"/>
        </w:rPr>
        <w:t>公司）和</w:t>
      </w:r>
      <w:r>
        <w:rPr>
          <w:rFonts w:eastAsia="宋体" w:cs="Arial" w:ascii="Arial" w:hAnsi="Arial"/>
          <w:color w:val="454545"/>
          <w:sz w:val="20"/>
          <w:szCs w:val="20"/>
        </w:rPr>
        <w:t>B</w:t>
      </w:r>
      <w:r>
        <w:rPr>
          <w:rFonts w:ascii="Arial" w:hAnsi="Arial" w:cs="Arial"/>
          <w:color w:val="454545"/>
          <w:sz w:val="20"/>
          <w:szCs w:val="20"/>
        </w:rPr>
        <w:t>房地产管理有限公司（以下简称</w:t>
      </w:r>
      <w:r>
        <w:rPr>
          <w:rFonts w:eastAsia="宋体" w:cs="Arial" w:ascii="Arial" w:hAnsi="Arial"/>
          <w:color w:val="454545"/>
          <w:sz w:val="20"/>
          <w:szCs w:val="20"/>
        </w:rPr>
        <w:t>B</w:t>
      </w:r>
      <w:r>
        <w:rPr>
          <w:rFonts w:ascii="Arial" w:hAnsi="Arial" w:cs="Arial"/>
          <w:color w:val="454545"/>
          <w:sz w:val="20"/>
          <w:szCs w:val="20"/>
        </w:rPr>
        <w:t>公司），根据《税收征管法实施细则》的规定，</w:t>
      </w:r>
      <w:r>
        <w:rPr>
          <w:rFonts w:eastAsia="宋体" w:cs="Arial" w:ascii="Arial" w:hAnsi="Arial"/>
          <w:color w:val="454545"/>
          <w:sz w:val="20"/>
          <w:szCs w:val="20"/>
        </w:rPr>
        <w:t>A</w:t>
      </w:r>
      <w:r>
        <w:rPr>
          <w:rFonts w:ascii="Arial" w:hAnsi="Arial" w:cs="Arial"/>
          <w:color w:val="454545"/>
          <w:sz w:val="20"/>
          <w:szCs w:val="20"/>
        </w:rPr>
        <w:t>公司与</w:t>
      </w:r>
      <w:r>
        <w:rPr>
          <w:rFonts w:eastAsia="宋体" w:cs="Arial" w:ascii="Arial" w:hAnsi="Arial"/>
          <w:color w:val="454545"/>
          <w:sz w:val="20"/>
          <w:szCs w:val="20"/>
        </w:rPr>
        <w:t>B</w:t>
      </w:r>
      <w:r>
        <w:rPr>
          <w:rFonts w:ascii="Arial" w:hAnsi="Arial" w:cs="Arial"/>
          <w:color w:val="454545"/>
          <w:sz w:val="20"/>
          <w:szCs w:val="20"/>
        </w:rPr>
        <w:t>公司构成关联企业。</w:t>
      </w:r>
      <w:r>
        <w:rPr>
          <w:rFonts w:eastAsia="宋体" w:cs="Arial" w:ascii="Arial" w:hAnsi="Arial"/>
          <w:color w:val="454545"/>
          <w:sz w:val="20"/>
          <w:szCs w:val="20"/>
        </w:rPr>
        <w:t>2010</w:t>
      </w:r>
      <w:r>
        <w:rPr>
          <w:rFonts w:ascii="Arial" w:hAnsi="Arial" w:cs="Arial"/>
          <w:color w:val="454545"/>
          <w:sz w:val="20"/>
          <w:szCs w:val="20"/>
        </w:rPr>
        <w:t>年</w:t>
      </w:r>
      <w:r>
        <w:rPr>
          <w:rFonts w:eastAsia="宋体" w:cs="Arial" w:ascii="Arial" w:hAnsi="Arial"/>
          <w:color w:val="454545"/>
          <w:sz w:val="20"/>
          <w:szCs w:val="20"/>
        </w:rPr>
        <w:t>1</w:t>
      </w:r>
      <w:r>
        <w:rPr>
          <w:rFonts w:ascii="Arial" w:hAnsi="Arial" w:cs="Arial"/>
          <w:color w:val="454545"/>
          <w:sz w:val="20"/>
          <w:szCs w:val="20"/>
        </w:rPr>
        <w:t>月，</w:t>
      </w:r>
      <w:r>
        <w:rPr>
          <w:rFonts w:eastAsia="宋体" w:cs="Arial" w:ascii="Arial" w:hAnsi="Arial"/>
          <w:color w:val="454545"/>
          <w:sz w:val="20"/>
          <w:szCs w:val="20"/>
        </w:rPr>
        <w:t>A</w:t>
      </w:r>
      <w:r>
        <w:rPr>
          <w:rFonts w:ascii="Arial" w:hAnsi="Arial" w:cs="Arial"/>
          <w:color w:val="454545"/>
          <w:sz w:val="20"/>
          <w:szCs w:val="20"/>
        </w:rPr>
        <w:t>公司向</w:t>
      </w:r>
      <w:r>
        <w:rPr>
          <w:rFonts w:eastAsia="宋体" w:cs="Arial" w:ascii="Arial" w:hAnsi="Arial"/>
          <w:color w:val="454545"/>
          <w:sz w:val="20"/>
          <w:szCs w:val="20"/>
        </w:rPr>
        <w:t>B</w:t>
      </w:r>
      <w:r>
        <w:rPr>
          <w:rFonts w:ascii="Arial" w:hAnsi="Arial" w:cs="Arial"/>
          <w:color w:val="454545"/>
          <w:sz w:val="20"/>
          <w:szCs w:val="20"/>
        </w:rPr>
        <w:t>公司无偿借款</w:t>
      </w:r>
      <w:r>
        <w:rPr>
          <w:rFonts w:eastAsia="宋体" w:cs="Arial" w:ascii="Arial" w:hAnsi="Arial"/>
          <w:color w:val="454545"/>
          <w:sz w:val="20"/>
          <w:szCs w:val="20"/>
        </w:rPr>
        <w:t>5000</w:t>
      </w:r>
      <w:r>
        <w:rPr>
          <w:rFonts w:ascii="Arial" w:hAnsi="Arial" w:cs="Arial"/>
          <w:color w:val="454545"/>
          <w:sz w:val="20"/>
          <w:szCs w:val="20"/>
        </w:rPr>
        <w:t>万元，时间</w:t>
      </w:r>
      <w:r>
        <w:rPr>
          <w:rFonts w:eastAsia="宋体" w:cs="Arial" w:ascii="Arial" w:hAnsi="Arial"/>
          <w:color w:val="454545"/>
          <w:sz w:val="20"/>
          <w:szCs w:val="20"/>
        </w:rPr>
        <w:t>1</w:t>
      </w:r>
      <w:r>
        <w:rPr>
          <w:rFonts w:ascii="Arial" w:hAnsi="Arial" w:cs="Arial"/>
          <w:color w:val="454545"/>
          <w:sz w:val="20"/>
          <w:szCs w:val="20"/>
        </w:rPr>
        <w:t>年，到期按照协议归还，实际未支付利息。在该笔业务是否需要缴纳营业税和企业所得税的问题上，税企存在分歧。税务机关认为，按照《税收征管法》及《税收征管法实施细则》的规定，</w:t>
      </w:r>
      <w:r>
        <w:rPr>
          <w:rFonts w:eastAsia="宋体" w:cs="Arial" w:ascii="Arial" w:hAnsi="Arial"/>
          <w:color w:val="454545"/>
          <w:sz w:val="20"/>
          <w:szCs w:val="20"/>
        </w:rPr>
        <w:t>A</w:t>
      </w:r>
      <w:r>
        <w:rPr>
          <w:rFonts w:ascii="Arial" w:hAnsi="Arial" w:cs="Arial"/>
          <w:color w:val="454545"/>
          <w:sz w:val="20"/>
          <w:szCs w:val="20"/>
        </w:rPr>
        <w:t>公司与</w:t>
      </w:r>
      <w:r>
        <w:rPr>
          <w:rFonts w:eastAsia="宋体" w:cs="Arial" w:ascii="Arial" w:hAnsi="Arial"/>
          <w:color w:val="454545"/>
          <w:sz w:val="20"/>
          <w:szCs w:val="20"/>
        </w:rPr>
        <w:t>B</w:t>
      </w:r>
      <w:r>
        <w:rPr>
          <w:rFonts w:ascii="Arial" w:hAnsi="Arial" w:cs="Arial"/>
          <w:color w:val="454545"/>
          <w:sz w:val="20"/>
          <w:szCs w:val="20"/>
        </w:rPr>
        <w:t>公司无息相互融通资金行为，因借贷双方存在关联关系，税务机关有权核定</w:t>
      </w:r>
      <w:r>
        <w:rPr>
          <w:rFonts w:eastAsia="宋体" w:cs="Arial" w:ascii="Arial" w:hAnsi="Arial"/>
          <w:color w:val="454545"/>
          <w:sz w:val="20"/>
          <w:szCs w:val="20"/>
        </w:rPr>
        <w:t>B</w:t>
      </w:r>
      <w:r>
        <w:rPr>
          <w:rFonts w:ascii="Arial" w:hAnsi="Arial" w:cs="Arial"/>
          <w:color w:val="454545"/>
          <w:sz w:val="20"/>
          <w:szCs w:val="20"/>
        </w:rPr>
        <w:t>公司利息收入并征收营业税和企业所得税，而</w:t>
      </w:r>
      <w:r>
        <w:rPr>
          <w:rFonts w:eastAsia="宋体" w:cs="Arial" w:ascii="Arial" w:hAnsi="Arial"/>
          <w:color w:val="454545"/>
          <w:sz w:val="20"/>
          <w:szCs w:val="20"/>
        </w:rPr>
        <w:t>B</w:t>
      </w:r>
      <w:r>
        <w:rPr>
          <w:rFonts w:ascii="Arial" w:hAnsi="Arial" w:cs="Arial"/>
          <w:color w:val="454545"/>
          <w:sz w:val="20"/>
          <w:szCs w:val="20"/>
        </w:rPr>
        <w:t>公司则坚持认为，按照《营业税暂行条例》和《企业所得税法》的规定，无偿借款实际未取得利息收入不应缴纳营业税和企业所得税。</w:t>
      </w:r>
    </w:p>
    <w:p>
      <w:pPr>
        <w:pStyle w:val="Normal"/>
        <w:widowControl/>
        <w:spacing w:lineRule="auto" w:line="379" w:beforeAutospacing="1" w:afterAutospacing="1"/>
        <w:jc w:val="left"/>
        <w:rPr>
          <w:rFonts w:ascii="Arial" w:hAnsi="Arial" w:eastAsia="宋体" w:cs="Arial"/>
          <w:color w:val="454545"/>
          <w:sz w:val="18"/>
          <w:szCs w:val="18"/>
        </w:rPr>
      </w:pPr>
      <w:r>
        <w:rPr>
          <w:rFonts w:ascii="Arial" w:hAnsi="Arial" w:cs="Arial"/>
          <w:color w:val="454545"/>
          <w:sz w:val="20"/>
          <w:szCs w:val="20"/>
        </w:rPr>
        <w:t xml:space="preserve">    </w:t>
      </w:r>
      <w:r>
        <w:rPr>
          <w:rFonts w:ascii="Arial" w:hAnsi="Arial" w:cs="Arial"/>
          <w:color w:val="454545"/>
          <w:sz w:val="20"/>
          <w:szCs w:val="20"/>
        </w:rPr>
        <w:t>法理分析</w:t>
      </w:r>
      <w:r>
        <w:rPr>
          <w:rFonts w:eastAsia="宋体" w:cs="Arial" w:ascii="Arial" w:hAnsi="Arial"/>
          <w:color w:val="454545"/>
          <w:sz w:val="20"/>
          <w:szCs w:val="20"/>
        </w:rPr>
        <w:br/>
        <w:t xml:space="preserve">    </w:t>
      </w:r>
      <w:r>
        <w:rPr>
          <w:rFonts w:ascii="Arial" w:hAnsi="Arial" w:cs="Arial"/>
          <w:color w:val="454545"/>
          <w:sz w:val="20"/>
          <w:szCs w:val="20"/>
        </w:rPr>
        <w:t>关联企业的涉税问题一直备受各界关注。随着企业集团化经营模式的建立，关联企业之间交易活动越来越频繁，其中企业之间占用资金现象非常普遍，而大多数关联企业之间不收取资金占用费，所以许多企业都没有考虑到关联企业之间的税收问题。</w:t>
      </w:r>
    </w:p>
    <w:p>
      <w:pPr>
        <w:pStyle w:val="Normal"/>
        <w:widowControl/>
        <w:spacing w:lineRule="auto" w:line="379" w:beforeAutospacing="1" w:afterAutospacing="1"/>
        <w:jc w:val="left"/>
        <w:rPr>
          <w:rFonts w:ascii="Arial" w:hAnsi="Arial" w:eastAsia="宋体" w:cs="Arial"/>
          <w:color w:val="454545"/>
          <w:sz w:val="18"/>
          <w:szCs w:val="18"/>
        </w:rPr>
      </w:pPr>
      <w:r>
        <w:rPr>
          <w:rFonts w:ascii="Arial" w:hAnsi="Arial" w:cs="Arial"/>
          <w:color w:val="454545"/>
          <w:sz w:val="20"/>
          <w:szCs w:val="20"/>
        </w:rPr>
        <w:t xml:space="preserve">    </w:t>
      </w:r>
      <w:r>
        <w:rPr>
          <w:rFonts w:ascii="Arial" w:hAnsi="Arial" w:cs="Arial"/>
          <w:color w:val="454545"/>
          <w:sz w:val="20"/>
          <w:szCs w:val="20"/>
        </w:rPr>
        <w:t>在营业税政策方面，按照《国家税务总局关于〈印发营业税问题解答（之一）〉的通知》（国税函〔</w:t>
      </w:r>
      <w:r>
        <w:rPr>
          <w:rFonts w:eastAsia="宋体" w:cs="Arial" w:ascii="Arial" w:hAnsi="Arial"/>
          <w:color w:val="454545"/>
          <w:sz w:val="20"/>
          <w:szCs w:val="20"/>
        </w:rPr>
        <w:t>1995</w:t>
      </w:r>
      <w:r>
        <w:rPr>
          <w:rFonts w:ascii="Arial" w:hAnsi="Arial" w:cs="Arial"/>
          <w:color w:val="454545"/>
          <w:sz w:val="20"/>
          <w:szCs w:val="20"/>
        </w:rPr>
        <w:t>〕</w:t>
      </w:r>
      <w:r>
        <w:rPr>
          <w:rFonts w:eastAsia="宋体" w:cs="Arial" w:ascii="Arial" w:hAnsi="Arial"/>
          <w:color w:val="454545"/>
          <w:sz w:val="20"/>
          <w:szCs w:val="20"/>
        </w:rPr>
        <w:t>156</w:t>
      </w:r>
      <w:r>
        <w:rPr>
          <w:rFonts w:ascii="Arial" w:hAnsi="Arial" w:cs="Arial"/>
          <w:color w:val="454545"/>
          <w:sz w:val="20"/>
          <w:szCs w:val="20"/>
        </w:rPr>
        <w:t>号）第十条规定，非金融机构将资金提供给对方，并收取资金占用费，属于“金融保险业”税目的征收范围，因此对企业将资金提供给他人使用的行为属于营业税应税劳务，应按“金融保险业”税目征收营业税，计税依据即为收取的资金占用费。但是，上述规定是指企业将资金有偿提供给他人使用的行为，而对无偿提供资金给他人使用的，按照《营业税暂行条例实施细则》第三条规定，不属于营业税的征税范围，故企业将资金无偿提供给他人使用的行为，不构成营业税应税行为。</w:t>
      </w:r>
      <w:r>
        <w:rPr>
          <w:rFonts w:eastAsia="宋体" w:cs="Arial" w:ascii="Arial" w:hAnsi="Arial"/>
          <w:vanish/>
          <w:color w:val="454545"/>
          <w:sz w:val="18"/>
          <w:szCs w:val="18"/>
        </w:rPr>
        <w:t>-</w:t>
      </w:r>
    </w:p>
    <w:p>
      <w:pPr>
        <w:pStyle w:val="Normal"/>
        <w:widowControl/>
        <w:spacing w:lineRule="auto" w:line="379" w:beforeAutospacing="1" w:afterAutospacing="1"/>
        <w:jc w:val="left"/>
        <w:rPr>
          <w:rFonts w:ascii="Arial" w:hAnsi="Arial" w:eastAsia="宋体" w:cs="Arial"/>
          <w:color w:val="454545"/>
          <w:sz w:val="18"/>
          <w:szCs w:val="18"/>
        </w:rPr>
      </w:pPr>
      <w:r>
        <w:rPr>
          <w:rFonts w:ascii="Arial" w:hAnsi="Arial" w:cs="Arial"/>
          <w:color w:val="454545"/>
          <w:sz w:val="20"/>
          <w:szCs w:val="20"/>
        </w:rPr>
        <w:t xml:space="preserve">    </w:t>
      </w:r>
      <w:r>
        <w:rPr>
          <w:rFonts w:ascii="Arial" w:hAnsi="Arial" w:cs="Arial"/>
          <w:color w:val="454545"/>
          <w:sz w:val="20"/>
          <w:szCs w:val="20"/>
        </w:rPr>
        <w:t>虽然《营业税暂行条例》遵循“无偿不征税”原则，但对于关联企业间的业务往来，《税收征管法》第三十六条有专门规定：“企业或者外国企业在中国境内设立的从事生产、经营的机构、场所与其关联企业之间的业务往来，应当按照独立企业之间的业务往来收取或者支付价款、费用；不按照独立企业之间的业务往来收取或者支付价款、费用，而减少其应纳税的收入或者所得额的，税务机关有权进行合理调整。”《税收征管法实施细则》第五十四条规定，纳税人与其关联企业之间的业务往来中，融通资金所支付或者收取的利息超过或者低于没有关联关系的企业之间所能同意的数额，或者利率超过或者低于同类业务的正常利率，税务机关可以调整其应纳税额。</w:t>
      </w:r>
    </w:p>
    <w:p>
      <w:pPr>
        <w:pStyle w:val="Normal"/>
        <w:widowControl/>
        <w:spacing w:lineRule="auto" w:line="379" w:beforeAutospacing="1" w:afterAutospacing="1"/>
        <w:jc w:val="left"/>
        <w:rPr>
          <w:rFonts w:ascii="Arial" w:hAnsi="Arial" w:eastAsia="宋体" w:cs="Arial"/>
          <w:color w:val="454545"/>
          <w:sz w:val="18"/>
          <w:szCs w:val="18"/>
        </w:rPr>
      </w:pPr>
      <w:r>
        <w:rPr>
          <w:rFonts w:ascii="Arial" w:hAnsi="Arial" w:cs="Arial"/>
          <w:color w:val="454545"/>
          <w:sz w:val="20"/>
          <w:szCs w:val="20"/>
        </w:rPr>
        <w:t xml:space="preserve">    </w:t>
      </w:r>
      <w:r>
        <w:rPr>
          <w:rFonts w:ascii="Arial" w:hAnsi="Arial" w:cs="Arial"/>
          <w:color w:val="454545"/>
          <w:sz w:val="20"/>
          <w:szCs w:val="20"/>
        </w:rPr>
        <w:t>从税法原理来说，《营业税暂行条例》属于税收实体法，而《税收征管法》则属于税收程序法。税收程序法的作用之一就是保障实体法的实施，弥补实体法的不足。因此，在对关联企业之间的业务调整上应以《税收征管法》规定来规范。但是，《税收征管法》与《税收征管法实施细则》调整规范的是利率偏低情况，若对无息利率的税务处理以上述规定为依据很值得商榷。</w:t>
      </w:r>
    </w:p>
    <w:p>
      <w:pPr>
        <w:pStyle w:val="Normal"/>
        <w:widowControl/>
        <w:spacing w:lineRule="auto" w:line="379" w:beforeAutospacing="1" w:afterAutospacing="1"/>
        <w:jc w:val="left"/>
        <w:rPr>
          <w:rFonts w:ascii="Arial" w:hAnsi="Arial" w:eastAsia="宋体" w:cs="Arial"/>
          <w:color w:val="454545"/>
          <w:sz w:val="18"/>
          <w:szCs w:val="18"/>
        </w:rPr>
      </w:pPr>
      <w:r>
        <w:rPr>
          <w:rFonts w:ascii="Arial" w:hAnsi="Arial" w:cs="Arial"/>
          <w:color w:val="454545"/>
          <w:sz w:val="20"/>
          <w:szCs w:val="20"/>
        </w:rPr>
        <w:t xml:space="preserve">    </w:t>
      </w:r>
      <w:r>
        <w:rPr>
          <w:rFonts w:ascii="Arial" w:hAnsi="Arial" w:cs="Arial"/>
          <w:color w:val="454545"/>
          <w:sz w:val="20"/>
          <w:szCs w:val="20"/>
        </w:rPr>
        <w:t xml:space="preserve">在企业所得税政策方面，《企业所得税法》第四十一条规定，企业与其关联方之间的业务往来，不符合独立交易原则而减少企业或者其关联方应纳税收入或者所得额的，税务机关有权按照合理方法调整。故 </w:t>
      </w:r>
      <w:r>
        <w:rPr>
          <w:rFonts w:eastAsia="宋体" w:cs="Arial" w:ascii="Arial" w:hAnsi="Arial"/>
          <w:color w:val="454545"/>
          <w:sz w:val="20"/>
          <w:szCs w:val="20"/>
        </w:rPr>
        <w:t>B</w:t>
      </w:r>
      <w:r>
        <w:rPr>
          <w:rFonts w:ascii="Arial" w:hAnsi="Arial" w:cs="Arial"/>
          <w:color w:val="454545"/>
          <w:sz w:val="20"/>
          <w:szCs w:val="20"/>
        </w:rPr>
        <w:t>公司将资金无偿提供给</w:t>
      </w:r>
      <w:r>
        <w:rPr>
          <w:rFonts w:eastAsia="宋体" w:cs="Arial" w:ascii="Arial" w:hAnsi="Arial"/>
          <w:color w:val="454545"/>
          <w:sz w:val="20"/>
          <w:szCs w:val="20"/>
        </w:rPr>
        <w:t>A</w:t>
      </w:r>
      <w:r>
        <w:rPr>
          <w:rFonts w:ascii="Arial" w:hAnsi="Arial" w:cs="Arial"/>
          <w:color w:val="454545"/>
          <w:sz w:val="20"/>
          <w:szCs w:val="20"/>
        </w:rPr>
        <w:t>公司使用，尽管</w:t>
      </w:r>
      <w:r>
        <w:rPr>
          <w:rFonts w:eastAsia="宋体" w:cs="Arial" w:ascii="Arial" w:hAnsi="Arial"/>
          <w:color w:val="454545"/>
          <w:sz w:val="20"/>
          <w:szCs w:val="20"/>
        </w:rPr>
        <w:t>B</w:t>
      </w:r>
      <w:r>
        <w:rPr>
          <w:rFonts w:ascii="Arial" w:hAnsi="Arial" w:cs="Arial"/>
          <w:color w:val="454545"/>
          <w:sz w:val="20"/>
          <w:szCs w:val="20"/>
        </w:rPr>
        <w:t>公司没有取得任何利益，但是由于关联关系的存在，从而使该笔交易不符合独立交易原则，税务机关有权按照法律规定调整其应纳税所得额，计算缴纳企业所得税。</w:t>
      </w:r>
    </w:p>
    <w:p>
      <w:pPr>
        <w:pStyle w:val="Normal"/>
        <w:widowControl/>
        <w:spacing w:lineRule="auto" w:line="379" w:beforeAutospacing="1" w:afterAutospacing="1"/>
        <w:jc w:val="left"/>
        <w:rPr>
          <w:rFonts w:ascii="Arial" w:hAnsi="Arial" w:eastAsia="宋体" w:cs="Arial"/>
          <w:color w:val="454545"/>
          <w:sz w:val="18"/>
          <w:szCs w:val="18"/>
        </w:rPr>
      </w:pPr>
      <w:r>
        <w:rPr>
          <w:rFonts w:ascii="Arial" w:hAnsi="Arial" w:cs="Arial"/>
          <w:color w:val="454545"/>
          <w:sz w:val="20"/>
          <w:szCs w:val="20"/>
        </w:rPr>
        <w:t xml:space="preserve">    </w:t>
      </w:r>
      <w:r>
        <w:rPr>
          <w:rFonts w:ascii="Arial" w:hAnsi="Arial" w:cs="Arial"/>
          <w:color w:val="454545"/>
          <w:sz w:val="20"/>
          <w:szCs w:val="20"/>
        </w:rPr>
        <w:t>但是，税务机关在进行境内关联交易调整时，并不是一律要按照企业所得税法规定进行调整。由于一方在调整收入的同时，允许另一方调整支出并进行税前扣除，势必对双方的总体税收产生影响。当关联交易双方的调整不增加应纳税所得额和应纳税额时，一般不进行纳税调整。《国家税务总局关于印发〈特别纳税调整实施办法（试行）〉的通知》（国税发〔</w:t>
      </w:r>
      <w:r>
        <w:rPr>
          <w:rFonts w:eastAsia="宋体" w:cs="Arial" w:ascii="Arial" w:hAnsi="Arial"/>
          <w:color w:val="454545"/>
          <w:sz w:val="20"/>
          <w:szCs w:val="20"/>
        </w:rPr>
        <w:t>2009</w:t>
      </w:r>
      <w:r>
        <w:rPr>
          <w:rFonts w:ascii="Arial" w:hAnsi="Arial" w:cs="Arial"/>
          <w:color w:val="454545"/>
          <w:sz w:val="20"/>
          <w:szCs w:val="20"/>
        </w:rPr>
        <w:t>〕</w:t>
      </w:r>
      <w:r>
        <w:rPr>
          <w:rFonts w:eastAsia="宋体" w:cs="Arial" w:ascii="Arial" w:hAnsi="Arial"/>
          <w:color w:val="454545"/>
          <w:sz w:val="20"/>
          <w:szCs w:val="20"/>
        </w:rPr>
        <w:t>2</w:t>
      </w:r>
      <w:r>
        <w:rPr>
          <w:rFonts w:ascii="Arial" w:hAnsi="Arial" w:cs="Arial"/>
          <w:color w:val="454545"/>
          <w:sz w:val="20"/>
          <w:szCs w:val="20"/>
        </w:rPr>
        <w:t>号）第三十条规定：“实际税负相同的境内关联方之间的交易，只要该交易没有直接或间接导致国家总体税收的减少，原则上不作转让定价调整。”按此规定，如确认</w:t>
      </w:r>
      <w:r>
        <w:rPr>
          <w:rFonts w:eastAsia="宋体" w:cs="Arial" w:ascii="Arial" w:hAnsi="Arial"/>
          <w:color w:val="454545"/>
          <w:sz w:val="20"/>
          <w:szCs w:val="20"/>
        </w:rPr>
        <w:t>B</w:t>
      </w:r>
      <w:r>
        <w:rPr>
          <w:rFonts w:ascii="Arial" w:hAnsi="Arial" w:cs="Arial"/>
          <w:color w:val="454545"/>
          <w:sz w:val="20"/>
          <w:szCs w:val="20"/>
        </w:rPr>
        <w:t>公司利息收入的同时势必要确认</w:t>
      </w:r>
      <w:r>
        <w:rPr>
          <w:rFonts w:eastAsia="宋体" w:cs="Arial" w:ascii="Arial" w:hAnsi="Arial"/>
          <w:color w:val="454545"/>
          <w:sz w:val="20"/>
          <w:szCs w:val="20"/>
        </w:rPr>
        <w:t>A</w:t>
      </w:r>
      <w:r>
        <w:rPr>
          <w:rFonts w:ascii="Arial" w:hAnsi="Arial" w:cs="Arial"/>
          <w:color w:val="454545"/>
          <w:sz w:val="20"/>
          <w:szCs w:val="20"/>
        </w:rPr>
        <w:t>公司的利息支出，在双方所得税率相同，无其他优惠政策等情况下，双方的税负是相等的，国家总体税收不会增加，因此企业所得税可以不作调整。</w:t>
      </w:r>
    </w:p>
    <w:p>
      <w:pPr>
        <w:pStyle w:val="Normal"/>
        <w:widowControl/>
        <w:spacing w:lineRule="auto" w:line="379" w:beforeAutospacing="1" w:afterAutospacing="1"/>
        <w:ind w:firstLine="255"/>
        <w:jc w:val="left"/>
        <w:rPr>
          <w:rFonts w:ascii="Arial" w:hAnsi="Arial" w:eastAsia="宋体" w:cs="Arial"/>
          <w:color w:val="454545"/>
          <w:sz w:val="20"/>
          <w:szCs w:val="20"/>
        </w:rPr>
      </w:pPr>
      <w:r>
        <w:rPr>
          <w:rFonts w:ascii="Arial" w:hAnsi="Arial" w:cs="Arial"/>
          <w:color w:val="454545"/>
          <w:sz w:val="20"/>
          <w:szCs w:val="20"/>
        </w:rPr>
        <w:t>政策建议</w:t>
      </w:r>
      <w:r>
        <w:rPr>
          <w:rFonts w:eastAsia="宋体" w:cs="Arial" w:ascii="Arial" w:hAnsi="Arial"/>
          <w:color w:val="454545"/>
          <w:sz w:val="20"/>
          <w:szCs w:val="20"/>
        </w:rPr>
        <w:br/>
        <w:t xml:space="preserve">    </w:t>
      </w:r>
      <w:r>
        <w:rPr>
          <w:rFonts w:ascii="Arial" w:hAnsi="Arial" w:cs="Arial"/>
          <w:color w:val="454545"/>
          <w:sz w:val="20"/>
          <w:szCs w:val="20"/>
        </w:rPr>
        <w:t>通过以上分析，我们看到，关联企业之间的无偿借款行为涉及的税法很多，《营业税暂行条例》、《税收征管法》和《特别纳税调整实施办法》等在对该行为认定时，规定是有差异的，而《税收征管法》是法律，按照法律级次来看，《税收征管法》的法律效力大于《营业税暂行条例》和《特别纳税调整实施办法》，但是《税收征管法》是</w:t>
      </w:r>
      <w:r>
        <w:rPr>
          <w:rFonts w:eastAsia="宋体" w:cs="Arial" w:ascii="Arial" w:hAnsi="Arial"/>
          <w:color w:val="454545"/>
          <w:sz w:val="20"/>
          <w:szCs w:val="20"/>
        </w:rPr>
        <w:t>2001</w:t>
      </w:r>
      <w:r>
        <w:rPr>
          <w:rFonts w:ascii="Arial" w:hAnsi="Arial" w:cs="Arial"/>
          <w:color w:val="454545"/>
          <w:sz w:val="20"/>
          <w:szCs w:val="20"/>
        </w:rPr>
        <w:t>年颁布的，而《营业税暂行条例》和《特别纳税调整实施办法》是</w:t>
      </w:r>
      <w:r>
        <w:rPr>
          <w:rFonts w:eastAsia="宋体" w:cs="Arial" w:ascii="Arial" w:hAnsi="Arial"/>
          <w:color w:val="454545"/>
          <w:sz w:val="20"/>
          <w:szCs w:val="20"/>
        </w:rPr>
        <w:t>2009</w:t>
      </w:r>
      <w:r>
        <w:rPr>
          <w:rFonts w:ascii="Arial" w:hAnsi="Arial" w:cs="Arial"/>
          <w:color w:val="454545"/>
          <w:sz w:val="20"/>
          <w:szCs w:val="20"/>
        </w:rPr>
        <w:t>年颁布的，从内容上看，《税收征管法》中的内容明显与现实际情况不符，到了应该修改完善的时候。此外，从税收管理实践角度讲，关联企业如果所在地不同，按照税法规定调整时也会因主管税务机关不同而增加税收成本。因此，笔者建议国家有关部门在对《税收征管法》进行修改时，应参照《特别纳税调整实施办法》的规定，对境内关联企业之间的业务，如实际税负相同，只要该交易没有直接或间接导致国家总体税收的减少，认定该行为不属于企业刻意避税，原则上可不作纳税调整。</w:t>
      </w:r>
    </w:p>
    <w:p>
      <w:pPr>
        <w:pStyle w:val="Normal"/>
        <w:widowControl/>
        <w:spacing w:lineRule="auto" w:line="379" w:beforeAutospacing="1" w:afterAutospacing="1"/>
        <w:ind w:firstLine="255"/>
        <w:jc w:val="left"/>
        <w:rPr>
          <w:rFonts w:ascii="Arial" w:hAnsi="Arial" w:eastAsia="宋体" w:cs="Arial"/>
          <w:color w:val="454545"/>
          <w:sz w:val="20"/>
          <w:szCs w:val="20"/>
        </w:rPr>
      </w:pPr>
      <w:r>
        <w:rPr>
          <w:rFonts w:eastAsia="宋体" w:cs="Arial" w:ascii="Arial" w:hAnsi="Arial"/>
          <w:color w:val="454545"/>
          <w:sz w:val="20"/>
          <w:szCs w:val="20"/>
        </w:rPr>
      </w:r>
    </w:p>
    <w:p>
      <w:pPr>
        <w:pStyle w:val="Normal"/>
        <w:widowControl/>
        <w:jc w:val="center"/>
        <w:rPr>
          <w:rFonts w:ascii="宋体" w:hAnsi="宋体" w:eastAsia="宋体" w:cs="宋体"/>
          <w:szCs w:val="21"/>
        </w:rPr>
      </w:pPr>
      <w:r>
        <w:rPr>
          <w:rFonts w:ascii="Times New Roman" w:hAnsi="Times New Roman" w:cs="Times New Roman"/>
          <w:b/>
          <w:bCs/>
          <w:color w:val="000000"/>
          <w:szCs w:val="21"/>
        </w:rPr>
        <w:t>企业无偿借款的税务处理</w:t>
      </w:r>
    </w:p>
    <w:tbl>
      <w:tblPr>
        <w:tblW w:w="4900" w:type="pct"/>
        <w:jc w:val="center"/>
        <w:tblInd w:w="0" w:type="dxa"/>
        <w:tblBorders>
          <w:top w:val="single" w:sz="6" w:space="0" w:color="E3EDF5"/>
          <w:left w:val="single" w:sz="6" w:space="0" w:color="E3EDF5"/>
          <w:bottom w:val="single" w:sz="6" w:space="0" w:color="E3EDF5"/>
          <w:right w:val="single" w:sz="6" w:space="0" w:color="E3EDF5"/>
          <w:insideH w:val="single" w:sz="6" w:space="0" w:color="E3EDF5"/>
          <w:insideV w:val="single" w:sz="6" w:space="0" w:color="E3EDF5"/>
        </w:tblBorders>
        <w:tblCellMar>
          <w:top w:w="60" w:type="dxa"/>
          <w:left w:w="52" w:type="dxa"/>
          <w:bottom w:w="60" w:type="dxa"/>
          <w:right w:w="60" w:type="dxa"/>
        </w:tblCellMar>
        <w:tblLook w:val="04a0"/>
      </w:tblPr>
      <w:tblGrid>
        <w:gridCol w:w="8139"/>
      </w:tblGrid>
      <w:tr>
        <w:trPr/>
        <w:tc>
          <w:tcPr>
            <w:tcW w:w="8139" w:type="dxa"/>
            <w:tcBorders>
              <w:top w:val="single" w:sz="6" w:space="0" w:color="E3EDF5"/>
              <w:left w:val="single" w:sz="6" w:space="0" w:color="E3EDF5"/>
              <w:bottom w:val="single" w:sz="6" w:space="0" w:color="E3EDF5"/>
              <w:right w:val="single" w:sz="6" w:space="0" w:color="E3EDF5"/>
              <w:insideH w:val="single" w:sz="6" w:space="0" w:color="E3EDF5"/>
              <w:insideV w:val="single" w:sz="6" w:space="0" w:color="E3EDF5"/>
            </w:tcBorders>
            <w:shd w:fill="auto" w:val="clear"/>
            <w:tcMar>
              <w:left w:w="52" w:type="dxa"/>
            </w:tcMar>
            <w:vAlign w:val="center"/>
          </w:tcPr>
          <w:p>
            <w:pPr>
              <w:pStyle w:val="Normal"/>
              <w:widowControl/>
              <w:jc w:val="left"/>
              <w:rPr>
                <w:rFonts w:ascii="宋体" w:hAnsi="宋体" w:eastAsia="宋体" w:cs="宋体"/>
                <w:szCs w:val="21"/>
              </w:rPr>
            </w:pPr>
            <w:r>
              <w:rPr>
                <w:rFonts w:ascii="Times New Roman" w:hAnsi="Times New Roman" w:cs="Times New Roman"/>
                <w:b/>
                <w:bCs/>
                <w:color w:val="000000"/>
                <w:szCs w:val="21"/>
              </w:rPr>
              <w:t>问题内容：</w:t>
            </w:r>
            <w:r>
              <w:rPr>
                <w:rFonts w:eastAsia="宋体" w:cs="宋体" w:ascii="宋体" w:hAnsi="宋体"/>
                <w:color w:val="FFFFFF"/>
                <w:sz w:val="15"/>
                <w:szCs w:val="15"/>
              </w:rPr>
              <w:t>4 G1 Y" J+ ?% I- x</w:t>
            </w:r>
            <w:r>
              <w:rPr>
                <w:rFonts w:eastAsia="宋体" w:cs="宋体" w:ascii="宋体" w:hAnsi="宋体"/>
                <w:szCs w:val="21"/>
              </w:rPr>
              <w:br/>
            </w:r>
            <w:r>
              <w:rPr>
                <w:rFonts w:ascii="Times New Roman" w:hAnsi="Times New Roman" w:cs="Times New Roman"/>
                <w:color w:val="000000"/>
                <w:szCs w:val="21"/>
              </w:rPr>
              <w:t>　　</w:t>
            </w:r>
            <w:r>
              <w:rPr>
                <w:rFonts w:eastAsia="宋体" w:cs="Times New Roman" w:ascii="Times New Roman" w:hAnsi="Times New Roman"/>
                <w:color w:val="000000"/>
                <w:szCs w:val="21"/>
              </w:rPr>
              <w:t>A</w:t>
            </w:r>
            <w:r>
              <w:rPr>
                <w:rFonts w:ascii="Times New Roman" w:hAnsi="Times New Roman" w:cs="Times New Roman"/>
                <w:color w:val="000000"/>
                <w:szCs w:val="21"/>
              </w:rPr>
              <w:t>公司用自有闲置资金</w:t>
            </w:r>
            <w:r>
              <w:rPr>
                <w:rFonts w:eastAsia="宋体" w:cs="Times New Roman" w:ascii="Times New Roman" w:hAnsi="Times New Roman"/>
                <w:color w:val="000000"/>
                <w:szCs w:val="21"/>
              </w:rPr>
              <w:t>500</w:t>
            </w:r>
            <w:r>
              <w:rPr>
                <w:rFonts w:ascii="Times New Roman" w:hAnsi="Times New Roman" w:cs="Times New Roman"/>
                <w:color w:val="000000"/>
                <w:szCs w:val="21"/>
              </w:rPr>
              <w:t>万暂借给</w:t>
            </w:r>
            <w:r>
              <w:rPr>
                <w:rFonts w:eastAsia="宋体" w:cs="Times New Roman" w:ascii="Times New Roman" w:hAnsi="Times New Roman"/>
                <w:color w:val="000000"/>
                <w:szCs w:val="21"/>
              </w:rPr>
              <w:t>B</w:t>
            </w:r>
            <w:r>
              <w:rPr>
                <w:rFonts w:ascii="Times New Roman" w:hAnsi="Times New Roman" w:cs="Times New Roman"/>
                <w:color w:val="000000"/>
                <w:szCs w:val="21"/>
              </w:rPr>
              <w:t>公司，时间</w:t>
            </w:r>
            <w:r>
              <w:rPr>
                <w:rFonts w:eastAsia="宋体" w:cs="Times New Roman" w:ascii="Times New Roman" w:hAnsi="Times New Roman"/>
                <w:color w:val="000000"/>
                <w:szCs w:val="21"/>
              </w:rPr>
              <w:t>2</w:t>
            </w:r>
            <w:r>
              <w:rPr>
                <w:rFonts w:ascii="Times New Roman" w:hAnsi="Times New Roman" w:cs="Times New Roman"/>
                <w:color w:val="000000"/>
                <w:szCs w:val="21"/>
              </w:rPr>
              <w:t>个月，</w:t>
            </w:r>
            <w:r>
              <w:rPr>
                <w:rFonts w:eastAsia="宋体" w:cs="Times New Roman" w:ascii="Times New Roman" w:hAnsi="Times New Roman"/>
                <w:color w:val="000000"/>
                <w:szCs w:val="21"/>
              </w:rPr>
              <w:t>B</w:t>
            </w:r>
            <w:r>
              <w:rPr>
                <w:rFonts w:ascii="Times New Roman" w:hAnsi="Times New Roman" w:cs="Times New Roman"/>
                <w:color w:val="000000"/>
                <w:szCs w:val="21"/>
              </w:rPr>
              <w:t>公司到期按协议（不用利息）还给</w:t>
            </w:r>
            <w:r>
              <w:rPr>
                <w:rFonts w:eastAsia="宋体" w:cs="Times New Roman" w:ascii="Times New Roman" w:hAnsi="Times New Roman"/>
                <w:color w:val="000000"/>
                <w:szCs w:val="21"/>
              </w:rPr>
              <w:t>A</w:t>
            </w:r>
            <w:r>
              <w:rPr>
                <w:rFonts w:ascii="Times New Roman" w:hAnsi="Times New Roman" w:cs="Times New Roman"/>
                <w:color w:val="000000"/>
                <w:szCs w:val="21"/>
              </w:rPr>
              <w:t>公司</w:t>
            </w:r>
            <w:r>
              <w:rPr>
                <w:rFonts w:eastAsia="宋体" w:cs="Times New Roman" w:ascii="Times New Roman" w:hAnsi="Times New Roman"/>
                <w:color w:val="000000"/>
                <w:szCs w:val="21"/>
              </w:rPr>
              <w:t>500</w:t>
            </w:r>
            <w:r>
              <w:rPr>
                <w:rFonts w:ascii="Times New Roman" w:hAnsi="Times New Roman" w:cs="Times New Roman"/>
                <w:color w:val="000000"/>
                <w:szCs w:val="21"/>
              </w:rPr>
              <w:t>万，</w:t>
            </w:r>
            <w:r>
              <w:rPr>
                <w:rFonts w:eastAsia="宋体" w:cs="Times New Roman" w:ascii="Times New Roman" w:hAnsi="Times New Roman"/>
                <w:color w:val="000000"/>
                <w:szCs w:val="21"/>
              </w:rPr>
              <w:t>B</w:t>
            </w:r>
            <w:r>
              <w:rPr>
                <w:rFonts w:ascii="Times New Roman" w:hAnsi="Times New Roman" w:cs="Times New Roman"/>
                <w:color w:val="000000"/>
                <w:szCs w:val="21"/>
              </w:rPr>
              <w:t>公司实际也没有支付利息给</w:t>
            </w:r>
            <w:r>
              <w:rPr>
                <w:rFonts w:eastAsia="宋体" w:cs="Times New Roman" w:ascii="Times New Roman" w:hAnsi="Times New Roman"/>
                <w:color w:val="000000"/>
                <w:szCs w:val="21"/>
              </w:rPr>
              <w:t>A</w:t>
            </w:r>
            <w:r>
              <w:rPr>
                <w:rFonts w:ascii="Times New Roman" w:hAnsi="Times New Roman" w:cs="Times New Roman"/>
                <w:color w:val="000000"/>
                <w:szCs w:val="21"/>
              </w:rPr>
              <w:t>公司。请问，这种情况</w:t>
            </w:r>
            <w:r>
              <w:rPr>
                <w:rFonts w:eastAsia="宋体" w:cs="Times New Roman" w:ascii="Times New Roman" w:hAnsi="Times New Roman"/>
                <w:color w:val="000000"/>
                <w:szCs w:val="21"/>
              </w:rPr>
              <w:t>A</w:t>
            </w:r>
            <w:r>
              <w:rPr>
                <w:rFonts w:ascii="Times New Roman" w:hAnsi="Times New Roman" w:cs="Times New Roman"/>
                <w:color w:val="000000"/>
                <w:szCs w:val="21"/>
              </w:rPr>
              <w:t xml:space="preserve">公司是否应该按同期银行息或其他方法计算利息收入并缴纳营业税等？税务机关是否有权核定其利息收入？二、 </w:t>
            </w:r>
            <w:r>
              <w:rPr>
                <w:rFonts w:eastAsia="宋体" w:cs="Times New Roman" w:ascii="Times New Roman" w:hAnsi="Times New Roman"/>
                <w:color w:val="000000"/>
                <w:szCs w:val="21"/>
              </w:rPr>
              <w:t>A</w:t>
            </w:r>
            <w:r>
              <w:rPr>
                <w:rFonts w:ascii="Times New Roman" w:hAnsi="Times New Roman" w:cs="Times New Roman"/>
                <w:color w:val="000000"/>
                <w:szCs w:val="21"/>
              </w:rPr>
              <w:t>公司用银行借款</w:t>
            </w:r>
            <w:r>
              <w:rPr>
                <w:rFonts w:eastAsia="宋体" w:cs="Times New Roman" w:ascii="Times New Roman" w:hAnsi="Times New Roman"/>
                <w:color w:val="000000"/>
                <w:szCs w:val="21"/>
              </w:rPr>
              <w:t>500</w:t>
            </w:r>
            <w:r>
              <w:rPr>
                <w:rFonts w:ascii="Times New Roman" w:hAnsi="Times New Roman" w:cs="Times New Roman"/>
                <w:color w:val="000000"/>
                <w:szCs w:val="21"/>
              </w:rPr>
              <w:t>万暂借给</w:t>
            </w:r>
            <w:r>
              <w:rPr>
                <w:rFonts w:eastAsia="宋体" w:cs="Times New Roman" w:ascii="Times New Roman" w:hAnsi="Times New Roman"/>
                <w:color w:val="000000"/>
                <w:szCs w:val="21"/>
              </w:rPr>
              <w:t>B</w:t>
            </w:r>
            <w:r>
              <w:rPr>
                <w:rFonts w:ascii="Times New Roman" w:hAnsi="Times New Roman" w:cs="Times New Roman"/>
                <w:color w:val="000000"/>
                <w:szCs w:val="21"/>
              </w:rPr>
              <w:t>公司，时间</w:t>
            </w:r>
            <w:r>
              <w:rPr>
                <w:rFonts w:eastAsia="宋体" w:cs="Times New Roman" w:ascii="Times New Roman" w:hAnsi="Times New Roman"/>
                <w:color w:val="000000"/>
                <w:szCs w:val="21"/>
              </w:rPr>
              <w:t>2</w:t>
            </w:r>
            <w:r>
              <w:rPr>
                <w:rFonts w:ascii="Times New Roman" w:hAnsi="Times New Roman" w:cs="Times New Roman"/>
                <w:color w:val="000000"/>
                <w:szCs w:val="21"/>
              </w:rPr>
              <w:t>个月，</w:t>
            </w:r>
            <w:r>
              <w:rPr>
                <w:rFonts w:eastAsia="宋体" w:cs="Times New Roman" w:ascii="Times New Roman" w:hAnsi="Times New Roman"/>
                <w:color w:val="000000"/>
                <w:szCs w:val="21"/>
              </w:rPr>
              <w:t>B</w:t>
            </w:r>
            <w:r>
              <w:rPr>
                <w:rFonts w:ascii="Times New Roman" w:hAnsi="Times New Roman" w:cs="Times New Roman"/>
                <w:color w:val="000000"/>
                <w:szCs w:val="21"/>
              </w:rPr>
              <w:t>公司到期按协议（不用利息）还给</w:t>
            </w:r>
            <w:r>
              <w:rPr>
                <w:rFonts w:eastAsia="宋体" w:cs="Times New Roman" w:ascii="Times New Roman" w:hAnsi="Times New Roman"/>
                <w:color w:val="000000"/>
                <w:szCs w:val="21"/>
              </w:rPr>
              <w:t>A</w:t>
            </w:r>
            <w:r>
              <w:rPr>
                <w:rFonts w:ascii="Times New Roman" w:hAnsi="Times New Roman" w:cs="Times New Roman"/>
                <w:color w:val="000000"/>
                <w:szCs w:val="21"/>
              </w:rPr>
              <w:t>公司</w:t>
            </w:r>
            <w:r>
              <w:rPr>
                <w:rFonts w:eastAsia="宋体" w:cs="Times New Roman" w:ascii="Times New Roman" w:hAnsi="Times New Roman"/>
                <w:color w:val="000000"/>
                <w:szCs w:val="21"/>
              </w:rPr>
              <w:t>500</w:t>
            </w:r>
            <w:r>
              <w:rPr>
                <w:rFonts w:ascii="Times New Roman" w:hAnsi="Times New Roman" w:cs="Times New Roman"/>
                <w:color w:val="000000"/>
                <w:szCs w:val="21"/>
              </w:rPr>
              <w:t>万，</w:t>
            </w:r>
            <w:r>
              <w:rPr>
                <w:rFonts w:eastAsia="宋体" w:cs="Times New Roman" w:ascii="Times New Roman" w:hAnsi="Times New Roman"/>
                <w:color w:val="000000"/>
                <w:szCs w:val="21"/>
              </w:rPr>
              <w:t>B</w:t>
            </w:r>
            <w:r>
              <w:rPr>
                <w:rFonts w:ascii="Times New Roman" w:hAnsi="Times New Roman" w:cs="Times New Roman"/>
                <w:color w:val="000000"/>
                <w:szCs w:val="21"/>
              </w:rPr>
              <w:t>公司实际也没有支付利息给</w:t>
            </w:r>
            <w:r>
              <w:rPr>
                <w:rFonts w:eastAsia="宋体" w:cs="Times New Roman" w:ascii="Times New Roman" w:hAnsi="Times New Roman"/>
                <w:color w:val="000000"/>
                <w:szCs w:val="21"/>
              </w:rPr>
              <w:t>A</w:t>
            </w:r>
            <w:r>
              <w:rPr>
                <w:rFonts w:ascii="Times New Roman" w:hAnsi="Times New Roman" w:cs="Times New Roman"/>
                <w:color w:val="000000"/>
                <w:szCs w:val="21"/>
              </w:rPr>
              <w:t>公司。请问，这种情况</w:t>
            </w:r>
            <w:r>
              <w:rPr>
                <w:rFonts w:eastAsia="宋体" w:cs="Times New Roman" w:ascii="Times New Roman" w:hAnsi="Times New Roman"/>
                <w:color w:val="000000"/>
                <w:szCs w:val="21"/>
              </w:rPr>
              <w:t>A</w:t>
            </w:r>
            <w:r>
              <w:rPr>
                <w:rFonts w:ascii="Times New Roman" w:hAnsi="Times New Roman" w:cs="Times New Roman"/>
                <w:color w:val="000000"/>
                <w:szCs w:val="21"/>
              </w:rPr>
              <w:t xml:space="preserve">公司是否应调整相应的财务费用？如企业没有调整的，税务机关是否有权责令企业调增应税所得额？ </w:t>
            </w:r>
          </w:p>
        </w:tc>
      </w:tr>
      <w:tr>
        <w:trPr/>
        <w:tc>
          <w:tcPr>
            <w:tcW w:w="8139" w:type="dxa"/>
            <w:tcBorders>
              <w:top w:val="single" w:sz="6" w:space="0" w:color="E3EDF5"/>
              <w:left w:val="single" w:sz="6" w:space="0" w:color="E3EDF5"/>
              <w:bottom w:val="single" w:sz="6" w:space="0" w:color="E3EDF5"/>
              <w:right w:val="single" w:sz="6" w:space="0" w:color="E3EDF5"/>
              <w:insideH w:val="single" w:sz="6" w:space="0" w:color="E3EDF5"/>
              <w:insideV w:val="single" w:sz="6" w:space="0" w:color="E3EDF5"/>
            </w:tcBorders>
            <w:shd w:fill="auto" w:val="clear"/>
            <w:tcMar>
              <w:left w:w="52" w:type="dxa"/>
            </w:tcMar>
            <w:vAlign w:val="center"/>
          </w:tcPr>
          <w:p>
            <w:pPr>
              <w:pStyle w:val="Normal"/>
              <w:widowControl/>
              <w:jc w:val="left"/>
              <w:rPr>
                <w:rFonts w:ascii="宋体" w:hAnsi="宋体" w:eastAsia="宋体" w:cs="宋体"/>
                <w:szCs w:val="21"/>
              </w:rPr>
            </w:pPr>
            <w:r>
              <w:rPr>
                <w:rFonts w:ascii="Times New Roman" w:hAnsi="Times New Roman" w:cs="Times New Roman"/>
                <w:b/>
                <w:bCs/>
                <w:color w:val="000000"/>
                <w:szCs w:val="21"/>
              </w:rPr>
              <w:t>回复意见：</w:t>
            </w:r>
            <w:r>
              <w:rPr>
                <w:rFonts w:eastAsia="宋体" w:cs="宋体" w:ascii="宋体" w:hAnsi="宋体"/>
                <w:color w:val="FFFFFF"/>
                <w:sz w:val="15"/>
                <w:szCs w:val="15"/>
              </w:rPr>
              <w:t>8 e( X6 u7 |+ I</w:t>
            </w:r>
            <w:r>
              <w:rPr>
                <w:rFonts w:eastAsia="宋体" w:cs="宋体" w:ascii="宋体" w:hAnsi="宋体"/>
                <w:szCs w:val="21"/>
              </w:rPr>
              <w:br/>
            </w:r>
            <w:r>
              <w:rPr>
                <w:rFonts w:ascii="Times New Roman" w:hAnsi="Times New Roman" w:cs="Times New Roman"/>
                <w:color w:val="000000"/>
                <w:szCs w:val="21"/>
              </w:rPr>
              <w:t>　　您好：</w:t>
            </w:r>
            <w:r>
              <w:rPr>
                <w:rFonts w:eastAsia="宋体" w:cs="宋体" w:ascii="宋体" w:hAnsi="宋体"/>
                <w:color w:val="FFFFFF"/>
                <w:sz w:val="15"/>
                <w:szCs w:val="15"/>
              </w:rPr>
              <w:t>9 l5 R+ @&amp; i$ a% p5 X5 D9 Y2 {</w:t>
            </w:r>
            <w:r>
              <w:rPr>
                <w:rFonts w:eastAsia="宋体" w:cs="宋体" w:ascii="宋体" w:hAnsi="宋体"/>
                <w:szCs w:val="21"/>
              </w:rPr>
              <w:br/>
            </w:r>
            <w:r>
              <w:rPr>
                <w:rFonts w:ascii="Times New Roman" w:hAnsi="Times New Roman" w:cs="Times New Roman"/>
                <w:color w:val="000000"/>
                <w:szCs w:val="21"/>
              </w:rPr>
              <w:t>　　您在我们网站上提交的纳税咨询问题收悉，现针对您所提供的信息简要回复如下：</w:t>
            </w:r>
            <w:r>
              <w:rPr>
                <w:rFonts w:eastAsia="宋体" w:cs="宋体" w:ascii="宋体" w:hAnsi="宋体"/>
                <w:color w:val="FFFFFF"/>
                <w:sz w:val="15"/>
                <w:szCs w:val="15"/>
              </w:rPr>
              <w:t>% R: E0 u7 p4 Z: Y" Z0 b</w:t>
            </w:r>
            <w:r>
              <w:rPr>
                <w:rFonts w:eastAsia="宋体" w:cs="宋体" w:ascii="宋体" w:hAnsi="宋体"/>
                <w:szCs w:val="21"/>
              </w:rPr>
              <w:br/>
            </w:r>
            <w:r>
              <w:rPr>
                <w:rFonts w:ascii="Times New Roman" w:hAnsi="Times New Roman" w:cs="Times New Roman"/>
                <w:color w:val="000000"/>
                <w:szCs w:val="21"/>
              </w:rPr>
              <w:t>　　</w:t>
            </w:r>
            <w:r>
              <w:rPr>
                <w:rFonts w:ascii="宋体" w:hAnsi="宋体" w:cs="宋体"/>
                <w:color w:val="000000"/>
                <w:szCs w:val="21"/>
              </w:rPr>
              <w:t xml:space="preserve"> </w:t>
            </w:r>
            <w:r>
              <w:rPr>
                <w:rFonts w:eastAsia="宋体" w:cs="宋体" w:ascii="宋体" w:hAnsi="宋体"/>
                <w:szCs w:val="21"/>
              </w:rPr>
              <w:br/>
            </w:r>
            <w:r>
              <w:rPr>
                <w:rFonts w:eastAsia="宋体" w:cs="宋体" w:ascii="宋体" w:hAnsi="宋体"/>
                <w:vanish/>
                <w:szCs w:val="21"/>
              </w:rPr>
              <w:t>* [3 I  [% h6 Y/ y/ D</w:t>
            </w:r>
            <w:r>
              <w:rPr>
                <w:rFonts w:ascii="Times New Roman" w:hAnsi="Times New Roman" w:cs="Times New Roman"/>
                <w:color w:val="000000"/>
                <w:szCs w:val="21"/>
              </w:rPr>
              <w:t>　　</w:t>
            </w:r>
            <w:r>
              <w:rPr>
                <w:rFonts w:eastAsia="宋体" w:cs="Times New Roman" w:ascii="Times New Roman" w:hAnsi="Times New Roman"/>
                <w:color w:val="000000"/>
                <w:szCs w:val="21"/>
              </w:rPr>
              <w:t>1</w:t>
            </w:r>
            <w:r>
              <w:rPr>
                <w:rFonts w:ascii="Times New Roman" w:hAnsi="Times New Roman" w:cs="Times New Roman"/>
                <w:color w:val="000000"/>
                <w:szCs w:val="21"/>
              </w:rPr>
              <w:t>、关于无偿将资金让渡给他人使用的涉税问题。《中华人民共和国营业税暂行条例》（国务院令</w:t>
            </w:r>
            <w:r>
              <w:rPr>
                <w:rFonts w:eastAsia="宋体" w:cs="Times New Roman" w:ascii="Times New Roman" w:hAnsi="Times New Roman"/>
                <w:color w:val="000000"/>
                <w:szCs w:val="21"/>
              </w:rPr>
              <w:t>2008</w:t>
            </w:r>
            <w:r>
              <w:rPr>
                <w:rFonts w:ascii="Times New Roman" w:hAnsi="Times New Roman" w:cs="Times New Roman"/>
                <w:color w:val="000000"/>
                <w:szCs w:val="21"/>
              </w:rPr>
              <w:t>年第</w:t>
            </w:r>
            <w:r>
              <w:rPr>
                <w:rFonts w:eastAsia="宋体" w:cs="Times New Roman" w:ascii="Times New Roman" w:hAnsi="Times New Roman"/>
                <w:color w:val="000000"/>
                <w:szCs w:val="21"/>
              </w:rPr>
              <w:t>540</w:t>
            </w:r>
            <w:r>
              <w:rPr>
                <w:rFonts w:ascii="Times New Roman" w:hAnsi="Times New Roman" w:cs="Times New Roman"/>
                <w:color w:val="000000"/>
                <w:szCs w:val="21"/>
              </w:rPr>
              <w:t>号）第一条规定，在中华人民共和国境内提供本条例规定的劳务、转让无形资产或者销售不动产的单位和个人，为营业税的纳税人，应当依照本条例缴纳营业税。《中华人民共和国营业税暂行条例实施细则》（财政部、国家税务总局令</w:t>
            </w:r>
            <w:r>
              <w:rPr>
                <w:rFonts w:eastAsia="宋体" w:cs="Times New Roman" w:ascii="Times New Roman" w:hAnsi="Times New Roman"/>
                <w:color w:val="000000"/>
                <w:szCs w:val="21"/>
              </w:rPr>
              <w:t>2008</w:t>
            </w:r>
            <w:r>
              <w:rPr>
                <w:rFonts w:ascii="Times New Roman" w:hAnsi="Times New Roman" w:cs="Times New Roman"/>
                <w:color w:val="000000"/>
                <w:szCs w:val="21"/>
              </w:rPr>
              <w:t>年第</w:t>
            </w:r>
            <w:r>
              <w:rPr>
                <w:rFonts w:eastAsia="宋体" w:cs="Times New Roman" w:ascii="Times New Roman" w:hAnsi="Times New Roman"/>
                <w:color w:val="000000"/>
                <w:szCs w:val="21"/>
              </w:rPr>
              <w:t>52</w:t>
            </w:r>
            <w:r>
              <w:rPr>
                <w:rFonts w:ascii="Times New Roman" w:hAnsi="Times New Roman" w:cs="Times New Roman"/>
                <w:color w:val="000000"/>
                <w:szCs w:val="21"/>
              </w:rPr>
              <w:t>号）第三条规定，条例第一条所称提供条例规定的劳务、转让无形资产或者销售不动产，是指有偿提供条例规定的劳务、有偿转让无形资产或者有偿转让不动产所有权的行为。前款所称有偿，是指取得货币、货物或者其他经济利益。</w:t>
            </w:r>
            <w:r>
              <w:rPr>
                <w:rFonts w:ascii="宋体" w:hAnsi="宋体" w:cs="宋体"/>
                <w:color w:val="000000"/>
                <w:szCs w:val="21"/>
              </w:rPr>
              <w:t xml:space="preserve"> </w:t>
            </w:r>
            <w:r>
              <w:rPr>
                <w:rFonts w:ascii="Times New Roman" w:hAnsi="Times New Roman" w:cs="Times New Roman"/>
                <w:color w:val="FFFFFF"/>
                <w:sz w:val="15"/>
                <w:szCs w:val="15"/>
              </w:rPr>
              <w:t>  </w:t>
            </w:r>
            <w:r>
              <w:rPr>
                <w:rFonts w:eastAsia="宋体" w:cs="Times New Roman" w:ascii="Times New Roman" w:hAnsi="Times New Roman"/>
                <w:color w:val="FFFFFF"/>
                <w:sz w:val="15"/>
                <w:szCs w:val="15"/>
              </w:rPr>
              <w:t>x( j- z! g4 {# m* p</w:t>
            </w:r>
            <w:r>
              <w:rPr>
                <w:rFonts w:eastAsia="宋体" w:cs="Times New Roman" w:ascii="Times New Roman" w:hAnsi="Times New Roman"/>
                <w:color w:val="000000"/>
                <w:szCs w:val="21"/>
              </w:rPr>
              <w:br/>
            </w:r>
            <w:r>
              <w:rPr>
                <w:rFonts w:ascii="Times New Roman" w:hAnsi="Times New Roman" w:cs="Times New Roman"/>
                <w:color w:val="000000"/>
                <w:szCs w:val="21"/>
              </w:rPr>
              <w:t>　　因此，</w:t>
            </w:r>
            <w:r>
              <w:rPr>
                <w:rFonts w:ascii="Times New Roman" w:hAnsi="Times New Roman" w:cs="Times New Roman"/>
                <w:b/>
                <w:bCs/>
                <w:color w:val="FF0000"/>
                <w:szCs w:val="21"/>
              </w:rPr>
              <w:t>公司之间或个人与公司之间发生的资金往来（无偿借款），若没有取得货币、货物或者其他经济利益，不缴纳营业税。由于无偿借款无收入体现，因此也不涉及企业所得税问题。</w:t>
            </w:r>
            <w:r>
              <w:rPr>
                <w:rFonts w:ascii="宋体" w:hAnsi="宋体" w:cs="宋体"/>
                <w:b/>
                <w:bCs/>
                <w:color w:val="FF0000"/>
                <w:szCs w:val="21"/>
              </w:rPr>
              <w:t xml:space="preserve"> </w:t>
            </w:r>
            <w:r>
              <w:rPr>
                <w:rFonts w:eastAsia="宋体" w:cs="宋体" w:ascii="宋体" w:hAnsi="宋体"/>
                <w:b/>
                <w:bCs/>
                <w:color w:val="FF0000"/>
                <w:sz w:val="15"/>
                <w:szCs w:val="15"/>
              </w:rPr>
              <w:t>0 R9 A</w:t>
            </w:r>
            <w:r>
              <w:rPr>
                <w:rFonts w:eastAsia="宋体" w:cs="宋体" w:ascii="宋体" w:hAnsi="宋体"/>
                <w:b/>
                <w:bCs/>
                <w:color w:val="FFFFFF"/>
                <w:sz w:val="15"/>
                <w:szCs w:val="15"/>
              </w:rPr>
              <w:t>0 k; B) j. ^1 l1 Z</w:t>
            </w:r>
            <w:r>
              <w:rPr>
                <w:rFonts w:eastAsia="宋体" w:cs="宋体" w:ascii="宋体" w:hAnsi="宋体"/>
                <w:b/>
                <w:bCs/>
                <w:szCs w:val="21"/>
              </w:rPr>
              <w:br/>
            </w:r>
            <w:r>
              <w:rPr>
                <w:rFonts w:ascii="Times New Roman" w:hAnsi="Times New Roman" w:cs="Times New Roman"/>
                <w:color w:val="000000"/>
                <w:szCs w:val="21"/>
              </w:rPr>
              <w:t>　　《中华人民共和国税收征收管理法》第三十六条规定，企业或者外国企业在中国境内设立的从事生产、经营的机构、场所与其关联企业之间的业务往来，应当按照独立企业之间的业务往来收取或者支付价款、费用；不按照独立企业之间的业务往来收取或者支付价款、费用，而减少其应纳税的收入或者所得额的，税务机关有权进行合理调整</w:t>
            </w:r>
            <w:r>
              <w:rPr>
                <w:rFonts w:ascii="Times New Roman" w:hAnsi="Times New Roman" w:cs="Times New Roman"/>
                <w:color w:val="FF0000"/>
                <w:szCs w:val="21"/>
              </w:rPr>
              <w:t>。</w:t>
            </w:r>
            <w:r>
              <w:rPr>
                <w:rFonts w:ascii="Times New Roman" w:hAnsi="Times New Roman" w:cs="Times New Roman"/>
                <w:b/>
                <w:bCs/>
                <w:color w:val="FF0000"/>
                <w:szCs w:val="21"/>
              </w:rPr>
              <w:t>即若借贷双方存在关联关系，税务机关有权核定其利息收入并缴纳营业税和企业所得税。</w:t>
            </w:r>
            <w:r>
              <w:rPr>
                <w:rFonts w:eastAsia="宋体" w:cs="宋体" w:ascii="宋体" w:hAnsi="宋体"/>
                <w:b/>
                <w:bCs/>
                <w:szCs w:val="21"/>
              </w:rPr>
              <w:br/>
            </w:r>
            <w:r>
              <w:rPr>
                <w:rFonts w:eastAsia="宋体" w:cs="宋体" w:ascii="宋体" w:hAnsi="宋体"/>
                <w:b/>
                <w:bCs/>
                <w:vanish/>
                <w:szCs w:val="21"/>
              </w:rPr>
              <w:t>: N$ n# l+ w0 k2 s) i</w:t>
            </w:r>
            <w:r>
              <w:rPr>
                <w:rFonts w:ascii="Times New Roman" w:hAnsi="Times New Roman" w:cs="Times New Roman"/>
                <w:color w:val="000000"/>
                <w:szCs w:val="21"/>
              </w:rPr>
              <w:t>　　</w:t>
            </w:r>
            <w:r>
              <w:rPr>
                <w:rFonts w:ascii="宋体" w:hAnsi="宋体" w:cs="宋体"/>
                <w:color w:val="000000"/>
                <w:szCs w:val="21"/>
              </w:rPr>
              <w:t xml:space="preserve"> </w:t>
            </w:r>
            <w:r>
              <w:rPr>
                <w:rFonts w:eastAsia="宋体" w:cs="宋体" w:ascii="宋体" w:hAnsi="宋体"/>
                <w:color w:val="FFFFFF"/>
                <w:sz w:val="15"/>
                <w:szCs w:val="15"/>
              </w:rPr>
              <w:t>) v) E' \1 A+ L7 ]&amp; \6 s</w:t>
            </w:r>
            <w:r>
              <w:rPr>
                <w:rFonts w:eastAsia="宋体" w:cs="宋体" w:ascii="宋体" w:hAnsi="宋体"/>
                <w:szCs w:val="21"/>
              </w:rPr>
              <w:br/>
            </w:r>
            <w:r>
              <w:rPr>
                <w:rFonts w:ascii="Times New Roman" w:hAnsi="Times New Roman" w:cs="Times New Roman"/>
                <w:color w:val="000000"/>
                <w:szCs w:val="21"/>
              </w:rPr>
              <w:t>　　</w:t>
            </w:r>
            <w:r>
              <w:rPr>
                <w:rFonts w:eastAsia="宋体" w:cs="Times New Roman" w:ascii="Times New Roman" w:hAnsi="Times New Roman"/>
                <w:color w:val="000000"/>
                <w:szCs w:val="21"/>
              </w:rPr>
              <w:t>2</w:t>
            </w:r>
            <w:r>
              <w:rPr>
                <w:rFonts w:ascii="Times New Roman" w:hAnsi="Times New Roman" w:cs="Times New Roman"/>
                <w:color w:val="000000"/>
                <w:szCs w:val="21"/>
              </w:rPr>
              <w:t>、关于将银行借款无偿让渡他人使用的涉税问题。</w:t>
            </w:r>
            <w:r>
              <w:rPr>
                <w:rFonts w:ascii="Times New Roman" w:hAnsi="Times New Roman" w:cs="Times New Roman"/>
                <w:b/>
                <w:bCs/>
                <w:color w:val="FF0000"/>
                <w:szCs w:val="21"/>
              </w:rPr>
              <w:t>企业将银行借款无偿转借他人，实质上是将企业获得的利益转赠他人的一种行业，因此税务部门有权力按银行同期借款利率核定其转借收入，并就其适用营业税暂行条例按金融业税目征收营业税</w:t>
            </w:r>
            <w:r>
              <w:rPr>
                <w:rFonts w:ascii="Times New Roman" w:hAnsi="Times New Roman" w:cs="Times New Roman"/>
                <w:color w:val="FF0000"/>
                <w:szCs w:val="21"/>
              </w:rPr>
              <w:t>。《</w:t>
            </w:r>
            <w:r>
              <w:rPr>
                <w:rFonts w:ascii="Times New Roman" w:hAnsi="Times New Roman" w:cs="Times New Roman"/>
                <w:color w:val="000000"/>
                <w:szCs w:val="21"/>
              </w:rPr>
              <w:t>中华人民共和国企业所得税法》第八条规定，企业实际发生的与取得收入有关的、合理的支出，包括成本、费用、税金、损失和其他支出，准予在计算应纳税所得额时扣除。</w:t>
            </w:r>
            <w:r>
              <w:rPr>
                <w:rFonts w:ascii="Times New Roman" w:hAnsi="Times New Roman" w:cs="Times New Roman"/>
                <w:b/>
                <w:bCs/>
                <w:color w:val="000000"/>
                <w:szCs w:val="21"/>
              </w:rPr>
              <w:t>据此，</w:t>
            </w:r>
            <w:r>
              <w:rPr>
                <w:rFonts w:eastAsia="宋体" w:cs="Times New Roman" w:ascii="Times New Roman" w:hAnsi="Times New Roman"/>
                <w:b/>
                <w:bCs/>
                <w:color w:val="000000"/>
                <w:szCs w:val="21"/>
              </w:rPr>
              <w:t>A</w:t>
            </w:r>
            <w:r>
              <w:rPr>
                <w:rFonts w:ascii="Times New Roman" w:hAnsi="Times New Roman" w:cs="Times New Roman"/>
                <w:b/>
                <w:bCs/>
                <w:color w:val="000000"/>
                <w:szCs w:val="21"/>
              </w:rPr>
              <w:t>公司将银行借款无偿让渡给</w:t>
            </w:r>
            <w:r>
              <w:rPr>
                <w:rFonts w:eastAsia="宋体" w:cs="Times New Roman" w:ascii="Times New Roman" w:hAnsi="Times New Roman"/>
                <w:b/>
                <w:bCs/>
                <w:color w:val="000000"/>
                <w:szCs w:val="21"/>
              </w:rPr>
              <w:t>B</w:t>
            </w:r>
            <w:r>
              <w:rPr>
                <w:rFonts w:ascii="Times New Roman" w:hAnsi="Times New Roman" w:cs="Times New Roman"/>
                <w:b/>
                <w:bCs/>
                <w:color w:val="000000"/>
                <w:szCs w:val="21"/>
              </w:rPr>
              <w:t>公司使用，所支付的利息与取得收入无关，应调增应税所得额。</w:t>
            </w:r>
            <w:r>
              <w:rPr>
                <w:rFonts w:eastAsia="宋体" w:cs="宋体" w:ascii="宋体" w:hAnsi="宋体"/>
                <w:b/>
                <w:bCs/>
                <w:color w:val="FFFFFF"/>
                <w:sz w:val="15"/>
                <w:szCs w:val="15"/>
              </w:rPr>
              <w:t>/ ~4 G+ e. ]6 l</w:t>
            </w:r>
            <w:r>
              <w:rPr>
                <w:rFonts w:eastAsia="宋体" w:cs="宋体" w:ascii="宋体" w:hAnsi="宋体"/>
                <w:b/>
                <w:bCs/>
                <w:szCs w:val="21"/>
              </w:rPr>
              <w:br/>
            </w:r>
            <w:r>
              <w:rPr>
                <w:rFonts w:ascii="Times New Roman" w:hAnsi="Times New Roman" w:cs="Times New Roman"/>
                <w:color w:val="000000"/>
                <w:szCs w:val="21"/>
              </w:rPr>
              <w:t>　　</w:t>
            </w:r>
            <w:r>
              <w:rPr>
                <w:rFonts w:ascii="宋体" w:hAnsi="宋体" w:cs="宋体"/>
                <w:color w:val="000000"/>
                <w:szCs w:val="21"/>
              </w:rPr>
              <w:t xml:space="preserve"> </w:t>
            </w:r>
            <w:r>
              <w:rPr>
                <w:rFonts w:eastAsia="宋体" w:cs="宋体" w:ascii="宋体" w:hAnsi="宋体"/>
                <w:color w:val="FFFFFF"/>
                <w:sz w:val="15"/>
                <w:szCs w:val="15"/>
              </w:rPr>
              <w:t>; M0 q0 |" b0 }* D0 {6 x* d" J% s</w:t>
            </w:r>
          </w:p>
        </w:tc>
      </w:tr>
    </w:tbl>
    <w:p>
      <w:pPr>
        <w:pStyle w:val="Normal"/>
        <w:widowControl/>
        <w:spacing w:lineRule="auto" w:line="379" w:beforeAutospacing="1" w:afterAutospacing="1"/>
        <w:ind w:firstLine="255"/>
        <w:jc w:val="left"/>
        <w:rPr/>
      </w:pPr>
      <w:r>
        <w:rPr/>
      </w:r>
    </w:p>
    <w:sectPr>
      <w:headerReference w:type="default" r:id="rId2"/>
      <w:type w:val="nextPage"/>
      <w:pgSz w:w="11906" w:h="16838"/>
      <w:pgMar w:left="1800" w:right="1800" w:header="1440" w:top="1963" w:footer="0" w:bottom="1440" w:gutter="0"/>
      <w:pgNumType w:fmt="decimal"/>
      <w:formProt w:val="false"/>
      <w:textDirection w:val="lrTb"/>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Georgia">
    <w:charset w:val="01"/>
    <w:family w:val="roman"/>
    <w:pitch w:val="default"/>
  </w:font>
  <w:font w:name="宋体">
    <w:charset w:val="01"/>
    <w:family w:val="swiss"/>
    <w:pitch w:val="default"/>
  </w:font>
  <w:font w:name="Arial">
    <w:charset w:val="01"/>
    <w:family w:val="swiss"/>
    <w:pitch w:val="default"/>
  </w:font>
  <w:font w:name="Times New Roman">
    <w:charset w:val="01"/>
    <w:family w:val="swiss"/>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6"/>
      <w:rPr/>
    </w:pPr>
    <w:r>
      <w:rPr/>
      <w:t>租赁视界 标记学习</w:t>
    </w:r>
  </w:p>
</w:hdr>
</file>

<file path=word/settings.xml><?xml version="1.0" encoding="utf-8"?>
<w:settings xmlns:w="http://schemas.openxmlformats.org/wordprocessingml/2006/main">
  <w:zoom w:percent="100"/>
  <w:defaultTabStop w:val="420"/>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宋体" w:cs="" w:asciiTheme="minorHAnsi" w:cstheme="minorBidi" w:eastAsiaTheme="minorEastAsia" w:hAnsiTheme="minorHAnsi"/>
        <w:sz w:val="21"/>
        <w:szCs w:val="22"/>
        <w:lang w:val="en-US" w:eastAsia="zh-CN"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d36b7"/>
    <w:pPr>
      <w:widowControl w:val="false"/>
      <w:bidi w:val="0"/>
      <w:jc w:val="both"/>
    </w:pPr>
    <w:rPr>
      <w:rFonts w:ascii="Calibri" w:hAnsi="Calibri" w:eastAsia="宋体" w:cs="" w:asciiTheme="minorHAnsi" w:cstheme="minorBidi" w:eastAsiaTheme="minorEastAsia" w:hAnsiTheme="minorHAnsi"/>
      <w:color w:val="auto"/>
      <w:sz w:val="21"/>
      <w:szCs w:val="22"/>
      <w:lang w:val="en-US" w:eastAsia="zh-CN" w:bidi="ar-SA"/>
    </w:rPr>
  </w:style>
  <w:style w:type="paragraph" w:styleId="1">
    <w:name w:val="标题 1"/>
    <w:basedOn w:val="Style11"/>
    <w:pPr/>
    <w:rPr/>
  </w:style>
  <w:style w:type="paragraph" w:styleId="2">
    <w:name w:val="标题 2"/>
    <w:basedOn w:val="Style11"/>
    <w:pPr/>
    <w:rPr/>
  </w:style>
  <w:style w:type="paragraph" w:styleId="3">
    <w:name w:val="标题 3"/>
    <w:basedOn w:val="Style11"/>
    <w:pPr/>
    <w:rPr/>
  </w:style>
  <w:style w:type="character" w:styleId="DefaultParagraphFont" w:default="1">
    <w:name w:val="Default Paragraph Font"/>
    <w:uiPriority w:val="1"/>
    <w:semiHidden/>
    <w:unhideWhenUsed/>
    <w:qFormat/>
    <w:rPr/>
  </w:style>
  <w:style w:type="character" w:styleId="Char" w:customStyle="1">
    <w:name w:val="页眉 Char"/>
    <w:basedOn w:val="DefaultParagraphFont"/>
    <w:link w:val="a3"/>
    <w:uiPriority w:val="99"/>
    <w:semiHidden/>
    <w:qFormat/>
    <w:rsid w:val="00903789"/>
    <w:rPr>
      <w:sz w:val="18"/>
      <w:szCs w:val="18"/>
    </w:rPr>
  </w:style>
  <w:style w:type="character" w:styleId="Char1" w:customStyle="1">
    <w:name w:val="页脚 Char"/>
    <w:basedOn w:val="DefaultParagraphFont"/>
    <w:link w:val="a4"/>
    <w:uiPriority w:val="99"/>
    <w:semiHidden/>
    <w:qFormat/>
    <w:rsid w:val="00903789"/>
    <w:rPr>
      <w:sz w:val="18"/>
      <w:szCs w:val="18"/>
    </w:rPr>
  </w:style>
  <w:style w:type="paragraph" w:styleId="Style11">
    <w:name w:val="标题"/>
    <w:basedOn w:val="Normal"/>
    <w:next w:val="Style12"/>
    <w:qFormat/>
    <w:pPr>
      <w:keepNext/>
      <w:spacing w:before="240" w:after="120"/>
    </w:pPr>
    <w:rPr>
      <w:rFonts w:ascii="Georgia" w:hAnsi="Georgia" w:eastAsia="Microsoft YaHei" w:cs="Lucida Sans"/>
      <w:sz w:val="28"/>
      <w:szCs w:val="28"/>
    </w:rPr>
  </w:style>
  <w:style w:type="paragraph" w:styleId="Style12">
    <w:name w:val="正文"/>
    <w:basedOn w:val="Normal"/>
    <w:pPr>
      <w:spacing w:lineRule="auto" w:line="288" w:before="0" w:after="140"/>
    </w:pPr>
    <w:rPr/>
  </w:style>
  <w:style w:type="paragraph" w:styleId="Style13">
    <w:name w:val="列表"/>
    <w:basedOn w:val="Style12"/>
    <w:pPr/>
    <w:rPr>
      <w:rFonts w:ascii="Calibri" w:hAnsi="Calibri" w:eastAsia="宋体" w:cs="Lucida Sans"/>
    </w:rPr>
  </w:style>
  <w:style w:type="paragraph" w:styleId="Style14">
    <w:name w:val="题注"/>
    <w:basedOn w:val="Normal"/>
    <w:pPr>
      <w:suppressLineNumbers/>
      <w:spacing w:before="120" w:after="120"/>
    </w:pPr>
    <w:rPr>
      <w:rFonts w:ascii="Calibri" w:hAnsi="Calibri" w:eastAsia="宋体" w:cs="Lucida Sans"/>
      <w:i/>
      <w:iCs/>
      <w:sz w:val="24"/>
      <w:szCs w:val="24"/>
    </w:rPr>
  </w:style>
  <w:style w:type="paragraph" w:styleId="Style15">
    <w:name w:val="索引"/>
    <w:basedOn w:val="Normal"/>
    <w:qFormat/>
    <w:pPr>
      <w:suppressLineNumbers/>
    </w:pPr>
    <w:rPr>
      <w:rFonts w:ascii="Calibri" w:hAnsi="Calibri" w:eastAsia="宋体" w:cs="Lucida Sans"/>
    </w:rPr>
  </w:style>
  <w:style w:type="paragraph" w:styleId="Style16">
    <w:name w:val="页眉"/>
    <w:basedOn w:val="Normal"/>
    <w:link w:val="Char"/>
    <w:uiPriority w:val="99"/>
    <w:semiHidden/>
    <w:unhideWhenUsed/>
    <w:rsid w:val="00903789"/>
    <w:pPr>
      <w:pBdr>
        <w:bottom w:val="single" w:sz="6" w:space="1" w:color="00000A"/>
      </w:pBdr>
      <w:tabs>
        <w:tab w:val="center" w:pos="4153" w:leader="none"/>
        <w:tab w:val="right" w:pos="8306" w:leader="none"/>
      </w:tabs>
      <w:snapToGrid w:val="false"/>
      <w:jc w:val="center"/>
    </w:pPr>
    <w:rPr>
      <w:sz w:val="18"/>
      <w:szCs w:val="18"/>
    </w:rPr>
  </w:style>
  <w:style w:type="paragraph" w:styleId="Style17">
    <w:name w:val="页脚"/>
    <w:basedOn w:val="Normal"/>
    <w:link w:val="Char0"/>
    <w:uiPriority w:val="99"/>
    <w:semiHidden/>
    <w:unhideWhenUsed/>
    <w:rsid w:val="00903789"/>
    <w:pPr>
      <w:tabs>
        <w:tab w:val="center" w:pos="4153" w:leader="none"/>
        <w:tab w:val="right" w:pos="8306" w:leader="none"/>
      </w:tabs>
      <w:snapToGrid w:val="false"/>
      <w:jc w:val="left"/>
    </w:pPr>
    <w:rPr>
      <w:sz w:val="18"/>
      <w:szCs w:val="18"/>
    </w:rPr>
  </w:style>
  <w:style w:type="paragraph" w:styleId="NormalWeb">
    <w:name w:val="Normal (Web)"/>
    <w:basedOn w:val="Normal"/>
    <w:uiPriority w:val="99"/>
    <w:semiHidden/>
    <w:unhideWhenUsed/>
    <w:qFormat/>
    <w:rsid w:val="00903789"/>
    <w:pPr>
      <w:widowControl/>
      <w:spacing w:beforeAutospacing="1" w:afterAutospacing="1"/>
      <w:jc w:val="left"/>
    </w:pPr>
    <w:rPr>
      <w:rFonts w:ascii="宋体" w:hAnsi="宋体" w:eastAsia="宋体" w:cs="宋体"/>
      <w:sz w:val="24"/>
      <w:szCs w:val="24"/>
    </w:rPr>
  </w:style>
  <w:style w:type="paragraph" w:styleId="Style18">
    <w:name w:val="引用"/>
    <w:basedOn w:val="Normal"/>
    <w:qFormat/>
    <w:pPr/>
    <w:rPr/>
  </w:style>
  <w:style w:type="paragraph" w:styleId="Style19">
    <w:name w:val="大标题"/>
    <w:basedOn w:val="Style11"/>
    <w:pPr/>
    <w:rPr/>
  </w:style>
  <w:style w:type="paragraph" w:styleId="Style20">
    <w:name w:val="分标题"/>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Application>LibreOffice/5.0.2.2$MacOSX_X86_64 LibreOffice_project/37b43f919e4de5eeaca9b9755ed688758a8251fe</Application>
  <Paragraphs>7</Paragraphs>
  <Company>微软中国</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2012-05-12T00:32:00Z</dcterms:created>
  <dc:creator>Microsoft.com</dc:creator>
  <dc:language>zh-CN</dc:language>
  <cp:lastModifiedBy>张 艳坤</cp:lastModifiedBy>
  <dcterms:modified xsi:type="dcterms:W3CDTF">2015-10-13T03:37:34Z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微软中国</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