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47E" w:rsidRPr="00D9347E" w:rsidRDefault="00D9347E" w:rsidP="00257B37">
      <w:pPr>
        <w:adjustRightInd w:val="0"/>
        <w:snapToGrid w:val="0"/>
        <w:spacing w:line="360" w:lineRule="auto"/>
        <w:rPr>
          <w:rFonts w:ascii="宋体" w:hAnsi="宋体"/>
          <w:sz w:val="24"/>
        </w:rPr>
      </w:pPr>
    </w:p>
    <w:p w:rsidR="00D9347E" w:rsidRDefault="00D9347E" w:rsidP="00257B37">
      <w:pPr>
        <w:adjustRightInd w:val="0"/>
        <w:snapToGrid w:val="0"/>
        <w:spacing w:line="360" w:lineRule="auto"/>
        <w:rPr>
          <w:rFonts w:ascii="宋体" w:hAnsi="宋体"/>
          <w:sz w:val="24"/>
        </w:rPr>
      </w:pPr>
    </w:p>
    <w:p w:rsidR="00461759" w:rsidRDefault="00461759" w:rsidP="00257B37">
      <w:pPr>
        <w:adjustRightInd w:val="0"/>
        <w:snapToGrid w:val="0"/>
        <w:spacing w:line="360" w:lineRule="auto"/>
        <w:rPr>
          <w:rFonts w:ascii="宋体" w:hAnsi="宋体"/>
          <w:sz w:val="24"/>
        </w:rPr>
      </w:pPr>
    </w:p>
    <w:p w:rsidR="00461759" w:rsidRDefault="00461759" w:rsidP="00257B37">
      <w:pPr>
        <w:adjustRightInd w:val="0"/>
        <w:snapToGrid w:val="0"/>
        <w:spacing w:line="360" w:lineRule="auto"/>
        <w:rPr>
          <w:rFonts w:ascii="宋体" w:hAnsi="宋体"/>
          <w:sz w:val="24"/>
        </w:rPr>
      </w:pPr>
    </w:p>
    <w:p w:rsidR="00461759" w:rsidRDefault="00461759" w:rsidP="00257B37">
      <w:pPr>
        <w:adjustRightInd w:val="0"/>
        <w:snapToGrid w:val="0"/>
        <w:spacing w:line="360" w:lineRule="auto"/>
        <w:rPr>
          <w:rFonts w:ascii="宋体" w:hAnsi="宋体"/>
          <w:sz w:val="24"/>
        </w:rPr>
      </w:pPr>
    </w:p>
    <w:p w:rsidR="00461759" w:rsidRPr="00D9347E" w:rsidRDefault="00461759" w:rsidP="00257B37">
      <w:pPr>
        <w:adjustRightInd w:val="0"/>
        <w:snapToGrid w:val="0"/>
        <w:spacing w:line="360" w:lineRule="auto"/>
        <w:rPr>
          <w:rFonts w:ascii="宋体" w:hAnsi="宋体"/>
          <w:sz w:val="24"/>
        </w:rPr>
      </w:pPr>
    </w:p>
    <w:p w:rsidR="00D9347E" w:rsidRPr="00D9347E" w:rsidRDefault="00D9347E" w:rsidP="00257B37">
      <w:pPr>
        <w:adjustRightInd w:val="0"/>
        <w:snapToGrid w:val="0"/>
        <w:spacing w:line="360" w:lineRule="auto"/>
        <w:rPr>
          <w:rFonts w:ascii="宋体" w:hAnsi="宋体"/>
          <w:sz w:val="24"/>
        </w:rPr>
      </w:pPr>
    </w:p>
    <w:p w:rsidR="00D9347E" w:rsidRPr="00D9347E" w:rsidRDefault="00D9347E" w:rsidP="004F6DE6">
      <w:pPr>
        <w:adjustRightInd w:val="0"/>
        <w:snapToGrid w:val="0"/>
        <w:spacing w:line="360" w:lineRule="auto"/>
        <w:rPr>
          <w:rFonts w:ascii="宋体" w:hAnsi="宋体"/>
          <w:sz w:val="24"/>
        </w:rPr>
      </w:pPr>
    </w:p>
    <w:p w:rsidR="00D9347E" w:rsidRPr="00D9347E" w:rsidRDefault="00D9347E" w:rsidP="00257B37">
      <w:pPr>
        <w:adjustRightInd w:val="0"/>
        <w:snapToGrid w:val="0"/>
        <w:spacing w:line="360" w:lineRule="auto"/>
        <w:rPr>
          <w:rFonts w:ascii="宋体" w:hAnsi="宋体"/>
          <w:sz w:val="24"/>
        </w:rPr>
      </w:pPr>
    </w:p>
    <w:p w:rsidR="00D9347E" w:rsidRPr="00D9347E" w:rsidRDefault="00D9347E" w:rsidP="00257B37">
      <w:pPr>
        <w:adjustRightInd w:val="0"/>
        <w:snapToGrid w:val="0"/>
        <w:spacing w:line="360" w:lineRule="auto"/>
        <w:rPr>
          <w:rFonts w:ascii="宋体" w:hAnsi="宋体"/>
          <w:sz w:val="24"/>
        </w:rPr>
      </w:pPr>
    </w:p>
    <w:p w:rsidR="00D9347E" w:rsidRPr="00461759" w:rsidRDefault="00461759" w:rsidP="00257B37">
      <w:pPr>
        <w:adjustRightInd w:val="0"/>
        <w:snapToGrid w:val="0"/>
        <w:spacing w:line="360" w:lineRule="auto"/>
        <w:jc w:val="center"/>
        <w:rPr>
          <w:rFonts w:ascii="华文中宋" w:eastAsia="华文中宋" w:hAnsi="华文中宋"/>
          <w:b/>
          <w:sz w:val="52"/>
          <w:szCs w:val="52"/>
        </w:rPr>
      </w:pPr>
      <w:r w:rsidRPr="00461759">
        <w:rPr>
          <w:rFonts w:ascii="华文中宋" w:eastAsia="华文中宋" w:hAnsi="华文中宋" w:hint="eastAsia"/>
          <w:b/>
          <w:sz w:val="52"/>
          <w:szCs w:val="52"/>
        </w:rPr>
        <w:t>保理行业研究报告</w:t>
      </w:r>
    </w:p>
    <w:p w:rsidR="00461759" w:rsidRDefault="00461759" w:rsidP="00257B37">
      <w:pPr>
        <w:adjustRightInd w:val="0"/>
        <w:snapToGrid w:val="0"/>
        <w:spacing w:line="360" w:lineRule="auto"/>
        <w:rPr>
          <w:rFonts w:ascii="华文中宋" w:eastAsia="华文中宋" w:hAnsi="华文中宋"/>
          <w:b/>
          <w:sz w:val="30"/>
          <w:szCs w:val="30"/>
        </w:rPr>
      </w:pPr>
    </w:p>
    <w:p w:rsidR="00461759" w:rsidRDefault="00461759" w:rsidP="00257B37">
      <w:pPr>
        <w:adjustRightInd w:val="0"/>
        <w:snapToGrid w:val="0"/>
        <w:spacing w:line="360" w:lineRule="auto"/>
        <w:rPr>
          <w:rFonts w:ascii="华文中宋" w:eastAsia="华文中宋" w:hAnsi="华文中宋"/>
          <w:b/>
          <w:sz w:val="30"/>
          <w:szCs w:val="30"/>
        </w:rPr>
      </w:pPr>
    </w:p>
    <w:p w:rsidR="00461759" w:rsidRDefault="00BE2207" w:rsidP="00257B37">
      <w:pPr>
        <w:adjustRightInd w:val="0"/>
        <w:snapToGrid w:val="0"/>
        <w:spacing w:line="360" w:lineRule="auto"/>
        <w:jc w:val="center"/>
        <w:rPr>
          <w:rFonts w:ascii="华文中宋" w:eastAsia="华文中宋" w:hAnsi="华文中宋"/>
          <w:b/>
          <w:sz w:val="32"/>
          <w:szCs w:val="32"/>
        </w:rPr>
      </w:pPr>
      <w:r>
        <w:rPr>
          <w:rFonts w:ascii="华文中宋" w:eastAsia="华文中宋" w:hAnsi="华文中宋" w:hint="eastAsia"/>
          <w:b/>
          <w:sz w:val="32"/>
          <w:szCs w:val="32"/>
        </w:rPr>
        <w:t xml:space="preserve"> </w:t>
      </w:r>
    </w:p>
    <w:p w:rsidR="00461759" w:rsidRDefault="00461759" w:rsidP="00257B37">
      <w:pPr>
        <w:adjustRightInd w:val="0"/>
        <w:snapToGrid w:val="0"/>
        <w:spacing w:line="360" w:lineRule="auto"/>
        <w:jc w:val="center"/>
        <w:rPr>
          <w:rFonts w:ascii="华文中宋" w:eastAsia="华文中宋" w:hAnsi="华文中宋"/>
          <w:b/>
          <w:sz w:val="32"/>
          <w:szCs w:val="32"/>
        </w:rPr>
      </w:pPr>
    </w:p>
    <w:p w:rsidR="00461759" w:rsidRPr="00461759" w:rsidRDefault="00461759" w:rsidP="00257B37">
      <w:pPr>
        <w:adjustRightInd w:val="0"/>
        <w:snapToGrid w:val="0"/>
        <w:spacing w:line="360" w:lineRule="auto"/>
        <w:jc w:val="center"/>
        <w:rPr>
          <w:rFonts w:ascii="华文中宋" w:eastAsia="华文中宋" w:hAnsi="华文中宋"/>
          <w:b/>
          <w:sz w:val="32"/>
          <w:szCs w:val="32"/>
        </w:rPr>
      </w:pPr>
      <w:smartTag w:uri="urn:schemas-microsoft-com:office:smarttags" w:element="chsdate">
        <w:smartTagPr>
          <w:attr w:name="IsROCDate" w:val="False"/>
          <w:attr w:name="IsLunarDate" w:val="False"/>
          <w:attr w:name="Day" w:val="30"/>
          <w:attr w:name="Month" w:val="10"/>
          <w:attr w:name="Year" w:val="2011"/>
        </w:smartTagPr>
        <w:r w:rsidRPr="00461759">
          <w:rPr>
            <w:rFonts w:ascii="华文中宋" w:eastAsia="华文中宋" w:hAnsi="华文中宋"/>
            <w:b/>
            <w:sz w:val="32"/>
            <w:szCs w:val="30"/>
          </w:rPr>
          <w:t>二〇一一年</w:t>
        </w:r>
        <w:r w:rsidR="008F2AF9">
          <w:rPr>
            <w:rFonts w:ascii="华文中宋" w:eastAsia="华文中宋" w:hAnsi="华文中宋" w:hint="eastAsia"/>
            <w:b/>
            <w:sz w:val="32"/>
            <w:szCs w:val="30"/>
          </w:rPr>
          <w:t>十</w:t>
        </w:r>
        <w:r w:rsidR="008F2AF9">
          <w:rPr>
            <w:rFonts w:ascii="华文中宋" w:eastAsia="华文中宋" w:hAnsi="华文中宋"/>
            <w:b/>
            <w:sz w:val="32"/>
            <w:szCs w:val="30"/>
          </w:rPr>
          <w:t>月</w:t>
        </w:r>
        <w:r w:rsidR="008F2AF9">
          <w:rPr>
            <w:rFonts w:ascii="华文中宋" w:eastAsia="华文中宋" w:hAnsi="华文中宋" w:hint="eastAsia"/>
            <w:b/>
            <w:sz w:val="32"/>
            <w:szCs w:val="30"/>
          </w:rPr>
          <w:t>三十</w:t>
        </w:r>
        <w:r w:rsidRPr="00461759">
          <w:rPr>
            <w:rFonts w:ascii="华文中宋" w:eastAsia="华文中宋" w:hAnsi="华文中宋"/>
            <w:b/>
            <w:sz w:val="32"/>
            <w:szCs w:val="30"/>
          </w:rPr>
          <w:t>日</w:t>
        </w:r>
      </w:smartTag>
    </w:p>
    <w:p w:rsidR="00D9347E" w:rsidRPr="00461759" w:rsidRDefault="00D9347E" w:rsidP="00257B37">
      <w:pPr>
        <w:adjustRightInd w:val="0"/>
        <w:snapToGrid w:val="0"/>
        <w:spacing w:line="360" w:lineRule="auto"/>
        <w:rPr>
          <w:rFonts w:ascii="宋体" w:hAnsi="宋体"/>
          <w:sz w:val="24"/>
        </w:rPr>
      </w:pPr>
    </w:p>
    <w:p w:rsidR="00D9347E" w:rsidRDefault="00D9347E" w:rsidP="00257B37">
      <w:pPr>
        <w:adjustRightInd w:val="0"/>
        <w:snapToGrid w:val="0"/>
        <w:spacing w:line="360" w:lineRule="auto"/>
        <w:rPr>
          <w:rFonts w:ascii="宋体" w:hAnsi="宋体"/>
          <w:sz w:val="24"/>
        </w:rPr>
      </w:pPr>
    </w:p>
    <w:p w:rsidR="00D9347E" w:rsidRPr="00D9347E" w:rsidRDefault="00D9347E" w:rsidP="00257B37">
      <w:pPr>
        <w:adjustRightInd w:val="0"/>
        <w:snapToGrid w:val="0"/>
        <w:spacing w:line="360" w:lineRule="auto"/>
        <w:rPr>
          <w:rFonts w:ascii="宋体" w:hAnsi="宋体"/>
          <w:sz w:val="24"/>
        </w:rPr>
      </w:pPr>
    </w:p>
    <w:p w:rsidR="00D9347E" w:rsidRPr="00D9347E" w:rsidRDefault="00D9347E" w:rsidP="00257B37">
      <w:pPr>
        <w:adjustRightInd w:val="0"/>
        <w:snapToGrid w:val="0"/>
        <w:spacing w:line="360" w:lineRule="auto"/>
        <w:rPr>
          <w:rFonts w:ascii="宋体" w:hAnsi="宋体"/>
          <w:sz w:val="24"/>
        </w:rPr>
      </w:pPr>
    </w:p>
    <w:p w:rsidR="00D9347E" w:rsidRDefault="00D9347E" w:rsidP="00257B37">
      <w:pPr>
        <w:adjustRightInd w:val="0"/>
        <w:snapToGrid w:val="0"/>
        <w:spacing w:line="360" w:lineRule="auto"/>
        <w:rPr>
          <w:rFonts w:ascii="宋体" w:hAnsi="宋体"/>
          <w:sz w:val="24"/>
        </w:rPr>
      </w:pPr>
    </w:p>
    <w:p w:rsidR="00461759" w:rsidRDefault="00461759" w:rsidP="00257B37">
      <w:pPr>
        <w:adjustRightInd w:val="0"/>
        <w:snapToGrid w:val="0"/>
        <w:spacing w:line="360" w:lineRule="auto"/>
        <w:rPr>
          <w:rFonts w:ascii="宋体" w:hAnsi="宋体"/>
          <w:sz w:val="24"/>
        </w:rPr>
      </w:pPr>
    </w:p>
    <w:p w:rsidR="00461759" w:rsidRDefault="00461759" w:rsidP="00257B37">
      <w:pPr>
        <w:adjustRightInd w:val="0"/>
        <w:snapToGrid w:val="0"/>
        <w:spacing w:line="360" w:lineRule="auto"/>
        <w:rPr>
          <w:rFonts w:ascii="宋体" w:hAnsi="宋体"/>
          <w:sz w:val="24"/>
        </w:rPr>
      </w:pPr>
    </w:p>
    <w:p w:rsidR="00461759" w:rsidRDefault="00461759" w:rsidP="00257B37">
      <w:pPr>
        <w:adjustRightInd w:val="0"/>
        <w:snapToGrid w:val="0"/>
        <w:spacing w:line="360" w:lineRule="auto"/>
        <w:rPr>
          <w:rFonts w:ascii="宋体" w:hAnsi="宋体"/>
          <w:sz w:val="24"/>
        </w:rPr>
      </w:pPr>
    </w:p>
    <w:p w:rsidR="00461759" w:rsidRDefault="00461759" w:rsidP="00257B37">
      <w:pPr>
        <w:adjustRightInd w:val="0"/>
        <w:snapToGrid w:val="0"/>
        <w:spacing w:line="360" w:lineRule="auto"/>
        <w:rPr>
          <w:rFonts w:ascii="宋体" w:hAnsi="宋体"/>
          <w:sz w:val="24"/>
        </w:rPr>
      </w:pPr>
    </w:p>
    <w:p w:rsidR="00461759" w:rsidRDefault="00461759" w:rsidP="00257B37">
      <w:pPr>
        <w:adjustRightInd w:val="0"/>
        <w:snapToGrid w:val="0"/>
        <w:spacing w:line="360" w:lineRule="auto"/>
        <w:rPr>
          <w:rFonts w:ascii="宋体" w:hAnsi="宋体"/>
          <w:sz w:val="24"/>
        </w:rPr>
      </w:pPr>
    </w:p>
    <w:p w:rsidR="00517449" w:rsidRPr="00517449" w:rsidRDefault="00517449" w:rsidP="00517449">
      <w:pPr>
        <w:pStyle w:val="10"/>
        <w:rPr>
          <w:rFonts w:ascii="Calibri" w:hAnsi="Calibri"/>
          <w:sz w:val="24"/>
        </w:rPr>
      </w:pPr>
      <w:bookmarkStart w:id="0" w:name="_GoBack"/>
      <w:bookmarkEnd w:id="0"/>
      <w:r w:rsidRPr="00517449">
        <w:rPr>
          <w:rFonts w:ascii="Calibri"/>
          <w:sz w:val="24"/>
        </w:rPr>
        <w:lastRenderedPageBreak/>
        <w:t>目录</w:t>
      </w:r>
    </w:p>
    <w:p w:rsidR="00517449" w:rsidRPr="00B35616" w:rsidRDefault="00517449" w:rsidP="00517449">
      <w:pPr>
        <w:pStyle w:val="10"/>
        <w:rPr>
          <w:rFonts w:ascii="Calibri" w:hAnsi="Calibri"/>
          <w:b w:val="0"/>
          <w:noProof/>
          <w:sz w:val="24"/>
        </w:rPr>
      </w:pPr>
      <w:r w:rsidRPr="00B35616">
        <w:rPr>
          <w:rFonts w:ascii="Calibri" w:hAnsi="Calibri"/>
          <w:b w:val="0"/>
          <w:sz w:val="24"/>
        </w:rPr>
        <w:fldChar w:fldCharType="begin"/>
      </w:r>
      <w:r w:rsidRPr="00B35616">
        <w:rPr>
          <w:rFonts w:ascii="Calibri" w:hAnsi="Calibri"/>
          <w:b w:val="0"/>
          <w:sz w:val="24"/>
        </w:rPr>
        <w:instrText xml:space="preserve"> TOC \o "1-3" \u </w:instrText>
      </w:r>
      <w:r w:rsidRPr="00B35616">
        <w:rPr>
          <w:rFonts w:ascii="Calibri" w:hAnsi="Calibri"/>
          <w:b w:val="0"/>
          <w:sz w:val="24"/>
        </w:rPr>
        <w:fldChar w:fldCharType="separate"/>
      </w:r>
      <w:r w:rsidRPr="00B35616">
        <w:rPr>
          <w:rFonts w:ascii="Calibri" w:eastAsia="华文中宋" w:hAnsi="Calibri"/>
          <w:b w:val="0"/>
          <w:noProof/>
          <w:sz w:val="24"/>
        </w:rPr>
        <w:t>一、</w:t>
      </w:r>
      <w:r w:rsidRPr="00B35616">
        <w:rPr>
          <w:rFonts w:ascii="Calibri" w:hAnsi="Calibri"/>
          <w:b w:val="0"/>
          <w:noProof/>
          <w:sz w:val="24"/>
        </w:rPr>
        <w:tab/>
      </w:r>
      <w:r w:rsidRPr="00B35616">
        <w:rPr>
          <w:rFonts w:ascii="Calibri" w:eastAsia="华文中宋" w:hAnsi="Calibri"/>
          <w:b w:val="0"/>
          <w:noProof/>
          <w:sz w:val="24"/>
        </w:rPr>
        <w:t>保理业务的定义以及基本分类</w:t>
      </w:r>
      <w:r w:rsidRPr="00B35616">
        <w:rPr>
          <w:rFonts w:ascii="Calibri" w:hAnsi="Calibri"/>
          <w:b w:val="0"/>
          <w:noProof/>
          <w:sz w:val="24"/>
        </w:rPr>
        <w:tab/>
      </w:r>
      <w:r w:rsidRPr="00B35616">
        <w:rPr>
          <w:rFonts w:ascii="Calibri" w:hAnsi="Calibri"/>
          <w:b w:val="0"/>
          <w:noProof/>
          <w:sz w:val="24"/>
        </w:rPr>
        <w:fldChar w:fldCharType="begin"/>
      </w:r>
      <w:r w:rsidRPr="00B35616">
        <w:rPr>
          <w:rFonts w:ascii="Calibri" w:hAnsi="Calibri"/>
          <w:b w:val="0"/>
          <w:noProof/>
          <w:sz w:val="24"/>
        </w:rPr>
        <w:instrText xml:space="preserve"> PAGEREF _Toc308707276 \h </w:instrText>
      </w:r>
      <w:r w:rsidRPr="00B35616">
        <w:rPr>
          <w:rFonts w:ascii="Calibri" w:hAnsi="Calibri"/>
          <w:b w:val="0"/>
          <w:noProof/>
          <w:sz w:val="24"/>
        </w:rPr>
      </w:r>
      <w:r w:rsidRPr="00B35616">
        <w:rPr>
          <w:rFonts w:ascii="Calibri" w:hAnsi="Calibri"/>
          <w:b w:val="0"/>
          <w:noProof/>
          <w:sz w:val="24"/>
        </w:rPr>
        <w:fldChar w:fldCharType="separate"/>
      </w:r>
      <w:r w:rsidRPr="00B35616">
        <w:rPr>
          <w:rFonts w:ascii="Calibri" w:hAnsi="Calibri"/>
          <w:b w:val="0"/>
          <w:noProof/>
          <w:sz w:val="24"/>
        </w:rPr>
        <w:t>3</w:t>
      </w:r>
      <w:r w:rsidRPr="00B35616">
        <w:rPr>
          <w:rFonts w:ascii="Calibri" w:hAnsi="Calibri"/>
          <w:b w:val="0"/>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1</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保理业务的定义</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_Toc308707277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3</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2</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保理业务的起源</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_Toc308707278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3</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3</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保理业务的优势</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_Toc308707279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4</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4</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保理业务的基本分类</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_Toc308707280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4</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5</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保理业务的盈利模式</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_Toc308707281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5</w:t>
      </w:r>
      <w:r w:rsidRPr="00B35616">
        <w:rPr>
          <w:rFonts w:ascii="Calibri" w:hAnsi="Calibri"/>
          <w:noProof/>
          <w:sz w:val="24"/>
        </w:rPr>
        <w:fldChar w:fldCharType="end"/>
      </w:r>
    </w:p>
    <w:p w:rsidR="00517449" w:rsidRPr="00B35616" w:rsidRDefault="00517449" w:rsidP="00517449">
      <w:pPr>
        <w:pStyle w:val="10"/>
        <w:rPr>
          <w:rFonts w:ascii="Calibri" w:hAnsi="Calibri"/>
          <w:b w:val="0"/>
          <w:noProof/>
          <w:sz w:val="24"/>
        </w:rPr>
      </w:pPr>
      <w:r w:rsidRPr="00B35616">
        <w:rPr>
          <w:rFonts w:ascii="Calibri" w:eastAsia="华文中宋" w:hAnsi="Calibri"/>
          <w:b w:val="0"/>
          <w:noProof/>
          <w:sz w:val="24"/>
        </w:rPr>
        <w:t>二、</w:t>
      </w:r>
      <w:r w:rsidRPr="00B35616">
        <w:rPr>
          <w:rFonts w:ascii="Calibri" w:hAnsi="Calibri"/>
          <w:b w:val="0"/>
          <w:noProof/>
          <w:sz w:val="24"/>
        </w:rPr>
        <w:tab/>
      </w:r>
      <w:r w:rsidRPr="00B35616">
        <w:rPr>
          <w:rFonts w:ascii="Calibri" w:eastAsia="华文中宋" w:hAnsi="Calibri"/>
          <w:b w:val="0"/>
          <w:noProof/>
          <w:sz w:val="24"/>
        </w:rPr>
        <w:t>国内保理行业现状</w:t>
      </w:r>
      <w:r w:rsidRPr="00B35616">
        <w:rPr>
          <w:rFonts w:ascii="Calibri" w:hAnsi="Calibri"/>
          <w:b w:val="0"/>
          <w:noProof/>
          <w:sz w:val="24"/>
        </w:rPr>
        <w:tab/>
      </w:r>
      <w:r w:rsidRPr="00B35616">
        <w:rPr>
          <w:rFonts w:ascii="Calibri" w:hAnsi="Calibri"/>
          <w:b w:val="0"/>
          <w:noProof/>
          <w:sz w:val="24"/>
        </w:rPr>
        <w:fldChar w:fldCharType="begin"/>
      </w:r>
      <w:r w:rsidRPr="00B35616">
        <w:rPr>
          <w:rFonts w:ascii="Calibri" w:hAnsi="Calibri"/>
          <w:b w:val="0"/>
          <w:noProof/>
          <w:sz w:val="24"/>
        </w:rPr>
        <w:instrText xml:space="preserve"> PAGEREF _Toc308707282 \h </w:instrText>
      </w:r>
      <w:r w:rsidRPr="00B35616">
        <w:rPr>
          <w:rFonts w:ascii="Calibri" w:hAnsi="Calibri"/>
          <w:b w:val="0"/>
          <w:noProof/>
          <w:sz w:val="24"/>
        </w:rPr>
      </w:r>
      <w:r w:rsidRPr="00B35616">
        <w:rPr>
          <w:rFonts w:ascii="Calibri" w:hAnsi="Calibri"/>
          <w:b w:val="0"/>
          <w:noProof/>
          <w:sz w:val="24"/>
        </w:rPr>
        <w:fldChar w:fldCharType="separate"/>
      </w:r>
      <w:r w:rsidRPr="00B35616">
        <w:rPr>
          <w:rFonts w:ascii="Calibri" w:hAnsi="Calibri"/>
          <w:b w:val="0"/>
          <w:noProof/>
          <w:sz w:val="24"/>
        </w:rPr>
        <w:t>6</w:t>
      </w:r>
      <w:r w:rsidRPr="00B35616">
        <w:rPr>
          <w:rFonts w:ascii="Calibri" w:hAnsi="Calibri"/>
          <w:b w:val="0"/>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1</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国内保理业务的法律性质</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_Toc308707283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6</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cs="DLF-32769-4-564942781+ZETBIZ-36"/>
          <w:noProof/>
          <w:kern w:val="0"/>
          <w:sz w:val="24"/>
        </w:rPr>
        <w:t>2</w:t>
      </w:r>
      <w:r w:rsidRPr="00B35616">
        <w:rPr>
          <w:rFonts w:ascii="Calibri" w:hAnsi="Calibri" w:cs="DLF-32769-4-564942781+ZETBIZ-36"/>
          <w:noProof/>
          <w:kern w:val="0"/>
          <w:sz w:val="24"/>
        </w:rPr>
        <w:t>、</w:t>
      </w:r>
      <w:r w:rsidRPr="00B35616">
        <w:rPr>
          <w:rFonts w:ascii="Calibri" w:hAnsi="Calibri"/>
          <w:noProof/>
          <w:sz w:val="24"/>
        </w:rPr>
        <w:tab/>
      </w:r>
      <w:r w:rsidRPr="00B35616">
        <w:rPr>
          <w:rFonts w:ascii="Calibri" w:hAnsi="Calibri"/>
          <w:noProof/>
          <w:sz w:val="24"/>
        </w:rPr>
        <w:t>国内保理行业的发展趋势</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_Toc308707284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7</w:t>
      </w:r>
      <w:r w:rsidRPr="00B35616">
        <w:rPr>
          <w:rFonts w:ascii="Calibri" w:hAnsi="Calibri"/>
          <w:noProof/>
          <w:sz w:val="24"/>
        </w:rPr>
        <w:fldChar w:fldCharType="end"/>
      </w:r>
    </w:p>
    <w:p w:rsidR="00517449" w:rsidRPr="00B35616" w:rsidRDefault="00517449" w:rsidP="00517449">
      <w:pPr>
        <w:pStyle w:val="10"/>
        <w:rPr>
          <w:rFonts w:ascii="Calibri" w:hAnsi="Calibri"/>
          <w:b w:val="0"/>
          <w:noProof/>
          <w:sz w:val="24"/>
        </w:rPr>
      </w:pPr>
      <w:r w:rsidRPr="00B35616">
        <w:rPr>
          <w:rFonts w:ascii="Calibri" w:eastAsia="华文中宋" w:hAnsi="Calibri"/>
          <w:b w:val="0"/>
          <w:noProof/>
          <w:sz w:val="24"/>
        </w:rPr>
        <w:t>三、</w:t>
      </w:r>
      <w:r w:rsidRPr="00B35616">
        <w:rPr>
          <w:rFonts w:ascii="Calibri" w:hAnsi="Calibri"/>
          <w:b w:val="0"/>
          <w:noProof/>
          <w:sz w:val="24"/>
        </w:rPr>
        <w:tab/>
      </w:r>
      <w:r w:rsidRPr="00B35616">
        <w:rPr>
          <w:rFonts w:ascii="Calibri" w:eastAsia="华文中宋" w:hAnsi="Calibri"/>
          <w:b w:val="0"/>
          <w:noProof/>
          <w:sz w:val="24"/>
        </w:rPr>
        <w:t>国内保理业务面临的法律风险</w:t>
      </w:r>
      <w:r w:rsidRPr="00B35616">
        <w:rPr>
          <w:rFonts w:ascii="Calibri" w:hAnsi="Calibri"/>
          <w:b w:val="0"/>
          <w:noProof/>
          <w:sz w:val="24"/>
        </w:rPr>
        <w:tab/>
      </w:r>
      <w:r w:rsidRPr="00B35616">
        <w:rPr>
          <w:rFonts w:ascii="Calibri" w:hAnsi="Calibri"/>
          <w:b w:val="0"/>
          <w:noProof/>
          <w:sz w:val="24"/>
        </w:rPr>
        <w:fldChar w:fldCharType="begin"/>
      </w:r>
      <w:r w:rsidRPr="00B35616">
        <w:rPr>
          <w:rFonts w:ascii="Calibri" w:hAnsi="Calibri"/>
          <w:b w:val="0"/>
          <w:noProof/>
          <w:sz w:val="24"/>
        </w:rPr>
        <w:instrText xml:space="preserve"> PAGEREF _Toc308707285 \h </w:instrText>
      </w:r>
      <w:r w:rsidRPr="00B35616">
        <w:rPr>
          <w:rFonts w:ascii="Calibri" w:hAnsi="Calibri"/>
          <w:b w:val="0"/>
          <w:noProof/>
          <w:sz w:val="24"/>
        </w:rPr>
      </w:r>
      <w:r w:rsidRPr="00B35616">
        <w:rPr>
          <w:rFonts w:ascii="Calibri" w:hAnsi="Calibri"/>
          <w:b w:val="0"/>
          <w:noProof/>
          <w:sz w:val="24"/>
        </w:rPr>
        <w:fldChar w:fldCharType="separate"/>
      </w:r>
      <w:r w:rsidRPr="00B35616">
        <w:rPr>
          <w:rFonts w:ascii="Calibri" w:hAnsi="Calibri"/>
          <w:b w:val="0"/>
          <w:noProof/>
          <w:sz w:val="24"/>
        </w:rPr>
        <w:t>8</w:t>
      </w:r>
      <w:r w:rsidRPr="00B35616">
        <w:rPr>
          <w:rFonts w:ascii="Calibri" w:hAnsi="Calibri"/>
          <w:b w:val="0"/>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1</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合同风险</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_Toc308707286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8</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2</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欺诈风险</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_Toc308707287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8</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3</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履约风险</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_Toc308707288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9</w:t>
      </w:r>
      <w:r w:rsidRPr="00B35616">
        <w:rPr>
          <w:rFonts w:ascii="Calibri" w:hAnsi="Calibri"/>
          <w:noProof/>
          <w:sz w:val="24"/>
        </w:rPr>
        <w:fldChar w:fldCharType="end"/>
      </w:r>
    </w:p>
    <w:p w:rsidR="00517449" w:rsidRPr="00B35616" w:rsidRDefault="00517449" w:rsidP="00517449">
      <w:pPr>
        <w:pStyle w:val="10"/>
        <w:rPr>
          <w:rFonts w:ascii="Calibri" w:hAnsi="Calibri"/>
          <w:b w:val="0"/>
          <w:noProof/>
          <w:sz w:val="24"/>
        </w:rPr>
      </w:pPr>
      <w:r w:rsidRPr="00B35616">
        <w:rPr>
          <w:rFonts w:ascii="Calibri" w:eastAsia="华文中宋" w:hAnsi="Calibri"/>
          <w:b w:val="0"/>
          <w:noProof/>
          <w:sz w:val="24"/>
        </w:rPr>
        <w:t>四、</w:t>
      </w:r>
      <w:r w:rsidRPr="00B35616">
        <w:rPr>
          <w:rFonts w:ascii="Calibri" w:hAnsi="Calibri"/>
          <w:b w:val="0"/>
          <w:noProof/>
          <w:sz w:val="24"/>
        </w:rPr>
        <w:tab/>
      </w:r>
      <w:r w:rsidRPr="00B35616">
        <w:rPr>
          <w:rFonts w:ascii="Calibri" w:eastAsia="华文中宋" w:hAnsi="Calibri"/>
          <w:b w:val="0"/>
          <w:noProof/>
          <w:sz w:val="24"/>
        </w:rPr>
        <w:t>国际保理行业现状分析</w:t>
      </w:r>
      <w:r w:rsidRPr="00B35616">
        <w:rPr>
          <w:rFonts w:ascii="Calibri" w:hAnsi="Calibri"/>
          <w:b w:val="0"/>
          <w:noProof/>
          <w:sz w:val="24"/>
        </w:rPr>
        <w:tab/>
      </w:r>
      <w:r w:rsidRPr="00B35616">
        <w:rPr>
          <w:rFonts w:ascii="Calibri" w:hAnsi="Calibri"/>
          <w:b w:val="0"/>
          <w:noProof/>
          <w:sz w:val="24"/>
        </w:rPr>
        <w:fldChar w:fldCharType="begin"/>
      </w:r>
      <w:r w:rsidRPr="00B35616">
        <w:rPr>
          <w:rFonts w:ascii="Calibri" w:hAnsi="Calibri"/>
          <w:b w:val="0"/>
          <w:noProof/>
          <w:sz w:val="24"/>
        </w:rPr>
        <w:instrText xml:space="preserve"> PAGEREF _Toc308707289 \h </w:instrText>
      </w:r>
      <w:r w:rsidRPr="00B35616">
        <w:rPr>
          <w:rFonts w:ascii="Calibri" w:hAnsi="Calibri"/>
          <w:b w:val="0"/>
          <w:noProof/>
          <w:sz w:val="24"/>
        </w:rPr>
      </w:r>
      <w:r w:rsidRPr="00B35616">
        <w:rPr>
          <w:rFonts w:ascii="Calibri" w:hAnsi="Calibri"/>
          <w:b w:val="0"/>
          <w:noProof/>
          <w:sz w:val="24"/>
        </w:rPr>
        <w:fldChar w:fldCharType="separate"/>
      </w:r>
      <w:r w:rsidRPr="00B35616">
        <w:rPr>
          <w:rFonts w:ascii="Calibri" w:hAnsi="Calibri"/>
          <w:b w:val="0"/>
          <w:noProof/>
          <w:sz w:val="24"/>
        </w:rPr>
        <w:t>10</w:t>
      </w:r>
      <w:r w:rsidRPr="00B35616">
        <w:rPr>
          <w:rFonts w:ascii="Calibri" w:hAnsi="Calibri"/>
          <w:b w:val="0"/>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1</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国际保理行业发展潜力巨大</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_Toc308707290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10</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2</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商业银行对国际保理深层次上的企业文化氛围了解不够</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_Toc308707291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11</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3</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商业银行没有区分国际保理融资的特殊性</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_Toc308707292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11</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4</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缺乏国际保理业务方面的专业人才</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_Toc308707293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12</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5</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对国际保理业务的宣传不到位</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_Toc308707294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12</w:t>
      </w:r>
      <w:r w:rsidRPr="00B35616">
        <w:rPr>
          <w:rFonts w:ascii="Calibri" w:hAnsi="Calibri"/>
          <w:noProof/>
          <w:sz w:val="24"/>
        </w:rPr>
        <w:fldChar w:fldCharType="end"/>
      </w:r>
    </w:p>
    <w:p w:rsidR="00517449" w:rsidRPr="00B35616" w:rsidRDefault="00517449" w:rsidP="00517449">
      <w:pPr>
        <w:pStyle w:val="10"/>
        <w:rPr>
          <w:rFonts w:ascii="Calibri" w:hAnsi="Calibri"/>
          <w:b w:val="0"/>
          <w:noProof/>
          <w:sz w:val="24"/>
        </w:rPr>
      </w:pPr>
      <w:r w:rsidRPr="00B35616">
        <w:rPr>
          <w:rFonts w:ascii="Calibri" w:eastAsia="华文中宋" w:hAnsi="Calibri"/>
          <w:b w:val="0"/>
          <w:noProof/>
          <w:sz w:val="24"/>
        </w:rPr>
        <w:t>五、</w:t>
      </w:r>
      <w:r w:rsidRPr="00B35616">
        <w:rPr>
          <w:rFonts w:ascii="Calibri" w:hAnsi="Calibri"/>
          <w:b w:val="0"/>
          <w:noProof/>
          <w:sz w:val="24"/>
        </w:rPr>
        <w:tab/>
      </w:r>
      <w:r w:rsidRPr="00B35616">
        <w:rPr>
          <w:rFonts w:ascii="Calibri" w:eastAsia="华文中宋" w:hAnsi="Calibri"/>
          <w:b w:val="0"/>
          <w:noProof/>
          <w:sz w:val="24"/>
        </w:rPr>
        <w:t>国际保理业务的前景</w:t>
      </w:r>
      <w:r w:rsidRPr="00B35616">
        <w:rPr>
          <w:rFonts w:ascii="Calibri" w:hAnsi="Calibri"/>
          <w:b w:val="0"/>
          <w:noProof/>
          <w:sz w:val="24"/>
        </w:rPr>
        <w:tab/>
      </w:r>
      <w:r w:rsidRPr="00B35616">
        <w:rPr>
          <w:rFonts w:ascii="Calibri" w:hAnsi="Calibri"/>
          <w:b w:val="0"/>
          <w:noProof/>
          <w:sz w:val="24"/>
        </w:rPr>
        <w:fldChar w:fldCharType="begin"/>
      </w:r>
      <w:r w:rsidRPr="00B35616">
        <w:rPr>
          <w:rFonts w:ascii="Calibri" w:hAnsi="Calibri"/>
          <w:b w:val="0"/>
          <w:noProof/>
          <w:sz w:val="24"/>
        </w:rPr>
        <w:instrText xml:space="preserve"> PAGEREF _Toc308707295 \h </w:instrText>
      </w:r>
      <w:r w:rsidRPr="00B35616">
        <w:rPr>
          <w:rFonts w:ascii="Calibri" w:hAnsi="Calibri"/>
          <w:b w:val="0"/>
          <w:noProof/>
          <w:sz w:val="24"/>
        </w:rPr>
      </w:r>
      <w:r w:rsidRPr="00B35616">
        <w:rPr>
          <w:rFonts w:ascii="Calibri" w:hAnsi="Calibri"/>
          <w:b w:val="0"/>
          <w:noProof/>
          <w:sz w:val="24"/>
        </w:rPr>
        <w:fldChar w:fldCharType="separate"/>
      </w:r>
      <w:r w:rsidRPr="00B35616">
        <w:rPr>
          <w:rFonts w:ascii="Calibri" w:hAnsi="Calibri"/>
          <w:b w:val="0"/>
          <w:noProof/>
          <w:sz w:val="24"/>
        </w:rPr>
        <w:t>13</w:t>
      </w:r>
      <w:r w:rsidRPr="00B35616">
        <w:rPr>
          <w:rFonts w:ascii="Calibri" w:hAnsi="Calibri"/>
          <w:b w:val="0"/>
          <w:noProof/>
          <w:sz w:val="24"/>
        </w:rPr>
        <w:fldChar w:fldCharType="end"/>
      </w:r>
    </w:p>
    <w:p w:rsidR="00517449" w:rsidRPr="00B35616" w:rsidRDefault="00517449" w:rsidP="00517449">
      <w:pPr>
        <w:pStyle w:val="10"/>
        <w:rPr>
          <w:rFonts w:ascii="Calibri" w:hAnsi="Calibri"/>
          <w:b w:val="0"/>
          <w:noProof/>
          <w:sz w:val="24"/>
        </w:rPr>
      </w:pPr>
      <w:r w:rsidRPr="00B35616">
        <w:rPr>
          <w:rFonts w:ascii="Calibri" w:eastAsia="华文中宋" w:hAnsi="Calibri"/>
          <w:b w:val="0"/>
          <w:noProof/>
          <w:sz w:val="24"/>
        </w:rPr>
        <w:t>六、</w:t>
      </w:r>
      <w:r w:rsidRPr="00B35616">
        <w:rPr>
          <w:rFonts w:ascii="Calibri" w:hAnsi="Calibri"/>
          <w:b w:val="0"/>
          <w:noProof/>
          <w:sz w:val="24"/>
        </w:rPr>
        <w:tab/>
      </w:r>
      <w:r w:rsidRPr="00B35616">
        <w:rPr>
          <w:rFonts w:ascii="Calibri" w:eastAsia="华文中宋" w:hAnsi="Calibri"/>
          <w:b w:val="0"/>
          <w:noProof/>
          <w:sz w:val="24"/>
        </w:rPr>
        <w:t>行业法规建设</w:t>
      </w:r>
      <w:r w:rsidRPr="00B35616">
        <w:rPr>
          <w:rFonts w:ascii="Calibri" w:hAnsi="Calibri"/>
          <w:b w:val="0"/>
          <w:noProof/>
          <w:sz w:val="24"/>
        </w:rPr>
        <w:tab/>
      </w:r>
      <w:r w:rsidRPr="00B35616">
        <w:rPr>
          <w:rFonts w:ascii="Calibri" w:hAnsi="Calibri"/>
          <w:b w:val="0"/>
          <w:noProof/>
          <w:sz w:val="24"/>
        </w:rPr>
        <w:fldChar w:fldCharType="begin"/>
      </w:r>
      <w:r w:rsidRPr="00B35616">
        <w:rPr>
          <w:rFonts w:ascii="Calibri" w:hAnsi="Calibri"/>
          <w:b w:val="0"/>
          <w:noProof/>
          <w:sz w:val="24"/>
        </w:rPr>
        <w:instrText xml:space="preserve"> PAGEREF _Toc308707296 \h </w:instrText>
      </w:r>
      <w:r w:rsidRPr="00B35616">
        <w:rPr>
          <w:rFonts w:ascii="Calibri" w:hAnsi="Calibri"/>
          <w:b w:val="0"/>
          <w:noProof/>
          <w:sz w:val="24"/>
        </w:rPr>
      </w:r>
      <w:r w:rsidRPr="00B35616">
        <w:rPr>
          <w:rFonts w:ascii="Calibri" w:hAnsi="Calibri"/>
          <w:b w:val="0"/>
          <w:noProof/>
          <w:sz w:val="24"/>
        </w:rPr>
        <w:fldChar w:fldCharType="separate"/>
      </w:r>
      <w:r w:rsidRPr="00B35616">
        <w:rPr>
          <w:rFonts w:ascii="Calibri" w:hAnsi="Calibri"/>
          <w:b w:val="0"/>
          <w:noProof/>
          <w:sz w:val="24"/>
        </w:rPr>
        <w:t>15</w:t>
      </w:r>
      <w:r w:rsidRPr="00B35616">
        <w:rPr>
          <w:rFonts w:ascii="Calibri" w:hAnsi="Calibri"/>
          <w:b w:val="0"/>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1</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信用风险控制不健全</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_Toc308707297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15</w:t>
      </w:r>
      <w:r w:rsidRPr="00B35616">
        <w:rPr>
          <w:rFonts w:ascii="Calibri" w:hAnsi="Calibri"/>
          <w:noProof/>
          <w:sz w:val="24"/>
        </w:rPr>
        <w:fldChar w:fldCharType="end"/>
      </w:r>
    </w:p>
    <w:p w:rsidR="00517449" w:rsidRPr="00B35616" w:rsidRDefault="00517449">
      <w:pPr>
        <w:pStyle w:val="20"/>
        <w:tabs>
          <w:tab w:val="left" w:pos="1050"/>
          <w:tab w:val="right" w:leader="dot" w:pos="8296"/>
        </w:tabs>
        <w:rPr>
          <w:rFonts w:ascii="Calibri" w:hAnsi="Calibri"/>
          <w:noProof/>
          <w:sz w:val="24"/>
        </w:rPr>
      </w:pPr>
      <w:r w:rsidRPr="00B35616">
        <w:rPr>
          <w:rFonts w:ascii="Calibri" w:hAnsi="Calibri"/>
          <w:noProof/>
          <w:sz w:val="24"/>
        </w:rPr>
        <w:t>2</w:t>
      </w:r>
      <w:r w:rsidRPr="00B35616">
        <w:rPr>
          <w:rFonts w:ascii="Calibri" w:hAnsi="Calibri"/>
          <w:noProof/>
          <w:sz w:val="24"/>
        </w:rPr>
        <w:t>、</w:t>
      </w:r>
      <w:r w:rsidRPr="00B35616">
        <w:rPr>
          <w:rFonts w:ascii="Calibri" w:hAnsi="Calibri"/>
          <w:noProof/>
          <w:sz w:val="24"/>
        </w:rPr>
        <w:tab/>
      </w:r>
      <w:r w:rsidRPr="00B35616">
        <w:rPr>
          <w:rFonts w:ascii="Calibri" w:hAnsi="Calibri"/>
          <w:noProof/>
          <w:sz w:val="24"/>
        </w:rPr>
        <w:t>保理业务立法不健全</w:t>
      </w:r>
      <w:r w:rsidRPr="00B35616">
        <w:rPr>
          <w:rFonts w:ascii="Calibri" w:hAnsi="Calibri"/>
          <w:noProof/>
          <w:sz w:val="24"/>
        </w:rPr>
        <w:tab/>
      </w:r>
      <w:r w:rsidRPr="00B35616">
        <w:rPr>
          <w:rFonts w:ascii="Calibri" w:hAnsi="Calibri"/>
          <w:noProof/>
          <w:sz w:val="24"/>
        </w:rPr>
        <w:fldChar w:fldCharType="begin"/>
      </w:r>
      <w:r w:rsidRPr="00B35616">
        <w:rPr>
          <w:rFonts w:ascii="Calibri" w:hAnsi="Calibri"/>
          <w:noProof/>
          <w:sz w:val="24"/>
        </w:rPr>
        <w:instrText xml:space="preserve"> PAGEREF _Toc308707298 \h </w:instrText>
      </w:r>
      <w:r w:rsidRPr="00B35616">
        <w:rPr>
          <w:rFonts w:ascii="Calibri" w:hAnsi="Calibri"/>
          <w:noProof/>
          <w:sz w:val="24"/>
        </w:rPr>
      </w:r>
      <w:r w:rsidRPr="00B35616">
        <w:rPr>
          <w:rFonts w:ascii="Calibri" w:hAnsi="Calibri"/>
          <w:noProof/>
          <w:sz w:val="24"/>
        </w:rPr>
        <w:fldChar w:fldCharType="separate"/>
      </w:r>
      <w:r w:rsidRPr="00B35616">
        <w:rPr>
          <w:rFonts w:ascii="Calibri" w:hAnsi="Calibri"/>
          <w:noProof/>
          <w:sz w:val="24"/>
        </w:rPr>
        <w:t>15</w:t>
      </w:r>
      <w:r w:rsidRPr="00B35616">
        <w:rPr>
          <w:rFonts w:ascii="Calibri" w:hAnsi="Calibri"/>
          <w:noProof/>
          <w:sz w:val="24"/>
        </w:rPr>
        <w:fldChar w:fldCharType="end"/>
      </w:r>
    </w:p>
    <w:p w:rsidR="00517449" w:rsidRPr="00B35616" w:rsidRDefault="00517449" w:rsidP="00517449">
      <w:pPr>
        <w:pStyle w:val="10"/>
        <w:rPr>
          <w:rFonts w:ascii="Calibri" w:hAnsi="Calibri"/>
          <w:b w:val="0"/>
          <w:noProof/>
          <w:sz w:val="24"/>
        </w:rPr>
      </w:pPr>
      <w:r w:rsidRPr="00B35616">
        <w:rPr>
          <w:rFonts w:ascii="Calibri" w:eastAsia="华文中宋" w:hAnsi="Calibri"/>
          <w:b w:val="0"/>
          <w:noProof/>
          <w:sz w:val="24"/>
        </w:rPr>
        <w:t>七、</w:t>
      </w:r>
      <w:r w:rsidRPr="00B35616">
        <w:rPr>
          <w:rFonts w:ascii="Calibri" w:hAnsi="Calibri"/>
          <w:b w:val="0"/>
          <w:noProof/>
          <w:sz w:val="24"/>
        </w:rPr>
        <w:tab/>
      </w:r>
      <w:r w:rsidRPr="00B35616">
        <w:rPr>
          <w:rFonts w:ascii="Calibri" w:eastAsia="华文中宋" w:hAnsi="Calibri"/>
          <w:b w:val="0"/>
          <w:noProof/>
          <w:sz w:val="24"/>
        </w:rPr>
        <w:t>行业发展趋势</w:t>
      </w:r>
      <w:r w:rsidRPr="00B35616">
        <w:rPr>
          <w:rFonts w:ascii="Calibri" w:hAnsi="Calibri"/>
          <w:b w:val="0"/>
          <w:noProof/>
          <w:sz w:val="24"/>
        </w:rPr>
        <w:tab/>
      </w:r>
      <w:r w:rsidRPr="00B35616">
        <w:rPr>
          <w:rFonts w:ascii="Calibri" w:hAnsi="Calibri"/>
          <w:b w:val="0"/>
          <w:noProof/>
          <w:sz w:val="24"/>
        </w:rPr>
        <w:fldChar w:fldCharType="begin"/>
      </w:r>
      <w:r w:rsidRPr="00B35616">
        <w:rPr>
          <w:rFonts w:ascii="Calibri" w:hAnsi="Calibri"/>
          <w:b w:val="0"/>
          <w:noProof/>
          <w:sz w:val="24"/>
        </w:rPr>
        <w:instrText xml:space="preserve"> PAGEREF _Toc308707299 \h </w:instrText>
      </w:r>
      <w:r w:rsidRPr="00B35616">
        <w:rPr>
          <w:rFonts w:ascii="Calibri" w:hAnsi="Calibri"/>
          <w:b w:val="0"/>
          <w:noProof/>
          <w:sz w:val="24"/>
        </w:rPr>
      </w:r>
      <w:r w:rsidRPr="00B35616">
        <w:rPr>
          <w:rFonts w:ascii="Calibri" w:hAnsi="Calibri"/>
          <w:b w:val="0"/>
          <w:noProof/>
          <w:sz w:val="24"/>
        </w:rPr>
        <w:fldChar w:fldCharType="separate"/>
      </w:r>
      <w:r w:rsidRPr="00B35616">
        <w:rPr>
          <w:rFonts w:ascii="Calibri" w:hAnsi="Calibri"/>
          <w:b w:val="0"/>
          <w:noProof/>
          <w:sz w:val="24"/>
        </w:rPr>
        <w:t>15</w:t>
      </w:r>
      <w:r w:rsidRPr="00B35616">
        <w:rPr>
          <w:rFonts w:ascii="Calibri" w:hAnsi="Calibri"/>
          <w:b w:val="0"/>
          <w:noProof/>
          <w:sz w:val="24"/>
        </w:rPr>
        <w:fldChar w:fldCharType="end"/>
      </w:r>
    </w:p>
    <w:p w:rsidR="00E667D1" w:rsidRPr="00517449" w:rsidRDefault="00517449" w:rsidP="00257B37">
      <w:pPr>
        <w:adjustRightInd w:val="0"/>
        <w:snapToGrid w:val="0"/>
        <w:spacing w:line="360" w:lineRule="auto"/>
        <w:rPr>
          <w:rFonts w:ascii="Calibri" w:hAnsi="Calibri"/>
          <w:b/>
          <w:sz w:val="24"/>
        </w:rPr>
      </w:pPr>
      <w:r w:rsidRPr="00B35616">
        <w:rPr>
          <w:rFonts w:ascii="Calibri" w:hAnsi="Calibri"/>
          <w:sz w:val="24"/>
        </w:rPr>
        <w:fldChar w:fldCharType="end"/>
      </w:r>
    </w:p>
    <w:p w:rsidR="00E667D1" w:rsidRPr="00150212" w:rsidRDefault="00E667D1" w:rsidP="00257B37">
      <w:pPr>
        <w:adjustRightInd w:val="0"/>
        <w:snapToGrid w:val="0"/>
        <w:spacing w:line="360" w:lineRule="auto"/>
        <w:rPr>
          <w:rFonts w:ascii="宋体" w:hAnsi="宋体"/>
          <w:sz w:val="24"/>
        </w:rPr>
      </w:pPr>
    </w:p>
    <w:p w:rsidR="00E667D1" w:rsidRPr="00D9347E" w:rsidRDefault="00E667D1" w:rsidP="00257B37">
      <w:pPr>
        <w:adjustRightInd w:val="0"/>
        <w:snapToGrid w:val="0"/>
        <w:spacing w:line="360" w:lineRule="auto"/>
        <w:rPr>
          <w:rFonts w:ascii="宋体" w:hAnsi="宋体"/>
          <w:sz w:val="24"/>
        </w:rPr>
      </w:pPr>
    </w:p>
    <w:p w:rsidR="00E667D1" w:rsidRPr="00D9347E" w:rsidRDefault="00E667D1" w:rsidP="00257B37">
      <w:pPr>
        <w:adjustRightInd w:val="0"/>
        <w:snapToGrid w:val="0"/>
        <w:spacing w:line="360" w:lineRule="auto"/>
        <w:rPr>
          <w:rFonts w:ascii="宋体" w:hAnsi="宋体"/>
          <w:sz w:val="24"/>
        </w:rPr>
      </w:pPr>
    </w:p>
    <w:p w:rsidR="00E667D1" w:rsidRPr="00D9347E" w:rsidRDefault="00E667D1" w:rsidP="00257B37">
      <w:pPr>
        <w:adjustRightInd w:val="0"/>
        <w:snapToGrid w:val="0"/>
        <w:spacing w:line="360" w:lineRule="auto"/>
        <w:rPr>
          <w:rFonts w:ascii="宋体" w:hAnsi="宋体"/>
          <w:sz w:val="24"/>
        </w:rPr>
      </w:pPr>
    </w:p>
    <w:p w:rsidR="00E667D1" w:rsidRPr="00D9347E" w:rsidRDefault="00E667D1" w:rsidP="00257B37">
      <w:pPr>
        <w:adjustRightInd w:val="0"/>
        <w:snapToGrid w:val="0"/>
        <w:spacing w:line="360" w:lineRule="auto"/>
        <w:rPr>
          <w:rFonts w:ascii="宋体" w:hAnsi="宋体"/>
          <w:sz w:val="24"/>
        </w:rPr>
      </w:pPr>
    </w:p>
    <w:p w:rsidR="00E667D1" w:rsidRPr="00D9347E" w:rsidRDefault="00E667D1" w:rsidP="00257B37">
      <w:pPr>
        <w:adjustRightInd w:val="0"/>
        <w:snapToGrid w:val="0"/>
        <w:spacing w:line="360" w:lineRule="auto"/>
        <w:rPr>
          <w:rFonts w:ascii="宋体" w:hAnsi="宋体"/>
          <w:sz w:val="24"/>
        </w:rPr>
      </w:pPr>
    </w:p>
    <w:p w:rsidR="00E667D1" w:rsidRPr="00D9347E" w:rsidRDefault="00E667D1" w:rsidP="00257B37">
      <w:pPr>
        <w:adjustRightInd w:val="0"/>
        <w:snapToGrid w:val="0"/>
        <w:spacing w:line="360" w:lineRule="auto"/>
        <w:rPr>
          <w:rFonts w:ascii="宋体" w:hAnsi="宋体"/>
          <w:sz w:val="24"/>
        </w:rPr>
      </w:pPr>
    </w:p>
    <w:p w:rsidR="0085047B" w:rsidRPr="000D1294" w:rsidRDefault="0085047B" w:rsidP="00150212">
      <w:pPr>
        <w:numPr>
          <w:ilvl w:val="0"/>
          <w:numId w:val="2"/>
        </w:numPr>
        <w:adjustRightInd w:val="0"/>
        <w:snapToGrid w:val="0"/>
        <w:spacing w:line="360" w:lineRule="auto"/>
        <w:outlineLvl w:val="0"/>
        <w:rPr>
          <w:rFonts w:ascii="华文中宋" w:eastAsia="华文中宋" w:hAnsi="华文中宋"/>
          <w:b/>
          <w:sz w:val="28"/>
          <w:szCs w:val="28"/>
        </w:rPr>
      </w:pPr>
      <w:bookmarkStart w:id="1" w:name="_Toc307499863"/>
      <w:bookmarkStart w:id="2" w:name="_Toc308707188"/>
      <w:bookmarkStart w:id="3" w:name="_Toc308707276"/>
      <w:r w:rsidRPr="000D1294">
        <w:rPr>
          <w:rFonts w:ascii="华文中宋" w:eastAsia="华文中宋" w:hAnsi="华文中宋" w:hint="eastAsia"/>
          <w:b/>
          <w:sz w:val="28"/>
          <w:szCs w:val="28"/>
        </w:rPr>
        <w:lastRenderedPageBreak/>
        <w:t>保理</w:t>
      </w:r>
      <w:r w:rsidR="00E667D1" w:rsidRPr="000D1294">
        <w:rPr>
          <w:rFonts w:ascii="华文中宋" w:eastAsia="华文中宋" w:hAnsi="华文中宋" w:hint="eastAsia"/>
          <w:b/>
          <w:sz w:val="28"/>
          <w:szCs w:val="28"/>
        </w:rPr>
        <w:t>业务的定义以及基本分类</w:t>
      </w:r>
      <w:bookmarkEnd w:id="1"/>
      <w:bookmarkEnd w:id="2"/>
      <w:bookmarkEnd w:id="3"/>
    </w:p>
    <w:p w:rsidR="00E667D1" w:rsidRPr="00D9347E" w:rsidRDefault="00E667D1" w:rsidP="00150212">
      <w:pPr>
        <w:numPr>
          <w:ilvl w:val="0"/>
          <w:numId w:val="3"/>
        </w:numPr>
        <w:adjustRightInd w:val="0"/>
        <w:snapToGrid w:val="0"/>
        <w:spacing w:line="360" w:lineRule="auto"/>
        <w:outlineLvl w:val="1"/>
        <w:rPr>
          <w:rFonts w:ascii="宋体" w:hAnsi="宋体"/>
          <w:b/>
          <w:sz w:val="24"/>
        </w:rPr>
      </w:pPr>
      <w:bookmarkStart w:id="4" w:name="_Toc307499864"/>
      <w:bookmarkStart w:id="5" w:name="_Toc308707189"/>
      <w:bookmarkStart w:id="6" w:name="_Toc308707277"/>
      <w:r w:rsidRPr="00D9347E">
        <w:rPr>
          <w:rFonts w:ascii="宋体" w:hAnsi="宋体" w:hint="eastAsia"/>
          <w:b/>
          <w:sz w:val="24"/>
        </w:rPr>
        <w:t>保理业务的定义</w:t>
      </w:r>
      <w:bookmarkEnd w:id="4"/>
      <w:bookmarkEnd w:id="5"/>
      <w:bookmarkEnd w:id="6"/>
    </w:p>
    <w:p w:rsidR="00E667D1" w:rsidRPr="00D9347E" w:rsidRDefault="00E667D1" w:rsidP="00257B37">
      <w:pPr>
        <w:adjustRightInd w:val="0"/>
        <w:snapToGrid w:val="0"/>
        <w:spacing w:line="360" w:lineRule="auto"/>
        <w:ind w:firstLineChars="200" w:firstLine="480"/>
        <w:rPr>
          <w:rFonts w:ascii="宋体" w:hAnsi="宋体"/>
          <w:sz w:val="24"/>
        </w:rPr>
      </w:pPr>
      <w:r w:rsidRPr="00D9347E">
        <w:rPr>
          <w:rFonts w:hAnsi="宋体"/>
          <w:sz w:val="24"/>
        </w:rPr>
        <w:t>保理（</w:t>
      </w:r>
      <w:r w:rsidRPr="00D9347E">
        <w:rPr>
          <w:sz w:val="24"/>
        </w:rPr>
        <w:t>Factoring</w:t>
      </w:r>
      <w:r w:rsidRPr="00D9347E">
        <w:rPr>
          <w:rFonts w:hAnsi="宋体"/>
          <w:sz w:val="24"/>
        </w:rPr>
        <w:t>）又称托收保付，出口商将其现在或将来的基于其与买方订立的货物销售</w:t>
      </w:r>
      <w:r w:rsidRPr="00D9347E">
        <w:rPr>
          <w:sz w:val="24"/>
        </w:rPr>
        <w:t>/</w:t>
      </w:r>
      <w:r w:rsidRPr="00D9347E">
        <w:rPr>
          <w:rFonts w:hAnsi="宋体"/>
          <w:sz w:val="24"/>
        </w:rPr>
        <w:t>服务合同所产生的应收账款转让给保理商（提供保理服务的金融机构），由保理商向其提供资金融通、进口商资信评估、销售账户管理、信用风险担保、账款催收等一系列服务的综合金融服务方式。它是国际贸易中以托收、赊账方式结算货款时，出口方为了避免收汇风险而采用的一种请求第三者（保理商）承担风险责任的做</w:t>
      </w:r>
      <w:r w:rsidRPr="00D9347E">
        <w:rPr>
          <w:rFonts w:ascii="宋体" w:hAnsi="宋体" w:hint="eastAsia"/>
          <w:sz w:val="24"/>
        </w:rPr>
        <w:t>法。</w:t>
      </w:r>
    </w:p>
    <w:p w:rsidR="00EA0A1A" w:rsidRPr="00D9347E" w:rsidRDefault="00E667D1" w:rsidP="00150212">
      <w:pPr>
        <w:numPr>
          <w:ilvl w:val="0"/>
          <w:numId w:val="3"/>
        </w:numPr>
        <w:adjustRightInd w:val="0"/>
        <w:snapToGrid w:val="0"/>
        <w:spacing w:line="360" w:lineRule="auto"/>
        <w:outlineLvl w:val="1"/>
        <w:rPr>
          <w:rFonts w:ascii="宋体" w:hAnsi="宋体"/>
          <w:b/>
          <w:sz w:val="24"/>
        </w:rPr>
      </w:pPr>
      <w:bookmarkStart w:id="7" w:name="_Toc307499865"/>
      <w:bookmarkStart w:id="8" w:name="_Toc308707190"/>
      <w:bookmarkStart w:id="9" w:name="_Toc308707278"/>
      <w:r w:rsidRPr="00D9347E">
        <w:rPr>
          <w:rFonts w:ascii="宋体" w:hAnsi="宋体" w:hint="eastAsia"/>
          <w:b/>
          <w:sz w:val="24"/>
        </w:rPr>
        <w:t>保理业务</w:t>
      </w:r>
      <w:r w:rsidR="00EA0A1A" w:rsidRPr="00D9347E">
        <w:rPr>
          <w:rFonts w:ascii="宋体" w:hAnsi="宋体" w:hint="eastAsia"/>
          <w:b/>
          <w:sz w:val="24"/>
        </w:rPr>
        <w:t>的起源</w:t>
      </w:r>
      <w:bookmarkEnd w:id="7"/>
      <w:bookmarkEnd w:id="8"/>
      <w:bookmarkEnd w:id="9"/>
    </w:p>
    <w:p w:rsidR="00EA0A1A" w:rsidRPr="00D9347E" w:rsidRDefault="00E1472C" w:rsidP="00257B37">
      <w:pPr>
        <w:adjustRightInd w:val="0"/>
        <w:snapToGrid w:val="0"/>
        <w:spacing w:line="360" w:lineRule="auto"/>
        <w:ind w:firstLineChars="200" w:firstLine="480"/>
        <w:rPr>
          <w:rFonts w:ascii="宋体" w:hAnsi="宋体"/>
          <w:sz w:val="24"/>
        </w:rPr>
      </w:pPr>
      <w:r>
        <w:rPr>
          <w:rFonts w:ascii="宋体" w:hAnsi="宋体" w:hint="eastAsia"/>
          <w:sz w:val="24"/>
        </w:rPr>
        <w:t>在国际贸易中</w:t>
      </w:r>
      <w:r w:rsidR="00EA0A1A" w:rsidRPr="00D9347E">
        <w:rPr>
          <w:rFonts w:ascii="宋体" w:hAnsi="宋体" w:hint="eastAsia"/>
          <w:sz w:val="24"/>
        </w:rPr>
        <w:t>为了维持良好的合作关系，卖方企业一般都会给予买方企业一定的赊账期，但是由于买方企业的信用层次不齐，卖方企业就很可能面临由于赊销而遭受到的资金紧张和买方信用风险等问题。怎样能更好的权衡这两方面问题呢？一种集贸易融资、商业资信调查、应收账款管理及信用风险担保于一体的新兴综合性金融服务就应运而生—保理。目前在国内，保理作为一项新兴的业务正在逐渐被广大银行所推出，被广大企业所采用。</w:t>
      </w:r>
    </w:p>
    <w:p w:rsidR="00EA0A1A" w:rsidRPr="00D9347E" w:rsidRDefault="00E1472C" w:rsidP="00E1472C">
      <w:pPr>
        <w:adjustRightInd w:val="0"/>
        <w:snapToGrid w:val="0"/>
        <w:spacing w:line="360" w:lineRule="auto"/>
        <w:ind w:firstLineChars="200" w:firstLine="480"/>
        <w:jc w:val="left"/>
        <w:rPr>
          <w:rFonts w:ascii="宋体" w:hAnsi="宋体"/>
          <w:sz w:val="24"/>
        </w:rPr>
      </w:pPr>
      <w:r>
        <w:rPr>
          <w:rFonts w:ascii="宋体" w:hAnsi="宋体" w:hint="eastAsia"/>
          <w:sz w:val="24"/>
        </w:rPr>
        <w:t>原始的保理业务</w:t>
      </w:r>
      <w:r w:rsidR="00EA0A1A" w:rsidRPr="00D9347E">
        <w:rPr>
          <w:rFonts w:ascii="宋体" w:hAnsi="宋体" w:hint="eastAsia"/>
          <w:sz w:val="24"/>
        </w:rPr>
        <w:t>是一种商务代理制度，指保理商直接为供应商在异地推销、储存和运输货物，同时也提供管理、收账、坏账担保和资金融通，在美国较为盛行。而现代保理业务则主要源于两大分支:一是上述的原始代理商，即美国代理商的商务代理；另一为欧洲大陆贴现商的贴现业务，即出口商把应收账款全部拿来贴现并通知债务人债权己经给贴现商并将货款直接付给贴现商。这两支不同形式的保理业务就构成了现代保理的全部内容。</w:t>
      </w:r>
    </w:p>
    <w:p w:rsidR="00461344" w:rsidRPr="00D9347E" w:rsidRDefault="00461344" w:rsidP="00150212">
      <w:pPr>
        <w:numPr>
          <w:ilvl w:val="0"/>
          <w:numId w:val="3"/>
        </w:numPr>
        <w:adjustRightInd w:val="0"/>
        <w:snapToGrid w:val="0"/>
        <w:spacing w:line="360" w:lineRule="auto"/>
        <w:outlineLvl w:val="1"/>
        <w:rPr>
          <w:rFonts w:ascii="宋体" w:hAnsi="宋体"/>
          <w:b/>
          <w:sz w:val="24"/>
        </w:rPr>
      </w:pPr>
      <w:bookmarkStart w:id="10" w:name="_Toc307499866"/>
      <w:bookmarkStart w:id="11" w:name="_Toc308707191"/>
      <w:bookmarkStart w:id="12" w:name="_Toc308707279"/>
      <w:r w:rsidRPr="00D9347E">
        <w:rPr>
          <w:rFonts w:ascii="宋体" w:hAnsi="宋体" w:hint="eastAsia"/>
          <w:b/>
          <w:sz w:val="24"/>
        </w:rPr>
        <w:t>保理业务的优势</w:t>
      </w:r>
      <w:bookmarkEnd w:id="10"/>
      <w:bookmarkEnd w:id="11"/>
      <w:bookmarkEnd w:id="12"/>
    </w:p>
    <w:p w:rsidR="00461344" w:rsidRPr="00D9347E" w:rsidRDefault="00461344" w:rsidP="00257B37">
      <w:pPr>
        <w:adjustRightInd w:val="0"/>
        <w:snapToGrid w:val="0"/>
        <w:spacing w:line="360" w:lineRule="auto"/>
        <w:ind w:firstLineChars="200" w:firstLine="480"/>
        <w:rPr>
          <w:rFonts w:ascii="宋体" w:hAnsi="宋体"/>
          <w:sz w:val="24"/>
        </w:rPr>
      </w:pPr>
      <w:r w:rsidRPr="00D9347E">
        <w:rPr>
          <w:rFonts w:ascii="宋体" w:hAnsi="宋体" w:hint="eastAsia"/>
          <w:sz w:val="24"/>
        </w:rPr>
        <w:t>对于供货商，首先可以为企业的客户提供更多的具有竞争实力的付款条件，既维护了良好的客户关系，又能够确保资金的及时回笼，加速了资金的流通，增加了企业的利润。其次，开展保理业务之后可以由银行进行账款的催收和信用风险的控制，在一定程度上将风险转嫁给了银行。此外，相比较信用证交易的繁琐，保理业务的手续相对简便。</w:t>
      </w:r>
    </w:p>
    <w:p w:rsidR="00461344" w:rsidRPr="00D9347E" w:rsidRDefault="00461344" w:rsidP="00257B37">
      <w:pPr>
        <w:adjustRightInd w:val="0"/>
        <w:snapToGrid w:val="0"/>
        <w:spacing w:line="360" w:lineRule="auto"/>
        <w:ind w:firstLineChars="200" w:firstLine="480"/>
        <w:rPr>
          <w:rFonts w:ascii="宋体" w:hAnsi="宋体"/>
          <w:sz w:val="24"/>
        </w:rPr>
      </w:pPr>
      <w:r w:rsidRPr="00D9347E">
        <w:rPr>
          <w:rFonts w:ascii="宋体" w:hAnsi="宋体" w:hint="eastAsia"/>
          <w:sz w:val="24"/>
        </w:rPr>
        <w:t>对于进货商来说，由于银行为供货商提供了提前的资金融通，因此供货商可以给予进货商更优惠的付款条件，有利于进货商的业务扩大，利润的增加。</w:t>
      </w:r>
    </w:p>
    <w:p w:rsidR="00E667D1" w:rsidRPr="00D9347E" w:rsidRDefault="00E667D1" w:rsidP="00150212">
      <w:pPr>
        <w:numPr>
          <w:ilvl w:val="0"/>
          <w:numId w:val="3"/>
        </w:numPr>
        <w:adjustRightInd w:val="0"/>
        <w:snapToGrid w:val="0"/>
        <w:spacing w:line="360" w:lineRule="auto"/>
        <w:outlineLvl w:val="1"/>
        <w:rPr>
          <w:rFonts w:ascii="宋体" w:hAnsi="宋体"/>
          <w:b/>
          <w:sz w:val="24"/>
        </w:rPr>
      </w:pPr>
      <w:bookmarkStart w:id="13" w:name="_Toc307499867"/>
      <w:bookmarkStart w:id="14" w:name="_Toc308707192"/>
      <w:bookmarkStart w:id="15" w:name="_Toc308707280"/>
      <w:r w:rsidRPr="00D9347E">
        <w:rPr>
          <w:rFonts w:ascii="宋体" w:hAnsi="宋体" w:hint="eastAsia"/>
          <w:b/>
          <w:sz w:val="24"/>
        </w:rPr>
        <w:lastRenderedPageBreak/>
        <w:t>保理业务的基本分类</w:t>
      </w:r>
      <w:bookmarkEnd w:id="13"/>
      <w:bookmarkEnd w:id="14"/>
      <w:bookmarkEnd w:id="15"/>
    </w:p>
    <w:p w:rsidR="00D9347E" w:rsidRDefault="00EA0A1A" w:rsidP="00257B37">
      <w:pPr>
        <w:adjustRightInd w:val="0"/>
        <w:snapToGrid w:val="0"/>
        <w:spacing w:line="360" w:lineRule="auto"/>
        <w:ind w:firstLineChars="196" w:firstLine="470"/>
        <w:rPr>
          <w:rFonts w:ascii="宋体" w:hAnsi="宋体"/>
          <w:sz w:val="24"/>
        </w:rPr>
      </w:pPr>
      <w:r w:rsidRPr="00D9347E">
        <w:rPr>
          <w:rFonts w:ascii="宋体" w:hAnsi="宋体" w:hint="eastAsia"/>
          <w:sz w:val="24"/>
        </w:rPr>
        <w:t>在实际的运用中，保理业务有多种不同的操作方式。一般可以分为：有追索权和物追索权的保理；明保理和暗保理；折扣保理保理和到期保理</w:t>
      </w:r>
      <w:r w:rsidR="00D9347E">
        <w:rPr>
          <w:rFonts w:ascii="宋体" w:hAnsi="宋体" w:hint="eastAsia"/>
          <w:sz w:val="24"/>
        </w:rPr>
        <w:t>；国内保理和国际保理。</w:t>
      </w:r>
      <w:r w:rsidRPr="00D9347E">
        <w:rPr>
          <w:rFonts w:ascii="宋体" w:hAnsi="宋体" w:hint="eastAsia"/>
          <w:sz w:val="24"/>
        </w:rPr>
        <w:t xml:space="preserve"> </w:t>
      </w:r>
      <w:bookmarkStart w:id="16" w:name="4_1"/>
      <w:bookmarkEnd w:id="16"/>
    </w:p>
    <w:p w:rsidR="00EA0A1A" w:rsidRPr="00D9347E" w:rsidRDefault="00EA0A1A" w:rsidP="00257B37">
      <w:pPr>
        <w:adjustRightInd w:val="0"/>
        <w:snapToGrid w:val="0"/>
        <w:spacing w:line="360" w:lineRule="auto"/>
        <w:rPr>
          <w:rFonts w:ascii="宋体" w:hAnsi="宋体"/>
          <w:sz w:val="24"/>
        </w:rPr>
      </w:pPr>
      <w:r w:rsidRPr="00D9347E">
        <w:rPr>
          <w:rFonts w:ascii="宋体" w:hAnsi="宋体"/>
          <w:b/>
          <w:bCs/>
          <w:sz w:val="24"/>
        </w:rPr>
        <w:t>（1）有追索权的保理和无追索权的保理</w:t>
      </w:r>
    </w:p>
    <w:p w:rsidR="00EA0A1A" w:rsidRPr="00D9347E" w:rsidRDefault="00EA0A1A" w:rsidP="00257B37">
      <w:pPr>
        <w:adjustRightInd w:val="0"/>
        <w:snapToGrid w:val="0"/>
        <w:spacing w:line="360" w:lineRule="auto"/>
        <w:rPr>
          <w:rFonts w:ascii="宋体" w:hAnsi="宋体"/>
          <w:sz w:val="24"/>
        </w:rPr>
      </w:pPr>
      <w:r w:rsidRPr="00D9347E">
        <w:rPr>
          <w:rFonts w:ascii="宋体" w:hAnsi="宋体" w:hint="eastAsia"/>
          <w:sz w:val="24"/>
        </w:rPr>
        <w:t xml:space="preserve">　　有追索权的保理是指供应商将应收账款的债权转让银行（即保理商），供应商在得到款项之后，如果购货商拒绝付款或无力付款，保理商有权向供应商进行追索，要求偿还预付的货币资金。当前银行出于谨慎性原则考虑，为了减少日后可能发生的损失，通常情况下会为客户提供有追索权的保理。 </w:t>
      </w:r>
    </w:p>
    <w:p w:rsidR="00EA0A1A" w:rsidRPr="00D9347E" w:rsidRDefault="00EA0A1A" w:rsidP="00257B37">
      <w:pPr>
        <w:adjustRightInd w:val="0"/>
        <w:snapToGrid w:val="0"/>
        <w:spacing w:line="360" w:lineRule="auto"/>
        <w:rPr>
          <w:rFonts w:ascii="宋体" w:hAnsi="宋体"/>
          <w:sz w:val="24"/>
        </w:rPr>
      </w:pPr>
      <w:r w:rsidRPr="00D9347E">
        <w:rPr>
          <w:rFonts w:ascii="宋体" w:hAnsi="宋体" w:hint="eastAsia"/>
          <w:sz w:val="24"/>
        </w:rPr>
        <w:t xml:space="preserve">　　无追索权的保理则相反，是由保理商独自承担购货商拒绝付款或无力付款的风险。供应商在与保理商开展了保理业务之后就等于将全部的风险转嫁给了银行。因为风险过大，银行一般不予以接受。 </w:t>
      </w:r>
    </w:p>
    <w:p w:rsidR="00EA0A1A" w:rsidRPr="00D9347E" w:rsidRDefault="00EA0A1A" w:rsidP="00257B37">
      <w:pPr>
        <w:adjustRightInd w:val="0"/>
        <w:snapToGrid w:val="0"/>
        <w:spacing w:line="360" w:lineRule="auto"/>
        <w:rPr>
          <w:rFonts w:ascii="宋体" w:hAnsi="宋体"/>
          <w:b/>
          <w:bCs/>
          <w:sz w:val="24"/>
        </w:rPr>
      </w:pPr>
      <w:bookmarkStart w:id="17" w:name="4_2"/>
      <w:bookmarkEnd w:id="17"/>
      <w:r w:rsidRPr="00D9347E">
        <w:rPr>
          <w:rFonts w:ascii="宋体" w:hAnsi="宋体" w:hint="eastAsia"/>
          <w:b/>
          <w:bCs/>
          <w:sz w:val="24"/>
        </w:rPr>
        <w:t>（2）明保理和暗保理</w:t>
      </w:r>
    </w:p>
    <w:p w:rsidR="00EA0A1A" w:rsidRPr="00D9347E" w:rsidRDefault="00EA0A1A" w:rsidP="00257B37">
      <w:pPr>
        <w:adjustRightInd w:val="0"/>
        <w:snapToGrid w:val="0"/>
        <w:spacing w:line="360" w:lineRule="auto"/>
        <w:rPr>
          <w:rFonts w:ascii="宋体" w:hAnsi="宋体"/>
          <w:sz w:val="24"/>
        </w:rPr>
      </w:pPr>
      <w:r w:rsidRPr="00D9347E">
        <w:rPr>
          <w:rFonts w:ascii="宋体" w:hAnsi="宋体" w:hint="eastAsia"/>
          <w:sz w:val="24"/>
        </w:rPr>
        <w:t xml:space="preserve">　　明保理和暗保理是按照是否将保理业务通知购货商来区分的。 </w:t>
      </w:r>
    </w:p>
    <w:p w:rsidR="00EA0A1A" w:rsidRPr="00D9347E" w:rsidRDefault="00EA0A1A" w:rsidP="00257B37">
      <w:pPr>
        <w:adjustRightInd w:val="0"/>
        <w:snapToGrid w:val="0"/>
        <w:spacing w:line="360" w:lineRule="auto"/>
        <w:rPr>
          <w:rFonts w:ascii="宋体" w:hAnsi="宋体"/>
          <w:sz w:val="24"/>
        </w:rPr>
      </w:pPr>
      <w:r w:rsidRPr="00D9347E">
        <w:rPr>
          <w:rFonts w:ascii="宋体" w:hAnsi="宋体" w:hint="eastAsia"/>
          <w:sz w:val="24"/>
        </w:rPr>
        <w:t xml:space="preserve">　　明保理是指供货商在债权转让的时候应立即将保理情况告知购货商，并指示购货商将货款直接付给保理商。 </w:t>
      </w:r>
    </w:p>
    <w:p w:rsidR="00EA0A1A" w:rsidRPr="00D9347E" w:rsidRDefault="00EA0A1A" w:rsidP="00257B37">
      <w:pPr>
        <w:adjustRightInd w:val="0"/>
        <w:snapToGrid w:val="0"/>
        <w:spacing w:line="360" w:lineRule="auto"/>
        <w:rPr>
          <w:rFonts w:ascii="宋体" w:hAnsi="宋体"/>
          <w:sz w:val="24"/>
        </w:rPr>
      </w:pPr>
      <w:r w:rsidRPr="00D9347E">
        <w:rPr>
          <w:rFonts w:ascii="宋体" w:hAnsi="宋体" w:hint="eastAsia"/>
          <w:sz w:val="24"/>
        </w:rPr>
        <w:t xml:space="preserve">　　而暗保理则是将购货商排除在保理业务之外，由银行和供货商单独进行保理业务，在到期后供货商出面进行款项的催讨，收回之后再交给保理商。供货商通过开展暗保理可以隐瞒自己资金状况不佳的状况。 </w:t>
      </w:r>
    </w:p>
    <w:p w:rsidR="00EA0A1A" w:rsidRPr="00D9347E" w:rsidRDefault="00EA0A1A" w:rsidP="00257B37">
      <w:pPr>
        <w:adjustRightInd w:val="0"/>
        <w:snapToGrid w:val="0"/>
        <w:spacing w:line="360" w:lineRule="auto"/>
        <w:rPr>
          <w:rFonts w:ascii="宋体" w:hAnsi="宋体"/>
          <w:sz w:val="24"/>
        </w:rPr>
      </w:pPr>
      <w:r w:rsidRPr="00D9347E">
        <w:rPr>
          <w:rFonts w:ascii="宋体" w:hAnsi="宋体" w:hint="eastAsia"/>
          <w:sz w:val="24"/>
        </w:rPr>
        <w:t xml:space="preserve">　　需要注意的是，在我国《</w:t>
      </w:r>
      <w:r w:rsidRPr="00D9347E">
        <w:rPr>
          <w:rFonts w:ascii="宋体" w:hAnsi="宋体"/>
          <w:sz w:val="24"/>
        </w:rPr>
        <w:t>合同法</w:t>
      </w:r>
      <w:r w:rsidRPr="00D9347E">
        <w:rPr>
          <w:rFonts w:ascii="宋体" w:hAnsi="宋体" w:hint="eastAsia"/>
          <w:sz w:val="24"/>
        </w:rPr>
        <w:t xml:space="preserve">》中有明确的规定，供应商在对自有应收账款转让时，须在购销合同中约定，且必须通知买方。 </w:t>
      </w:r>
    </w:p>
    <w:p w:rsidR="00EA0A1A" w:rsidRPr="00D9347E" w:rsidRDefault="00EA0A1A" w:rsidP="00257B37">
      <w:pPr>
        <w:adjustRightInd w:val="0"/>
        <w:snapToGrid w:val="0"/>
        <w:spacing w:line="360" w:lineRule="auto"/>
        <w:rPr>
          <w:rFonts w:ascii="宋体" w:hAnsi="宋体"/>
          <w:sz w:val="24"/>
        </w:rPr>
      </w:pPr>
      <w:r w:rsidRPr="00D9347E">
        <w:rPr>
          <w:rFonts w:ascii="宋体" w:hAnsi="宋体" w:hint="eastAsia"/>
          <w:sz w:val="24"/>
        </w:rPr>
        <w:t xml:space="preserve">　　因此这就决定了目前在国内银行所开展保理业务都是明保理。 </w:t>
      </w:r>
    </w:p>
    <w:p w:rsidR="00EA0A1A" w:rsidRPr="00D9347E" w:rsidRDefault="00EA0A1A" w:rsidP="00257B37">
      <w:pPr>
        <w:adjustRightInd w:val="0"/>
        <w:snapToGrid w:val="0"/>
        <w:spacing w:line="360" w:lineRule="auto"/>
        <w:rPr>
          <w:rFonts w:ascii="宋体" w:hAnsi="宋体"/>
          <w:b/>
          <w:bCs/>
          <w:sz w:val="24"/>
        </w:rPr>
      </w:pPr>
      <w:bookmarkStart w:id="18" w:name="4_3"/>
      <w:bookmarkEnd w:id="18"/>
      <w:r w:rsidRPr="00D9347E">
        <w:rPr>
          <w:rFonts w:ascii="宋体" w:hAnsi="宋体" w:hint="eastAsia"/>
          <w:b/>
          <w:bCs/>
          <w:sz w:val="24"/>
        </w:rPr>
        <w:t>（3）折扣保理和到期保理</w:t>
      </w:r>
    </w:p>
    <w:p w:rsidR="00EA0A1A" w:rsidRPr="00D9347E" w:rsidRDefault="00EA0A1A" w:rsidP="00257B37">
      <w:pPr>
        <w:adjustRightInd w:val="0"/>
        <w:snapToGrid w:val="0"/>
        <w:spacing w:line="360" w:lineRule="auto"/>
        <w:rPr>
          <w:rFonts w:ascii="宋体" w:hAnsi="宋体"/>
          <w:sz w:val="24"/>
        </w:rPr>
      </w:pPr>
      <w:r w:rsidRPr="00D9347E">
        <w:rPr>
          <w:rFonts w:ascii="宋体" w:hAnsi="宋体" w:hint="eastAsia"/>
          <w:sz w:val="24"/>
        </w:rPr>
        <w:t xml:space="preserve">　　折扣保理又称为融资保理，是指当出口商将代表应收账款的票据交给保理商时，保理商立即以预付款方式向出口商提供不超过应收账款80%的融资，剩余20%的应收账款待保理商向债务人（进口商）收取全部货款后，再行清算。这是比较典型的保理方式。 </w:t>
      </w:r>
    </w:p>
    <w:p w:rsidR="00EA0A1A" w:rsidRPr="00D9347E" w:rsidRDefault="00EA0A1A" w:rsidP="00257B37">
      <w:pPr>
        <w:adjustRightInd w:val="0"/>
        <w:snapToGrid w:val="0"/>
        <w:spacing w:line="360" w:lineRule="auto"/>
        <w:rPr>
          <w:rFonts w:ascii="宋体" w:hAnsi="宋体"/>
          <w:b/>
          <w:bCs/>
          <w:sz w:val="24"/>
        </w:rPr>
      </w:pPr>
      <w:r w:rsidRPr="00D9347E">
        <w:rPr>
          <w:rFonts w:ascii="宋体" w:hAnsi="宋体" w:hint="eastAsia"/>
          <w:sz w:val="24"/>
        </w:rPr>
        <w:t xml:space="preserve">　　到期保理是指保理商在收到出口商提交的、代表应收账款的销售发票等单据时并不向出口商提供融资，而是在单据到期后，向出口商支付货款。无论到时候货款是否能够收到，保理商都必须支付货款。</w:t>
      </w:r>
    </w:p>
    <w:p w:rsidR="00EA0A1A" w:rsidRPr="00D9347E" w:rsidRDefault="00EA0A1A" w:rsidP="00257B37">
      <w:pPr>
        <w:adjustRightInd w:val="0"/>
        <w:snapToGrid w:val="0"/>
        <w:spacing w:line="360" w:lineRule="auto"/>
        <w:rPr>
          <w:rFonts w:ascii="宋体" w:hAnsi="宋体"/>
          <w:b/>
          <w:bCs/>
          <w:sz w:val="24"/>
        </w:rPr>
      </w:pPr>
      <w:r w:rsidRPr="00D9347E">
        <w:rPr>
          <w:rFonts w:ascii="宋体" w:hAnsi="宋体" w:hint="eastAsia"/>
          <w:b/>
          <w:bCs/>
          <w:sz w:val="24"/>
        </w:rPr>
        <w:lastRenderedPageBreak/>
        <w:t>（4）国内保理和国际保理</w:t>
      </w:r>
    </w:p>
    <w:p w:rsidR="00EA0A1A" w:rsidRPr="00D9347E" w:rsidRDefault="00EA0A1A" w:rsidP="00257B37">
      <w:pPr>
        <w:adjustRightInd w:val="0"/>
        <w:snapToGrid w:val="0"/>
        <w:spacing w:line="360" w:lineRule="auto"/>
        <w:jc w:val="left"/>
        <w:rPr>
          <w:rFonts w:ascii="宋体" w:hAnsi="宋体"/>
          <w:sz w:val="24"/>
        </w:rPr>
      </w:pPr>
      <w:r w:rsidRPr="00D9347E">
        <w:rPr>
          <w:rFonts w:ascii="宋体" w:hAnsi="宋体" w:hint="eastAsia"/>
          <w:sz w:val="24"/>
        </w:rPr>
        <w:t xml:space="preserve">    从保理业务中供应商与其客户的分布地理位置的角度看，现代保理业务可以</w:t>
      </w:r>
    </w:p>
    <w:p w:rsidR="00EA0A1A" w:rsidRPr="00D9347E" w:rsidRDefault="00EA0A1A" w:rsidP="00257B37">
      <w:pPr>
        <w:adjustRightInd w:val="0"/>
        <w:snapToGrid w:val="0"/>
        <w:spacing w:line="360" w:lineRule="auto"/>
        <w:jc w:val="left"/>
        <w:rPr>
          <w:rFonts w:ascii="宋体" w:hAnsi="宋体"/>
          <w:sz w:val="24"/>
        </w:rPr>
      </w:pPr>
      <w:r w:rsidRPr="00D9347E">
        <w:rPr>
          <w:rFonts w:ascii="宋体" w:hAnsi="宋体" w:hint="eastAsia"/>
          <w:sz w:val="24"/>
        </w:rPr>
        <w:t>分为国内保理和国际保理两方面。国内保理指供应商与其客户都位于同一个国家</w:t>
      </w:r>
    </w:p>
    <w:p w:rsidR="00EA0A1A" w:rsidRPr="00D9347E" w:rsidRDefault="00EA0A1A" w:rsidP="00257B37">
      <w:pPr>
        <w:adjustRightInd w:val="0"/>
        <w:snapToGrid w:val="0"/>
        <w:spacing w:line="360" w:lineRule="auto"/>
        <w:jc w:val="left"/>
        <w:rPr>
          <w:rFonts w:ascii="宋体" w:hAnsi="宋体"/>
          <w:sz w:val="24"/>
        </w:rPr>
      </w:pPr>
      <w:r w:rsidRPr="00D9347E">
        <w:rPr>
          <w:rFonts w:ascii="宋体" w:hAnsi="宋体" w:hint="eastAsia"/>
          <w:sz w:val="24"/>
        </w:rPr>
        <w:t>和地区的保理业务；国际保理是指供应商与其客户分别位于不同的国家和地区的</w:t>
      </w:r>
    </w:p>
    <w:p w:rsidR="00EA0A1A" w:rsidRPr="00D9347E" w:rsidRDefault="00EA0A1A" w:rsidP="00257B37">
      <w:pPr>
        <w:adjustRightInd w:val="0"/>
        <w:snapToGrid w:val="0"/>
        <w:spacing w:line="360" w:lineRule="auto"/>
        <w:jc w:val="left"/>
        <w:rPr>
          <w:rFonts w:ascii="宋体" w:hAnsi="宋体"/>
          <w:sz w:val="24"/>
        </w:rPr>
      </w:pPr>
      <w:r w:rsidRPr="00D9347E">
        <w:rPr>
          <w:rFonts w:ascii="宋体" w:hAnsi="宋体" w:hint="eastAsia"/>
          <w:sz w:val="24"/>
        </w:rPr>
        <w:t>保理业务。一般来说，国际保理定义为保理商为国际贸易中采用赊销或跟单托收</w:t>
      </w:r>
    </w:p>
    <w:p w:rsidR="00EA0A1A" w:rsidRPr="00D9347E" w:rsidRDefault="00EA0A1A" w:rsidP="00257B37">
      <w:pPr>
        <w:adjustRightInd w:val="0"/>
        <w:snapToGrid w:val="0"/>
        <w:spacing w:line="360" w:lineRule="auto"/>
        <w:jc w:val="left"/>
        <w:rPr>
          <w:rFonts w:ascii="宋体" w:hAnsi="宋体"/>
          <w:sz w:val="24"/>
        </w:rPr>
      </w:pPr>
      <w:r w:rsidRPr="00D9347E">
        <w:rPr>
          <w:rFonts w:ascii="宋体" w:hAnsi="宋体" w:hint="eastAsia"/>
          <w:sz w:val="24"/>
        </w:rPr>
        <w:t>承兑交单结算方式时，为卖方(即供货商)提供的将出口贸易融资、帐务处理、</w:t>
      </w:r>
    </w:p>
    <w:p w:rsidR="00EA0A1A" w:rsidRPr="00D9347E" w:rsidRDefault="00EA0A1A" w:rsidP="00257B37">
      <w:pPr>
        <w:adjustRightInd w:val="0"/>
        <w:snapToGrid w:val="0"/>
        <w:spacing w:line="360" w:lineRule="auto"/>
        <w:jc w:val="left"/>
        <w:rPr>
          <w:rFonts w:ascii="宋体" w:hAnsi="宋体"/>
          <w:sz w:val="24"/>
        </w:rPr>
      </w:pPr>
      <w:r w:rsidRPr="00D9347E">
        <w:rPr>
          <w:rFonts w:ascii="宋体" w:hAnsi="宋体" w:hint="eastAsia"/>
          <w:sz w:val="24"/>
        </w:rPr>
        <w:t>收取应收账款和买方信用担保融为一体的综合性金融服务。</w:t>
      </w:r>
    </w:p>
    <w:p w:rsidR="001B1C0E" w:rsidRDefault="001B1C0E" w:rsidP="001B1C0E">
      <w:pPr>
        <w:numPr>
          <w:ilvl w:val="0"/>
          <w:numId w:val="3"/>
        </w:numPr>
        <w:adjustRightInd w:val="0"/>
        <w:snapToGrid w:val="0"/>
        <w:spacing w:line="360" w:lineRule="auto"/>
        <w:outlineLvl w:val="1"/>
        <w:rPr>
          <w:rFonts w:ascii="宋体" w:hAnsi="宋体"/>
          <w:b/>
          <w:sz w:val="24"/>
        </w:rPr>
      </w:pPr>
      <w:bookmarkStart w:id="19" w:name="_Toc308707193"/>
      <w:bookmarkStart w:id="20" w:name="_Toc308707281"/>
      <w:r>
        <w:rPr>
          <w:rFonts w:ascii="宋体" w:hAnsi="宋体" w:hint="eastAsia"/>
          <w:b/>
          <w:sz w:val="24"/>
        </w:rPr>
        <w:t>保理业务的盈利模式</w:t>
      </w:r>
      <w:bookmarkEnd w:id="19"/>
      <w:bookmarkEnd w:id="20"/>
    </w:p>
    <w:p w:rsidR="00F131F9" w:rsidRDefault="001B1C0E" w:rsidP="00F131F9">
      <w:pPr>
        <w:adjustRightInd w:val="0"/>
        <w:snapToGrid w:val="0"/>
        <w:spacing w:line="360" w:lineRule="auto"/>
        <w:ind w:firstLineChars="200" w:firstLine="480"/>
        <w:jc w:val="left"/>
        <w:rPr>
          <w:rFonts w:ascii="Calibri" w:hAnsi="Calibri"/>
          <w:sz w:val="24"/>
        </w:rPr>
      </w:pPr>
      <w:r w:rsidRPr="00F131F9">
        <w:rPr>
          <w:rFonts w:ascii="Calibri" w:hAnsi="Calibri"/>
          <w:sz w:val="24"/>
        </w:rPr>
        <w:t>保理业务的盈利模式一般为向客户收取利息以及保理费。</w:t>
      </w:r>
      <w:r w:rsidR="00F131F9" w:rsidRPr="00F131F9">
        <w:rPr>
          <w:rFonts w:ascii="Calibri" w:hAnsi="Calibri"/>
          <w:sz w:val="24"/>
        </w:rPr>
        <w:t>保理费</w:t>
      </w:r>
      <w:r w:rsidRPr="00F131F9">
        <w:rPr>
          <w:rFonts w:ascii="Calibri" w:hAnsi="Calibri"/>
          <w:sz w:val="24"/>
        </w:rPr>
        <w:t>包括：</w:t>
      </w:r>
    </w:p>
    <w:p w:rsidR="00F131F9" w:rsidRDefault="00F131F9" w:rsidP="00F131F9">
      <w:pPr>
        <w:adjustRightInd w:val="0"/>
        <w:snapToGrid w:val="0"/>
        <w:spacing w:line="360" w:lineRule="auto"/>
        <w:ind w:firstLineChars="200" w:firstLine="480"/>
        <w:jc w:val="left"/>
        <w:rPr>
          <w:rFonts w:ascii="Calibri" w:hAnsi="Calibri"/>
          <w:sz w:val="24"/>
        </w:rPr>
      </w:pPr>
      <w:r>
        <w:rPr>
          <w:rFonts w:ascii="Calibri" w:hAnsi="Calibri" w:hint="eastAsia"/>
          <w:sz w:val="24"/>
        </w:rPr>
        <w:t>（</w:t>
      </w:r>
      <w:r>
        <w:rPr>
          <w:rFonts w:ascii="Calibri" w:hAnsi="Calibri" w:hint="eastAsia"/>
          <w:sz w:val="24"/>
        </w:rPr>
        <w:t>1</w:t>
      </w:r>
      <w:r>
        <w:rPr>
          <w:rFonts w:ascii="Calibri" w:hAnsi="Calibri" w:hint="eastAsia"/>
          <w:sz w:val="24"/>
        </w:rPr>
        <w:t>）</w:t>
      </w:r>
      <w:r w:rsidR="001B1C0E" w:rsidRPr="00F131F9">
        <w:rPr>
          <w:rFonts w:ascii="Calibri" w:hAnsi="Calibri"/>
          <w:sz w:val="24"/>
        </w:rPr>
        <w:t>手续费：进口保理商根据买方的信用风险程度确定，将通过</w:t>
      </w:r>
      <w:r>
        <w:rPr>
          <w:rFonts w:ascii="Calibri" w:hAnsi="Calibri"/>
          <w:sz w:val="24"/>
        </w:rPr>
        <w:t>报文</w:t>
      </w:r>
      <w:r w:rsidR="001B1C0E" w:rsidRPr="00F131F9">
        <w:rPr>
          <w:rFonts w:ascii="Calibri" w:hAnsi="Calibri"/>
          <w:sz w:val="24"/>
        </w:rPr>
        <w:t>予以回复其手续费标准。作为出口保理商</w:t>
      </w:r>
      <w:r>
        <w:rPr>
          <w:rFonts w:ascii="Calibri" w:hAnsi="Calibri" w:hint="eastAsia"/>
          <w:sz w:val="24"/>
        </w:rPr>
        <w:t>，</w:t>
      </w:r>
      <w:r w:rsidR="001B1C0E" w:rsidRPr="00F131F9">
        <w:rPr>
          <w:rFonts w:ascii="Calibri" w:hAnsi="Calibri"/>
          <w:sz w:val="24"/>
        </w:rPr>
        <w:t>将在其报价的基础上加一定的费率。另外，有的保理商会收取单据的处理费，一般几美元</w:t>
      </w:r>
      <w:r w:rsidR="001B1C0E" w:rsidRPr="00F131F9">
        <w:rPr>
          <w:rFonts w:ascii="Calibri" w:hAnsi="Calibri"/>
          <w:sz w:val="24"/>
        </w:rPr>
        <w:t>/</w:t>
      </w:r>
      <w:r>
        <w:rPr>
          <w:rFonts w:ascii="Calibri" w:hAnsi="Calibri"/>
          <w:sz w:val="24"/>
        </w:rPr>
        <w:t>发票或者贷项清单</w:t>
      </w:r>
      <w:r>
        <w:rPr>
          <w:rFonts w:ascii="Calibri" w:hAnsi="Calibri" w:hint="eastAsia"/>
          <w:sz w:val="24"/>
        </w:rPr>
        <w:t>。</w:t>
      </w:r>
    </w:p>
    <w:p w:rsidR="0085047B" w:rsidRPr="00F131F9" w:rsidRDefault="00F131F9" w:rsidP="00F131F9">
      <w:pPr>
        <w:adjustRightInd w:val="0"/>
        <w:snapToGrid w:val="0"/>
        <w:spacing w:line="360" w:lineRule="auto"/>
        <w:ind w:firstLineChars="200" w:firstLine="480"/>
        <w:jc w:val="left"/>
        <w:rPr>
          <w:rFonts w:ascii="Calibri" w:hAnsi="Calibri"/>
          <w:sz w:val="24"/>
        </w:rPr>
      </w:pPr>
      <w:r>
        <w:rPr>
          <w:rFonts w:ascii="Calibri" w:hAnsi="Calibri" w:hint="eastAsia"/>
          <w:sz w:val="24"/>
        </w:rPr>
        <w:t>（</w:t>
      </w:r>
      <w:r>
        <w:rPr>
          <w:rFonts w:ascii="Calibri" w:hAnsi="Calibri" w:hint="eastAsia"/>
          <w:sz w:val="24"/>
        </w:rPr>
        <w:t>2</w:t>
      </w:r>
      <w:r>
        <w:rPr>
          <w:rFonts w:ascii="Calibri" w:hAnsi="Calibri" w:hint="eastAsia"/>
          <w:sz w:val="24"/>
        </w:rPr>
        <w:t>）</w:t>
      </w:r>
      <w:r w:rsidR="001B1C0E" w:rsidRPr="00F131F9">
        <w:rPr>
          <w:rFonts w:ascii="Calibri" w:hAnsi="Calibri"/>
          <w:sz w:val="24"/>
        </w:rPr>
        <w:t>融资利息：出口保理商根据提供的融资得金额和期限来收取，一般为</w:t>
      </w:r>
      <w:r w:rsidR="001B1C0E" w:rsidRPr="00F131F9">
        <w:rPr>
          <w:rFonts w:ascii="Calibri" w:hAnsi="Calibri"/>
          <w:sz w:val="24"/>
        </w:rPr>
        <w:t>libor</w:t>
      </w:r>
      <w:r w:rsidR="001B1C0E" w:rsidRPr="00F131F9">
        <w:rPr>
          <w:rFonts w:ascii="Calibri" w:hAnsi="Calibri"/>
          <w:sz w:val="24"/>
        </w:rPr>
        <w:t>利率加点。</w:t>
      </w:r>
      <w:r w:rsidRPr="00F131F9">
        <w:rPr>
          <w:rFonts w:ascii="Calibri" w:hAnsi="Calibri"/>
          <w:sz w:val="24"/>
        </w:rPr>
        <w:t xml:space="preserve"> </w:t>
      </w:r>
    </w:p>
    <w:p w:rsidR="0085047B" w:rsidRDefault="00EA0A1A" w:rsidP="00150212">
      <w:pPr>
        <w:numPr>
          <w:ilvl w:val="0"/>
          <w:numId w:val="2"/>
        </w:numPr>
        <w:adjustRightInd w:val="0"/>
        <w:snapToGrid w:val="0"/>
        <w:spacing w:line="360" w:lineRule="auto"/>
        <w:outlineLvl w:val="0"/>
        <w:rPr>
          <w:rFonts w:ascii="华文中宋" w:eastAsia="华文中宋" w:hAnsi="华文中宋"/>
          <w:b/>
          <w:sz w:val="28"/>
          <w:szCs w:val="28"/>
        </w:rPr>
      </w:pPr>
      <w:bookmarkStart w:id="21" w:name="_Toc307499868"/>
      <w:bookmarkStart w:id="22" w:name="_Toc308707194"/>
      <w:bookmarkStart w:id="23" w:name="_Toc308707282"/>
      <w:r w:rsidRPr="000D1294">
        <w:rPr>
          <w:rFonts w:ascii="华文中宋" w:eastAsia="华文中宋" w:hAnsi="华文中宋" w:hint="eastAsia"/>
          <w:b/>
          <w:sz w:val="28"/>
          <w:szCs w:val="28"/>
        </w:rPr>
        <w:t>国内保理</w:t>
      </w:r>
      <w:r w:rsidR="00461344" w:rsidRPr="000D1294">
        <w:rPr>
          <w:rFonts w:ascii="华文中宋" w:eastAsia="华文中宋" w:hAnsi="华文中宋" w:hint="eastAsia"/>
          <w:b/>
          <w:sz w:val="28"/>
          <w:szCs w:val="28"/>
        </w:rPr>
        <w:t>行业现状</w:t>
      </w:r>
      <w:bookmarkEnd w:id="21"/>
      <w:bookmarkEnd w:id="22"/>
      <w:bookmarkEnd w:id="23"/>
    </w:p>
    <w:p w:rsidR="00257B37" w:rsidRPr="00D9347E" w:rsidRDefault="00257B37" w:rsidP="00257B37">
      <w:pPr>
        <w:adjustRightInd w:val="0"/>
        <w:snapToGrid w:val="0"/>
        <w:spacing w:line="360" w:lineRule="auto"/>
        <w:rPr>
          <w:rFonts w:ascii="宋体" w:hAnsi="宋体"/>
          <w:sz w:val="24"/>
        </w:rPr>
      </w:pPr>
    </w:p>
    <w:p w:rsidR="00257B37" w:rsidRDefault="00257B37" w:rsidP="00150212">
      <w:pPr>
        <w:numPr>
          <w:ilvl w:val="0"/>
          <w:numId w:val="6"/>
        </w:numPr>
        <w:autoSpaceDE w:val="0"/>
        <w:autoSpaceDN w:val="0"/>
        <w:adjustRightInd w:val="0"/>
        <w:spacing w:line="360" w:lineRule="auto"/>
        <w:jc w:val="left"/>
        <w:outlineLvl w:val="1"/>
        <w:rPr>
          <w:rFonts w:ascii="宋体" w:hAnsi="宋体"/>
          <w:b/>
          <w:sz w:val="24"/>
        </w:rPr>
      </w:pPr>
      <w:bookmarkStart w:id="24" w:name="_Toc307499869"/>
      <w:bookmarkStart w:id="25" w:name="_Toc308707195"/>
      <w:bookmarkStart w:id="26" w:name="_Toc308707283"/>
      <w:r w:rsidRPr="00257B37">
        <w:rPr>
          <w:rFonts w:ascii="宋体" w:hAnsi="宋体" w:hint="eastAsia"/>
          <w:b/>
          <w:sz w:val="24"/>
        </w:rPr>
        <w:t>国内保理业务的法律性质</w:t>
      </w:r>
      <w:bookmarkEnd w:id="24"/>
      <w:bookmarkEnd w:id="25"/>
      <w:bookmarkEnd w:id="26"/>
    </w:p>
    <w:p w:rsidR="00D42394" w:rsidRDefault="00257B37" w:rsidP="00D42394">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我国法律目前没有关于国内保理业务的具体法律规定，但是国内金融界依据国际保理业务的有关规范并结合我国法律的相关规定，已经在相当大的范围内开展了国内保理业务。</w:t>
      </w:r>
      <w:r w:rsidR="00D42394">
        <w:rPr>
          <w:rFonts w:ascii="宋体" w:hAnsi="宋体" w:hint="eastAsia"/>
          <w:sz w:val="24"/>
        </w:rPr>
        <w:t xml:space="preserve"> </w:t>
      </w:r>
    </w:p>
    <w:p w:rsidR="00D42394" w:rsidRDefault="00257B37" w:rsidP="00D42394">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按国际保理商联合会（International Factoring Association,下称IFA）对保理业务内容的限定，其主要</w:t>
      </w:r>
      <w:smartTag w:uri="urn:schemas-microsoft-com:office:smarttags" w:element="PersonName">
        <w:r w:rsidRPr="00D9347E">
          <w:rPr>
            <w:rFonts w:ascii="宋体" w:hAnsi="宋体" w:hint="eastAsia"/>
            <w:sz w:val="24"/>
          </w:rPr>
          <w:t>包括</w:t>
        </w:r>
      </w:smartTag>
      <w:r w:rsidRPr="00D9347E">
        <w:rPr>
          <w:rFonts w:ascii="宋体" w:hAnsi="宋体" w:hint="eastAsia"/>
          <w:sz w:val="24"/>
        </w:rPr>
        <w:t>四项服务：资金融通、帐务管理、应收帐款收取和坏帐担保。对于有追索权的保理业务，肯定不含坏帐担保。目前需要研究的是银行的服务是否</w:t>
      </w:r>
      <w:smartTag w:uri="urn:schemas-microsoft-com:office:smarttags" w:element="PersonName">
        <w:r w:rsidRPr="00D9347E">
          <w:rPr>
            <w:rFonts w:ascii="宋体" w:hAnsi="宋体" w:hint="eastAsia"/>
            <w:sz w:val="24"/>
          </w:rPr>
          <w:t>包括</w:t>
        </w:r>
      </w:smartTag>
      <w:r w:rsidRPr="00D9347E">
        <w:rPr>
          <w:rFonts w:ascii="宋体" w:hAnsi="宋体" w:hint="eastAsia"/>
          <w:sz w:val="24"/>
        </w:rPr>
        <w:t>帐务管理以及银行能否做到这一点。从实践来看，帐务管理一般与额度项下保理业务叙做有关。单笔业务项下，银行仅仅是对相应应收帐款以权利主体身份进行一定程度上的控制，这点尚不权成应收帐款帐务管理。保理业务中，帐务管理实际上是银行对供应商的一种服务，尤其反映理商债务人的信用额度信息，银行同时以此评价买方的信用。同时，在保理业务期间，由于涉及到应帐款叙做保理的额度循环（其重要作用又在于确定保理商的坏帐担保的</w:t>
      </w:r>
      <w:r w:rsidRPr="00D9347E">
        <w:rPr>
          <w:rFonts w:ascii="宋体" w:hAnsi="宋体" w:hint="eastAsia"/>
          <w:sz w:val="24"/>
        </w:rPr>
        <w:lastRenderedPageBreak/>
        <w:t>范围），银行和企业在应收帐款管理上又处于互动地位。单笔保理业务、银行叙做保理业务初期或者说在有追索权的保理业务中，帐各管理并不是银行对企业的服务，而是银行为保障其所享有的保理权益被动采取的措施（其范围也比真正意义的帐务管理小很</w:t>
      </w:r>
      <w:r w:rsidR="00E1472C">
        <w:rPr>
          <w:rFonts w:ascii="宋体" w:hAnsi="宋体" w:hint="eastAsia"/>
          <w:sz w:val="24"/>
        </w:rPr>
        <w:t>多），从这点来看，其已经完全脱离了保理帐务管理的范畴。因此，我国</w:t>
      </w:r>
      <w:r w:rsidRPr="00D9347E">
        <w:rPr>
          <w:rFonts w:ascii="宋体" w:hAnsi="宋体" w:hint="eastAsia"/>
          <w:sz w:val="24"/>
        </w:rPr>
        <w:t>目前的保理业务范围应该是很明确的，即：资金融通的应收帐款的收取。</w:t>
      </w:r>
    </w:p>
    <w:p w:rsidR="00D42394" w:rsidRDefault="00257B37" w:rsidP="00F131F9">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在IFA的规则中，额度保理最重要的一点是银行必须能对企业的赊销行为进行完善的帐务管理，同时通过应收帐款的核准来控制额度的使用。从目前来看，银行并不具备专业保理能力提供此项服务，IFA关于应收帐款管理方面有部分规则，但实际上银行很难达到。更为麻烦的是，稍有不慎，银行的应收帐款管理可能会被认为是对融资方的一种义务或者银行与基础交易合同有关，如此，对银行来说是非常不利的。建议银行不要过多参与应收帐款的管理，或者至少在法律文件上不要明确这一点。</w:t>
      </w:r>
      <w:r w:rsidR="00D42394">
        <w:rPr>
          <w:rFonts w:ascii="宋体" w:hAnsi="宋体" w:hint="eastAsia"/>
          <w:sz w:val="24"/>
        </w:rPr>
        <w:t xml:space="preserve"> </w:t>
      </w:r>
    </w:p>
    <w:p w:rsidR="00257B37" w:rsidRDefault="00257B37" w:rsidP="00D42394">
      <w:pPr>
        <w:autoSpaceDE w:val="0"/>
        <w:autoSpaceDN w:val="0"/>
        <w:adjustRightInd w:val="0"/>
        <w:spacing w:line="360" w:lineRule="auto"/>
        <w:ind w:firstLineChars="200" w:firstLine="480"/>
        <w:jc w:val="left"/>
        <w:rPr>
          <w:rFonts w:ascii="宋体" w:hAnsi="宋体"/>
          <w:b/>
          <w:sz w:val="24"/>
        </w:rPr>
      </w:pPr>
      <w:r w:rsidRPr="00D9347E">
        <w:rPr>
          <w:rFonts w:ascii="宋体" w:hAnsi="宋体" w:hint="eastAsia"/>
          <w:sz w:val="24"/>
        </w:rPr>
        <w:t>国内保理业务一般</w:t>
      </w:r>
      <w:smartTag w:uri="urn:schemas-microsoft-com:office:smarttags" w:element="PersonName">
        <w:r w:rsidRPr="00D9347E">
          <w:rPr>
            <w:rFonts w:ascii="宋体" w:hAnsi="宋体" w:hint="eastAsia"/>
            <w:sz w:val="24"/>
          </w:rPr>
          <w:t>包括</w:t>
        </w:r>
      </w:smartTag>
      <w:r w:rsidRPr="00D9347E">
        <w:rPr>
          <w:rFonts w:ascii="宋体" w:hAnsi="宋体" w:hint="eastAsia"/>
          <w:sz w:val="24"/>
        </w:rPr>
        <w:t>四项服务：资金融通、帐务管理、应收账款收取和坏帐担保，但保理的中心在于通过债权转让获得资金融通。因此，我们认为国内保理业务的法律性质应当界定为债权转让。</w:t>
      </w:r>
    </w:p>
    <w:p w:rsidR="00257B37" w:rsidRPr="00257B37" w:rsidRDefault="00257B37" w:rsidP="00150212">
      <w:pPr>
        <w:numPr>
          <w:ilvl w:val="0"/>
          <w:numId w:val="6"/>
        </w:numPr>
        <w:autoSpaceDE w:val="0"/>
        <w:autoSpaceDN w:val="0"/>
        <w:adjustRightInd w:val="0"/>
        <w:spacing w:line="360" w:lineRule="auto"/>
        <w:jc w:val="left"/>
        <w:outlineLvl w:val="1"/>
        <w:rPr>
          <w:rFonts w:ascii="DLF-32769-4-564942781+ZETBIZ-36" w:eastAsia="DLF-32769-4-564942781+ZETBIZ-36" w:cs="DLF-32769-4-564942781+ZETBIZ-36"/>
          <w:kern w:val="0"/>
          <w:sz w:val="20"/>
          <w:szCs w:val="20"/>
        </w:rPr>
      </w:pPr>
      <w:r w:rsidRPr="00257B37">
        <w:rPr>
          <w:rFonts w:ascii="宋体" w:hAnsi="宋体" w:hint="eastAsia"/>
          <w:b/>
          <w:sz w:val="24"/>
        </w:rPr>
        <w:t xml:space="preserve"> </w:t>
      </w:r>
      <w:bookmarkStart w:id="27" w:name="_Toc307499870"/>
      <w:bookmarkStart w:id="28" w:name="_Toc308707196"/>
      <w:bookmarkStart w:id="29" w:name="_Toc308707284"/>
      <w:r w:rsidRPr="00D42394">
        <w:rPr>
          <w:rFonts w:ascii="宋体" w:hAnsi="宋体" w:hint="eastAsia"/>
          <w:b/>
          <w:sz w:val="24"/>
        </w:rPr>
        <w:t>国内保理</w:t>
      </w:r>
      <w:bookmarkEnd w:id="27"/>
      <w:r w:rsidR="00F131F9">
        <w:rPr>
          <w:rFonts w:ascii="宋体" w:hAnsi="宋体" w:hint="eastAsia"/>
          <w:b/>
          <w:sz w:val="24"/>
        </w:rPr>
        <w:t>行业的发展趋势</w:t>
      </w:r>
      <w:bookmarkEnd w:id="28"/>
      <w:bookmarkEnd w:id="29"/>
    </w:p>
    <w:p w:rsidR="00D42394" w:rsidRDefault="00257B37" w:rsidP="00257B37">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根据国际保理商联合会（factoring chain international）2002年的统计报告，美国在2001年的国内保理业务金额为1250亿欧元（欧元兑人民币汇率1</w:t>
      </w:r>
      <w:r w:rsidRPr="00D9347E">
        <w:rPr>
          <w:rFonts w:ascii="宋体" w:hAnsi="宋体" w:cs="宋体" w:hint="eastAsia"/>
          <w:sz w:val="24"/>
        </w:rPr>
        <w:t>∶</w:t>
      </w:r>
      <w:r w:rsidRPr="00D9347E">
        <w:rPr>
          <w:rFonts w:ascii="宋体" w:hAnsi="宋体" w:hint="eastAsia"/>
          <w:sz w:val="24"/>
        </w:rPr>
        <w:t>8.64），国际保理业务为400亿欧元，前者几乎为后者的3倍。</w:t>
      </w:r>
      <w:r w:rsidR="00D42394">
        <w:rPr>
          <w:rFonts w:ascii="宋体" w:hAnsi="宋体" w:hint="eastAsia"/>
          <w:sz w:val="24"/>
        </w:rPr>
        <w:t xml:space="preserve"> </w:t>
      </w:r>
    </w:p>
    <w:p w:rsidR="00D42394" w:rsidRDefault="00257B37" w:rsidP="00257B37">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相比之下，虽然中资银行的保理业务还正在起步，但国内保理业务的潜力已展现出来。中国加入FCI组织的成员银行共有四家，分别为中国银行、交通银行、光大银行和中信实业银行。在2001年，中国国内保理业务量为11..7亿欧元，国际保理业务量仅9.1亿欧元。而在1999年，国内业务和国际业务之和也不过3.1亿欧元。</w:t>
      </w:r>
      <w:r w:rsidR="00D42394">
        <w:rPr>
          <w:rFonts w:ascii="宋体" w:hAnsi="宋体" w:hint="eastAsia"/>
          <w:sz w:val="24"/>
        </w:rPr>
        <w:t xml:space="preserve"> </w:t>
      </w:r>
    </w:p>
    <w:p w:rsidR="00D42394" w:rsidRDefault="00257B37" w:rsidP="00257B37">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对于国内保理业务市场发展的前景，汇丰银行、中国银行以及光大银行有关负责人都一致看好。</w:t>
      </w:r>
      <w:r w:rsidR="00D42394">
        <w:rPr>
          <w:rFonts w:ascii="宋体" w:hAnsi="宋体" w:hint="eastAsia"/>
          <w:sz w:val="24"/>
        </w:rPr>
        <w:t xml:space="preserve"> </w:t>
      </w:r>
    </w:p>
    <w:p w:rsidR="00D42394" w:rsidRDefault="00257B37" w:rsidP="00257B37">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截止到2002年11月末，光大银行全行的保理业务出单量为53.93亿元人民币，比2001年同期增长了246.8％。据悉，中国银行2002年国内保理的业务量已经达</w:t>
      </w:r>
      <w:r w:rsidRPr="00D9347E">
        <w:rPr>
          <w:rFonts w:ascii="宋体" w:hAnsi="宋体" w:hint="eastAsia"/>
          <w:sz w:val="24"/>
        </w:rPr>
        <w:lastRenderedPageBreak/>
        <w:t>到60亿元。</w:t>
      </w:r>
      <w:r w:rsidR="00D42394">
        <w:rPr>
          <w:rFonts w:ascii="宋体" w:hAnsi="宋体" w:hint="eastAsia"/>
          <w:sz w:val="24"/>
        </w:rPr>
        <w:t xml:space="preserve"> </w:t>
      </w:r>
    </w:p>
    <w:p w:rsidR="00D42394" w:rsidRDefault="00257B37" w:rsidP="00257B37">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然而，并非所有的中资银行都如中国银行和光大银行这般有所斩获。多数商业银行在国内保理业务上，还处于起步阶段。</w:t>
      </w:r>
      <w:r w:rsidR="00D42394">
        <w:rPr>
          <w:rFonts w:ascii="宋体" w:hAnsi="宋体" w:hint="eastAsia"/>
          <w:sz w:val="24"/>
        </w:rPr>
        <w:t xml:space="preserve"> </w:t>
      </w:r>
    </w:p>
    <w:p w:rsidR="00D42394" w:rsidRDefault="00257B37" w:rsidP="00257B37">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工商银行上海分行的有关负责人表示，由于国内保理业务开办不久，因此目前上海分行开展国内保理业务的规模尚小。2003年，上海分行计划根据该行总行制定的国内保理业务管理办法，制定业务实施细则，加大国内保理业务的宣传。</w:t>
      </w:r>
    </w:p>
    <w:p w:rsidR="00D42394" w:rsidRDefault="00257B37" w:rsidP="00257B37">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而交通银行上海分行的有关负责人表示，经该行总行同意后，一个关于国内保理业务的“操作管理办法”正在市场部进行讨论之中。一旦操作管理办法通过，交通银行的国内保理业务将会全面展开。</w:t>
      </w:r>
      <w:r w:rsidR="00D42394">
        <w:rPr>
          <w:rFonts w:ascii="宋体" w:hAnsi="宋体" w:hint="eastAsia"/>
          <w:sz w:val="24"/>
        </w:rPr>
        <w:t xml:space="preserve"> </w:t>
      </w:r>
    </w:p>
    <w:p w:rsidR="00D42394" w:rsidRDefault="00257B37" w:rsidP="00257B37">
      <w:pPr>
        <w:autoSpaceDE w:val="0"/>
        <w:autoSpaceDN w:val="0"/>
        <w:adjustRightInd w:val="0"/>
        <w:spacing w:line="360" w:lineRule="auto"/>
        <w:ind w:firstLineChars="200" w:firstLine="480"/>
        <w:jc w:val="left"/>
        <w:rPr>
          <w:rFonts w:ascii="宋体" w:hAnsi="宋体"/>
          <w:sz w:val="24"/>
        </w:rPr>
      </w:pPr>
      <w:r w:rsidRPr="00D9347E">
        <w:rPr>
          <w:rFonts w:ascii="宋体" w:hAnsi="宋体" w:hint="eastAsia"/>
          <w:sz w:val="24"/>
        </w:rPr>
        <w:t>同时，由于保理业务是新兴的金融业务，有关监管部门并没有专门的规定。人民银行上海分行的张处长介绍说：“目前人民银行对于国内保理业务，是采用总行对总行的审批制，即由央行审批各商业银行总行是否能从事国内保理业务。各商业银行的分行与人行的分行之间则采用备案制。”</w:t>
      </w:r>
      <w:r w:rsidR="00D42394">
        <w:rPr>
          <w:rFonts w:ascii="宋体" w:hAnsi="宋体" w:hint="eastAsia"/>
          <w:sz w:val="24"/>
        </w:rPr>
        <w:t xml:space="preserve"> </w:t>
      </w:r>
    </w:p>
    <w:p w:rsidR="00D42394" w:rsidRDefault="00257B37" w:rsidP="00D42394">
      <w:pPr>
        <w:autoSpaceDE w:val="0"/>
        <w:autoSpaceDN w:val="0"/>
        <w:adjustRightInd w:val="0"/>
        <w:spacing w:line="360" w:lineRule="auto"/>
        <w:ind w:firstLineChars="200" w:firstLine="480"/>
        <w:jc w:val="left"/>
        <w:rPr>
          <w:rFonts w:ascii="宋体" w:hAnsi="宋体"/>
          <w:sz w:val="24"/>
        </w:rPr>
      </w:pPr>
      <w:r w:rsidRPr="00D42394">
        <w:rPr>
          <w:rFonts w:ascii="宋体" w:hAnsi="宋体" w:hint="eastAsia"/>
          <w:sz w:val="24"/>
        </w:rPr>
        <w:t>目前，我国有</w:t>
      </w:r>
      <w:r w:rsidRPr="00D42394">
        <w:rPr>
          <w:rFonts w:ascii="宋体" w:hAnsi="宋体"/>
          <w:sz w:val="24"/>
        </w:rPr>
        <w:t xml:space="preserve">20 </w:t>
      </w:r>
      <w:r w:rsidRPr="00D42394">
        <w:rPr>
          <w:rFonts w:ascii="宋体" w:hAnsi="宋体" w:hint="eastAsia"/>
          <w:sz w:val="24"/>
        </w:rPr>
        <w:t>多家商业银行开展保理业务，有</w:t>
      </w:r>
      <w:r w:rsidRPr="00D42394">
        <w:rPr>
          <w:rFonts w:ascii="宋体" w:hAnsi="宋体"/>
          <w:sz w:val="24"/>
        </w:rPr>
        <w:t xml:space="preserve">18 </w:t>
      </w:r>
      <w:r w:rsidRPr="00D42394">
        <w:rPr>
          <w:rFonts w:ascii="宋体" w:hAnsi="宋体" w:hint="eastAsia"/>
          <w:sz w:val="24"/>
        </w:rPr>
        <w:t>家商业银行成为国际保理商联合会（</w:t>
      </w:r>
      <w:r w:rsidRPr="00D42394">
        <w:rPr>
          <w:rFonts w:ascii="宋体" w:hAnsi="宋体"/>
          <w:sz w:val="24"/>
        </w:rPr>
        <w:t>FCI</w:t>
      </w:r>
      <w:r w:rsidRPr="00D42394">
        <w:rPr>
          <w:rFonts w:ascii="宋体" w:hAnsi="宋体" w:hint="eastAsia"/>
          <w:sz w:val="24"/>
        </w:rPr>
        <w:t>）会员，非银行独立保理商甚至外商独资保理商也开始出现，有</w:t>
      </w:r>
      <w:r w:rsidRPr="00D42394">
        <w:rPr>
          <w:rFonts w:ascii="宋体" w:hAnsi="宋体"/>
          <w:sz w:val="24"/>
        </w:rPr>
        <w:t xml:space="preserve">1 </w:t>
      </w:r>
      <w:r w:rsidRPr="00D42394">
        <w:rPr>
          <w:rFonts w:ascii="宋体" w:hAnsi="宋体" w:hint="eastAsia"/>
          <w:sz w:val="24"/>
        </w:rPr>
        <w:t>家非银行独立保理商是</w:t>
      </w:r>
      <w:r w:rsidRPr="00D42394">
        <w:rPr>
          <w:rFonts w:ascii="宋体" w:hAnsi="宋体"/>
          <w:sz w:val="24"/>
        </w:rPr>
        <w:t xml:space="preserve">IFG </w:t>
      </w:r>
      <w:r w:rsidRPr="00D42394">
        <w:rPr>
          <w:rFonts w:ascii="宋体" w:hAnsi="宋体" w:hint="eastAsia"/>
          <w:sz w:val="24"/>
        </w:rPr>
        <w:t>的会员。我国保理业务起步较晚，发展较为缓慢，保理业务量与欧美发达国家相比相去甚远，与亚洲邻国或地区如日本、台湾相比也存在很大差距。根据</w:t>
      </w:r>
      <w:r w:rsidRPr="00D42394">
        <w:rPr>
          <w:rFonts w:ascii="宋体" w:hAnsi="宋体"/>
          <w:sz w:val="24"/>
        </w:rPr>
        <w:t xml:space="preserve">FCI </w:t>
      </w:r>
      <w:r w:rsidRPr="00D42394">
        <w:rPr>
          <w:rFonts w:ascii="宋体" w:hAnsi="宋体" w:hint="eastAsia"/>
          <w:sz w:val="24"/>
        </w:rPr>
        <w:t>网站数据，</w:t>
      </w:r>
      <w:r w:rsidRPr="00D42394">
        <w:rPr>
          <w:rFonts w:ascii="宋体" w:hAnsi="宋体"/>
          <w:sz w:val="24"/>
        </w:rPr>
        <w:t xml:space="preserve"> 2008 </w:t>
      </w:r>
      <w:r w:rsidRPr="00D42394">
        <w:rPr>
          <w:rFonts w:ascii="宋体" w:hAnsi="宋体" w:hint="eastAsia"/>
          <w:sz w:val="24"/>
        </w:rPr>
        <w:t>年全球保理业务量为</w:t>
      </w:r>
      <w:r w:rsidRPr="00D42394">
        <w:rPr>
          <w:rFonts w:ascii="宋体" w:hAnsi="宋体"/>
          <w:sz w:val="24"/>
        </w:rPr>
        <w:t>13</w:t>
      </w:r>
      <w:r w:rsidRPr="00D42394">
        <w:rPr>
          <w:rFonts w:ascii="宋体" w:hAnsi="宋体" w:hint="eastAsia"/>
          <w:sz w:val="24"/>
        </w:rPr>
        <w:t>，</w:t>
      </w:r>
      <w:r w:rsidRPr="00D42394">
        <w:rPr>
          <w:rFonts w:ascii="宋体" w:hAnsi="宋体"/>
          <w:sz w:val="24"/>
        </w:rPr>
        <w:t xml:space="preserve">251.11 </w:t>
      </w:r>
      <w:r w:rsidRPr="00D42394">
        <w:rPr>
          <w:rFonts w:ascii="宋体" w:hAnsi="宋体" w:hint="eastAsia"/>
          <w:sz w:val="24"/>
        </w:rPr>
        <w:t>亿欧元，其中国内保理</w:t>
      </w:r>
      <w:r w:rsidRPr="00D42394">
        <w:rPr>
          <w:rFonts w:ascii="宋体" w:hAnsi="宋体"/>
          <w:sz w:val="24"/>
        </w:rPr>
        <w:t>11</w:t>
      </w:r>
      <w:r w:rsidRPr="00D42394">
        <w:rPr>
          <w:rFonts w:ascii="宋体" w:hAnsi="宋体" w:hint="eastAsia"/>
          <w:sz w:val="24"/>
        </w:rPr>
        <w:t>，</w:t>
      </w:r>
      <w:r w:rsidRPr="00D42394">
        <w:rPr>
          <w:rFonts w:ascii="宋体" w:hAnsi="宋体"/>
          <w:sz w:val="24"/>
        </w:rPr>
        <w:t xml:space="preserve">489.43 </w:t>
      </w:r>
      <w:r w:rsidRPr="00D42394">
        <w:rPr>
          <w:rFonts w:ascii="宋体" w:hAnsi="宋体" w:hint="eastAsia"/>
          <w:sz w:val="24"/>
        </w:rPr>
        <w:t>亿欧元，国际保理</w:t>
      </w:r>
      <w:r w:rsidRPr="00D42394">
        <w:rPr>
          <w:rFonts w:ascii="宋体" w:hAnsi="宋体"/>
          <w:sz w:val="24"/>
        </w:rPr>
        <w:t>1</w:t>
      </w:r>
      <w:r w:rsidRPr="00D42394">
        <w:rPr>
          <w:rFonts w:ascii="宋体" w:hAnsi="宋体" w:hint="eastAsia"/>
          <w:sz w:val="24"/>
        </w:rPr>
        <w:t>，</w:t>
      </w:r>
      <w:r w:rsidRPr="00D42394">
        <w:rPr>
          <w:rFonts w:ascii="宋体" w:hAnsi="宋体"/>
          <w:sz w:val="24"/>
        </w:rPr>
        <w:t xml:space="preserve">761.68 </w:t>
      </w:r>
      <w:r w:rsidRPr="00D42394">
        <w:rPr>
          <w:rFonts w:ascii="宋体" w:hAnsi="宋体" w:hint="eastAsia"/>
          <w:sz w:val="24"/>
        </w:rPr>
        <w:t>亿欧元，我国同年保理业务量为</w:t>
      </w:r>
      <w:r w:rsidRPr="00D42394">
        <w:rPr>
          <w:rFonts w:ascii="宋体" w:hAnsi="宋体"/>
          <w:sz w:val="24"/>
        </w:rPr>
        <w:t xml:space="preserve">550 </w:t>
      </w:r>
      <w:r w:rsidRPr="00D42394">
        <w:rPr>
          <w:rFonts w:ascii="宋体" w:hAnsi="宋体" w:hint="eastAsia"/>
          <w:sz w:val="24"/>
        </w:rPr>
        <w:t>亿欧元，其中国内保理</w:t>
      </w:r>
      <w:r w:rsidRPr="00D42394">
        <w:rPr>
          <w:rFonts w:ascii="宋体" w:hAnsi="宋体"/>
          <w:sz w:val="24"/>
        </w:rPr>
        <w:t xml:space="preserve">300 </w:t>
      </w:r>
      <w:r w:rsidRPr="00D42394">
        <w:rPr>
          <w:rFonts w:ascii="宋体" w:hAnsi="宋体" w:hint="eastAsia"/>
          <w:sz w:val="24"/>
        </w:rPr>
        <w:t>亿欧元，国际保理</w:t>
      </w:r>
      <w:r w:rsidRPr="00D42394">
        <w:rPr>
          <w:rFonts w:ascii="宋体" w:hAnsi="宋体"/>
          <w:sz w:val="24"/>
        </w:rPr>
        <w:t xml:space="preserve">250 </w:t>
      </w:r>
      <w:r w:rsidRPr="00D42394">
        <w:rPr>
          <w:rFonts w:ascii="宋体" w:hAnsi="宋体" w:hint="eastAsia"/>
          <w:sz w:val="24"/>
        </w:rPr>
        <w:t>亿欧元，分别占全球相应保理业务量的</w:t>
      </w:r>
      <w:r w:rsidRPr="00D42394">
        <w:rPr>
          <w:rFonts w:ascii="宋体" w:hAnsi="宋体"/>
          <w:sz w:val="24"/>
        </w:rPr>
        <w:t>4.15%</w:t>
      </w:r>
      <w:r w:rsidRPr="00D42394">
        <w:rPr>
          <w:rFonts w:ascii="宋体" w:hAnsi="宋体" w:hint="eastAsia"/>
          <w:sz w:val="24"/>
        </w:rPr>
        <w:t>、</w:t>
      </w:r>
      <w:r w:rsidRPr="00D42394">
        <w:rPr>
          <w:rFonts w:ascii="宋体" w:hAnsi="宋体"/>
          <w:sz w:val="24"/>
        </w:rPr>
        <w:t>2.61%</w:t>
      </w:r>
      <w:r w:rsidRPr="00D42394">
        <w:rPr>
          <w:rFonts w:ascii="宋体" w:hAnsi="宋体" w:hint="eastAsia"/>
          <w:sz w:val="24"/>
        </w:rPr>
        <w:t>和</w:t>
      </w:r>
      <w:r w:rsidRPr="00D42394">
        <w:rPr>
          <w:rFonts w:ascii="宋体" w:hAnsi="宋体"/>
          <w:sz w:val="24"/>
        </w:rPr>
        <w:t>14.19%</w:t>
      </w:r>
      <w:r w:rsidRPr="00D42394">
        <w:rPr>
          <w:rFonts w:ascii="宋体" w:hAnsi="宋体" w:hint="eastAsia"/>
          <w:sz w:val="24"/>
        </w:rPr>
        <w:t>。按照保理业务总量与各国</w:t>
      </w:r>
      <w:r w:rsidRPr="00D42394">
        <w:rPr>
          <w:rFonts w:ascii="宋体" w:hAnsi="宋体"/>
          <w:sz w:val="24"/>
        </w:rPr>
        <w:t xml:space="preserve">GDP </w:t>
      </w:r>
      <w:r w:rsidRPr="00D42394">
        <w:rPr>
          <w:rFonts w:ascii="宋体" w:hAnsi="宋体" w:hint="eastAsia"/>
          <w:sz w:val="24"/>
        </w:rPr>
        <w:t>比值估算，西方发达国家超过</w:t>
      </w:r>
      <w:r w:rsidRPr="00D42394">
        <w:rPr>
          <w:rFonts w:ascii="宋体" w:hAnsi="宋体"/>
          <w:sz w:val="24"/>
        </w:rPr>
        <w:t>10%</w:t>
      </w:r>
      <w:r w:rsidRPr="00D42394">
        <w:rPr>
          <w:rFonts w:ascii="宋体" w:hAnsi="宋体" w:hint="eastAsia"/>
          <w:sz w:val="24"/>
        </w:rPr>
        <w:t>，新加坡和香港、台湾地区在</w:t>
      </w:r>
      <w:r w:rsidRPr="00D42394">
        <w:rPr>
          <w:rFonts w:ascii="宋体" w:hAnsi="宋体"/>
          <w:sz w:val="24"/>
        </w:rPr>
        <w:t>2%</w:t>
      </w:r>
      <w:r w:rsidRPr="00D42394">
        <w:rPr>
          <w:rFonts w:ascii="宋体" w:hAnsi="宋体" w:hint="eastAsia"/>
          <w:sz w:val="24"/>
        </w:rPr>
        <w:t>至</w:t>
      </w:r>
      <w:r w:rsidRPr="00D42394">
        <w:rPr>
          <w:rFonts w:ascii="宋体" w:hAnsi="宋体"/>
          <w:sz w:val="24"/>
        </w:rPr>
        <w:t>3%</w:t>
      </w:r>
      <w:r w:rsidRPr="00D42394">
        <w:rPr>
          <w:rFonts w:ascii="宋体" w:hAnsi="宋体" w:hint="eastAsia"/>
          <w:sz w:val="24"/>
        </w:rPr>
        <w:t>之间，</w:t>
      </w:r>
      <w:r w:rsidRPr="00D42394">
        <w:rPr>
          <w:rFonts w:ascii="宋体" w:hAnsi="宋体"/>
          <w:sz w:val="24"/>
        </w:rPr>
        <w:t xml:space="preserve">2007 </w:t>
      </w:r>
      <w:r w:rsidRPr="00D42394">
        <w:rPr>
          <w:rFonts w:ascii="宋体" w:hAnsi="宋体" w:hint="eastAsia"/>
          <w:sz w:val="24"/>
        </w:rPr>
        <w:t>年、</w:t>
      </w:r>
      <w:r w:rsidRPr="00D42394">
        <w:rPr>
          <w:rFonts w:ascii="宋体" w:hAnsi="宋体"/>
          <w:sz w:val="24"/>
        </w:rPr>
        <w:t xml:space="preserve">2008 </w:t>
      </w:r>
      <w:r w:rsidRPr="00D42394">
        <w:rPr>
          <w:rFonts w:ascii="宋体" w:hAnsi="宋体" w:hint="eastAsia"/>
          <w:sz w:val="24"/>
        </w:rPr>
        <w:t>年我国分别仅有</w:t>
      </w:r>
      <w:r w:rsidRPr="00D42394">
        <w:rPr>
          <w:rFonts w:ascii="宋体" w:hAnsi="宋体"/>
          <w:sz w:val="24"/>
        </w:rPr>
        <w:t>1.6%</w:t>
      </w:r>
      <w:r w:rsidRPr="00D42394">
        <w:rPr>
          <w:rFonts w:ascii="宋体" w:hAnsi="宋体" w:hint="eastAsia"/>
          <w:sz w:val="24"/>
        </w:rPr>
        <w:t>、</w:t>
      </w:r>
      <w:r w:rsidRPr="00D42394">
        <w:rPr>
          <w:rFonts w:ascii="宋体" w:hAnsi="宋体"/>
          <w:sz w:val="24"/>
        </w:rPr>
        <w:t>1.84%</w:t>
      </w:r>
      <w:r w:rsidRPr="00D42394">
        <w:rPr>
          <w:rFonts w:ascii="宋体" w:hAnsi="宋体" w:hint="eastAsia"/>
          <w:sz w:val="24"/>
        </w:rPr>
        <w:t>，还没达到全球的平均比重（</w:t>
      </w:r>
      <w:r w:rsidRPr="00D42394">
        <w:rPr>
          <w:rFonts w:ascii="宋体" w:hAnsi="宋体"/>
          <w:sz w:val="24"/>
        </w:rPr>
        <w:t>2.38%</w:t>
      </w:r>
      <w:r w:rsidRPr="00D42394">
        <w:rPr>
          <w:rFonts w:ascii="宋体" w:hAnsi="宋体" w:hint="eastAsia"/>
          <w:sz w:val="24"/>
        </w:rPr>
        <w:t>），可见我国保理业务的发展与贸易大国的地位极不相称，这将制约我国进出口贸易的发展。</w:t>
      </w:r>
    </w:p>
    <w:p w:rsidR="00257B37" w:rsidRPr="00D42394" w:rsidRDefault="00257B37" w:rsidP="00D42394">
      <w:pPr>
        <w:autoSpaceDE w:val="0"/>
        <w:autoSpaceDN w:val="0"/>
        <w:adjustRightInd w:val="0"/>
        <w:spacing w:line="360" w:lineRule="auto"/>
        <w:ind w:firstLineChars="200" w:firstLine="480"/>
        <w:jc w:val="left"/>
        <w:rPr>
          <w:rFonts w:ascii="宋体" w:hAnsi="宋体"/>
          <w:sz w:val="24"/>
        </w:rPr>
      </w:pPr>
      <w:r w:rsidRPr="00D42394">
        <w:rPr>
          <w:rFonts w:ascii="宋体" w:hAnsi="宋体" w:hint="eastAsia"/>
          <w:sz w:val="24"/>
        </w:rPr>
        <w:t>然而我国保理业务近年增长速度非常迅猛。产品从投入市场到最终退出市场要经历介绍期、成长期、成熟期、衰退期四个阶段的生命周期。我国保理业务自引入市场以来，有其自身发展的特点与轨迹，而正是这些特点决定了其自身所处的发展阶段。目前，经过银行前期的营销，我国越来越多的企业了解了保理业务</w:t>
      </w:r>
      <w:r w:rsidRPr="00D42394">
        <w:rPr>
          <w:rFonts w:ascii="宋体" w:hAnsi="宋体" w:hint="eastAsia"/>
          <w:sz w:val="24"/>
        </w:rPr>
        <w:lastRenderedPageBreak/>
        <w:t>的功能与作用、办理程序，接受保理的企业开始迅速增加，业务量迅猛增长，保理商也开始有所盈利，竞争对手逐渐增多。综合我国保理业务发展的各个方</w:t>
      </w:r>
    </w:p>
    <w:p w:rsidR="00257B37" w:rsidRPr="00D42394" w:rsidRDefault="00257B37" w:rsidP="00257B37">
      <w:pPr>
        <w:adjustRightInd w:val="0"/>
        <w:snapToGrid w:val="0"/>
        <w:spacing w:line="360" w:lineRule="auto"/>
        <w:rPr>
          <w:rFonts w:ascii="宋体" w:hAnsi="宋体"/>
          <w:sz w:val="24"/>
        </w:rPr>
      </w:pPr>
      <w:r w:rsidRPr="00D42394">
        <w:rPr>
          <w:rFonts w:ascii="宋体" w:hAnsi="宋体" w:hint="eastAsia"/>
          <w:sz w:val="24"/>
        </w:rPr>
        <w:t>面，可以说，目前我国保理业务已经进入了成长期。</w:t>
      </w:r>
    </w:p>
    <w:p w:rsidR="00257B37" w:rsidRPr="00257B37" w:rsidRDefault="00257B37" w:rsidP="00257B37">
      <w:pPr>
        <w:adjustRightInd w:val="0"/>
        <w:snapToGrid w:val="0"/>
        <w:spacing w:line="360" w:lineRule="auto"/>
        <w:rPr>
          <w:rFonts w:ascii="华文中宋" w:eastAsia="华文中宋" w:hAnsi="华文中宋"/>
          <w:b/>
          <w:sz w:val="28"/>
          <w:szCs w:val="28"/>
        </w:rPr>
      </w:pPr>
    </w:p>
    <w:p w:rsidR="00257B37" w:rsidRDefault="002A1080" w:rsidP="00150212">
      <w:pPr>
        <w:numPr>
          <w:ilvl w:val="0"/>
          <w:numId w:val="2"/>
        </w:numPr>
        <w:adjustRightInd w:val="0"/>
        <w:snapToGrid w:val="0"/>
        <w:spacing w:line="360" w:lineRule="auto"/>
        <w:outlineLvl w:val="0"/>
        <w:rPr>
          <w:rFonts w:ascii="华文中宋" w:eastAsia="华文中宋" w:hAnsi="华文中宋"/>
          <w:b/>
          <w:sz w:val="28"/>
          <w:szCs w:val="28"/>
        </w:rPr>
      </w:pPr>
      <w:bookmarkStart w:id="30" w:name="_Toc307499871"/>
      <w:bookmarkStart w:id="31" w:name="_Toc308707197"/>
      <w:bookmarkStart w:id="32" w:name="_Toc308707285"/>
      <w:r>
        <w:rPr>
          <w:rFonts w:ascii="华文中宋" w:eastAsia="华文中宋" w:hAnsi="华文中宋" w:hint="eastAsia"/>
          <w:b/>
          <w:sz w:val="28"/>
          <w:szCs w:val="28"/>
        </w:rPr>
        <w:t>国内保理业务面临的</w:t>
      </w:r>
      <w:r w:rsidR="0085047B" w:rsidRPr="00257B37">
        <w:rPr>
          <w:rFonts w:ascii="华文中宋" w:eastAsia="华文中宋" w:hAnsi="华文中宋" w:hint="eastAsia"/>
          <w:b/>
          <w:sz w:val="28"/>
          <w:szCs w:val="28"/>
        </w:rPr>
        <w:t>法律风险</w:t>
      </w:r>
      <w:bookmarkEnd w:id="30"/>
      <w:bookmarkEnd w:id="31"/>
      <w:bookmarkEnd w:id="32"/>
    </w:p>
    <w:p w:rsidR="00D42394" w:rsidRPr="00D42394" w:rsidRDefault="00257B37" w:rsidP="00150212">
      <w:pPr>
        <w:numPr>
          <w:ilvl w:val="0"/>
          <w:numId w:val="8"/>
        </w:numPr>
        <w:adjustRightInd w:val="0"/>
        <w:snapToGrid w:val="0"/>
        <w:spacing w:line="360" w:lineRule="auto"/>
        <w:outlineLvl w:val="1"/>
        <w:rPr>
          <w:rFonts w:ascii="宋体" w:hAnsi="宋体"/>
          <w:b/>
          <w:sz w:val="24"/>
        </w:rPr>
      </w:pPr>
      <w:bookmarkStart w:id="33" w:name="_Toc307499872"/>
      <w:bookmarkStart w:id="34" w:name="_Toc308707198"/>
      <w:bookmarkStart w:id="35" w:name="_Toc308707286"/>
      <w:r w:rsidRPr="00D42394">
        <w:rPr>
          <w:rFonts w:ascii="宋体" w:hAnsi="宋体" w:hint="eastAsia"/>
          <w:b/>
          <w:sz w:val="24"/>
        </w:rPr>
        <w:t>合同风险</w:t>
      </w:r>
      <w:bookmarkEnd w:id="33"/>
      <w:bookmarkEnd w:id="34"/>
      <w:bookmarkEnd w:id="35"/>
    </w:p>
    <w:p w:rsidR="00D42394" w:rsidRDefault="00D42394" w:rsidP="00D42394">
      <w:pPr>
        <w:adjustRightInd w:val="0"/>
        <w:snapToGrid w:val="0"/>
        <w:spacing w:line="360" w:lineRule="auto"/>
        <w:ind w:firstLineChars="200" w:firstLine="480"/>
        <w:rPr>
          <w:rFonts w:ascii="宋体" w:hAnsi="宋体"/>
          <w:sz w:val="24"/>
        </w:rPr>
      </w:pPr>
      <w:r w:rsidRPr="00D9347E">
        <w:rPr>
          <w:rFonts w:ascii="宋体" w:hAnsi="宋体" w:hint="eastAsia"/>
          <w:sz w:val="24"/>
        </w:rPr>
        <w:t>或称交易风险（本文对于合同概念的运用是比较宽泛的包含交易），亦即因交易合同的不成立（标的交付不能、主体不适格、缔约存在过失等）、合同成立但无效（未具备生效要件，如合同所附条件未成立、不可抗力等）以及合同的约定与保理业务本身匹配性不够而带来的风险。为避免该合同上的风险，业务中的一个基本前提就是审查合同本身是否适合保理业务。</w:t>
      </w:r>
    </w:p>
    <w:p w:rsidR="00D42394" w:rsidRPr="00D42394" w:rsidRDefault="00D42394" w:rsidP="00150212">
      <w:pPr>
        <w:numPr>
          <w:ilvl w:val="0"/>
          <w:numId w:val="8"/>
        </w:numPr>
        <w:adjustRightInd w:val="0"/>
        <w:snapToGrid w:val="0"/>
        <w:spacing w:line="360" w:lineRule="auto"/>
        <w:outlineLvl w:val="1"/>
        <w:rPr>
          <w:rFonts w:ascii="华文中宋" w:eastAsia="华文中宋" w:hAnsi="华文中宋"/>
          <w:b/>
          <w:sz w:val="28"/>
          <w:szCs w:val="28"/>
        </w:rPr>
      </w:pPr>
      <w:bookmarkStart w:id="36" w:name="_Toc307499873"/>
      <w:bookmarkStart w:id="37" w:name="_Toc308707199"/>
      <w:bookmarkStart w:id="38" w:name="_Toc308707287"/>
      <w:r w:rsidRPr="00D42394">
        <w:rPr>
          <w:rFonts w:ascii="宋体" w:hAnsi="宋体" w:hint="eastAsia"/>
          <w:b/>
          <w:sz w:val="24"/>
        </w:rPr>
        <w:t>欺诈风险</w:t>
      </w:r>
      <w:bookmarkEnd w:id="36"/>
      <w:bookmarkEnd w:id="37"/>
      <w:bookmarkEnd w:id="38"/>
    </w:p>
    <w:p w:rsidR="00D42394" w:rsidRPr="00D42394" w:rsidRDefault="00D42394" w:rsidP="00D42394">
      <w:pPr>
        <w:adjustRightInd w:val="0"/>
        <w:snapToGrid w:val="0"/>
        <w:spacing w:line="360" w:lineRule="auto"/>
        <w:ind w:firstLineChars="200" w:firstLine="480"/>
        <w:rPr>
          <w:rFonts w:ascii="宋体" w:hAnsi="宋体"/>
          <w:b/>
          <w:sz w:val="24"/>
        </w:rPr>
      </w:pPr>
      <w:r w:rsidRPr="00D9347E">
        <w:rPr>
          <w:rFonts w:ascii="宋体" w:hAnsi="宋体" w:hint="eastAsia"/>
          <w:sz w:val="24"/>
        </w:rPr>
        <w:t>需要强调一点的是，保理业务本身是程序非常繁杂和高风险的业务。从我个人来看，银行除非具备专门保理公司对保理业务的把握能力，否则对银行的欺诈（而且这种欺诈甚至是合理合法的）总是非常容易。例如利用应收帐款转让引起的权利冲突与优先权欺诈至少就</w:t>
      </w:r>
      <w:smartTag w:uri="urn:schemas-microsoft-com:office:smarttags" w:element="PersonName">
        <w:r w:rsidRPr="00D9347E">
          <w:rPr>
            <w:rFonts w:ascii="宋体" w:hAnsi="宋体" w:hint="eastAsia"/>
            <w:sz w:val="24"/>
          </w:rPr>
          <w:t>包括</w:t>
        </w:r>
      </w:smartTag>
      <w:r w:rsidRPr="00D9347E">
        <w:rPr>
          <w:rFonts w:ascii="宋体" w:hAnsi="宋体" w:hint="eastAsia"/>
          <w:sz w:val="24"/>
        </w:rPr>
        <w:t>与其他受让人的权利冲突、与抵押/质押权人的权利冲突、与供应商的前手卖方的权利冲突、与其他相关权利人的权利冲突（如运输人、保管人所享有的留置权）等。这些冲突很难在事前调查清楚，事后发生时银行的风险又是绝对的。这些欺诈可以通过对交易合同或与标的权利的一些因素审查控制，但不能完全避免。</w:t>
      </w:r>
    </w:p>
    <w:p w:rsidR="00D42394" w:rsidRPr="00150212" w:rsidRDefault="00D42394" w:rsidP="00150212">
      <w:pPr>
        <w:numPr>
          <w:ilvl w:val="0"/>
          <w:numId w:val="8"/>
        </w:numPr>
        <w:adjustRightInd w:val="0"/>
        <w:snapToGrid w:val="0"/>
        <w:spacing w:line="360" w:lineRule="auto"/>
        <w:outlineLvl w:val="1"/>
        <w:rPr>
          <w:rFonts w:ascii="宋体" w:hAnsi="宋体"/>
          <w:b/>
          <w:sz w:val="24"/>
        </w:rPr>
      </w:pPr>
      <w:bookmarkStart w:id="39" w:name="_Toc307499874"/>
      <w:bookmarkStart w:id="40" w:name="_Toc308707200"/>
      <w:bookmarkStart w:id="41" w:name="_Toc308707288"/>
      <w:r w:rsidRPr="00D42394">
        <w:rPr>
          <w:rFonts w:ascii="宋体" w:hAnsi="宋体" w:hint="eastAsia"/>
          <w:b/>
          <w:sz w:val="24"/>
        </w:rPr>
        <w:t>履约风险</w:t>
      </w:r>
      <w:bookmarkEnd w:id="39"/>
      <w:bookmarkEnd w:id="40"/>
      <w:bookmarkEnd w:id="41"/>
    </w:p>
    <w:p w:rsidR="00D42394" w:rsidRDefault="00257B37" w:rsidP="00D42394">
      <w:pPr>
        <w:adjustRightInd w:val="0"/>
        <w:snapToGrid w:val="0"/>
        <w:spacing w:line="360" w:lineRule="auto"/>
        <w:ind w:firstLineChars="200" w:firstLine="480"/>
        <w:rPr>
          <w:rFonts w:ascii="宋体" w:hAnsi="宋体"/>
          <w:sz w:val="24"/>
        </w:rPr>
      </w:pPr>
      <w:r w:rsidRPr="00D9347E">
        <w:rPr>
          <w:rFonts w:ascii="宋体" w:hAnsi="宋体" w:hint="eastAsia"/>
          <w:sz w:val="24"/>
        </w:rPr>
        <w:t>卖方未按照合同的约定履行义务，导致买方无义务付款。如卖方履行标的不合约、交货时间、方式等等不合约，前述合同上的风险可以通过合同审查在一定程度上控制（但并非能完全控制），但该种风险导致应收帐款主观不成立（前两种风险导致应收帐款客观、自始不成立），并因此发生买方合理拒付。仅从法律上看，这构成卖方转让的应收帐款权利瑕疵，卖方自得按照保理合同的约定承担瑕疵担保责任。问题在于，银行如何避免风险的发生以及风险发生时可以采取哪些补救措施。从履约风险的防范来看，银行的交易过程参与及控制是很有必要的。从融资环节上看，一般应该选择在货物已经发出并取得相应收货凭证之后再融资，</w:t>
      </w:r>
      <w:r w:rsidRPr="00D9347E">
        <w:rPr>
          <w:rFonts w:ascii="宋体" w:hAnsi="宋体" w:hint="eastAsia"/>
          <w:sz w:val="24"/>
        </w:rPr>
        <w:lastRenderedPageBreak/>
        <w:t>同时在放款之前还需要调查卖方的履约时间、方式等是否严格按照合同约定办理。比较麻烦的是卖方交付的货物质量不合格而导致买方对卖方的抗辩，并进而影响到银行将来债权的主张，从控制角度讲，只能回到上面提到的标的质量标准上进行选择控制。</w:t>
      </w:r>
      <w:r w:rsidR="00D42394">
        <w:rPr>
          <w:rFonts w:ascii="宋体" w:hAnsi="宋体" w:hint="eastAsia"/>
          <w:sz w:val="24"/>
        </w:rPr>
        <w:t xml:space="preserve"> </w:t>
      </w:r>
    </w:p>
    <w:p w:rsidR="00D42394" w:rsidRDefault="00257B37" w:rsidP="00D42394">
      <w:pPr>
        <w:adjustRightInd w:val="0"/>
        <w:snapToGrid w:val="0"/>
        <w:spacing w:line="360" w:lineRule="auto"/>
        <w:ind w:firstLineChars="200" w:firstLine="480"/>
        <w:rPr>
          <w:rFonts w:ascii="宋体" w:hAnsi="宋体"/>
          <w:sz w:val="24"/>
        </w:rPr>
      </w:pPr>
      <w:r w:rsidRPr="00D9347E">
        <w:rPr>
          <w:rFonts w:ascii="宋体" w:hAnsi="宋体" w:hint="eastAsia"/>
          <w:sz w:val="24"/>
        </w:rPr>
        <w:t>在卖方正常履约的情况下，买方未按照合同约定付款。如果仅仅是在合理时间内拖欠则问题不大，但在买方发生信用风险的情况下，银行在债权上的保护力就减弱了。所以保理业务对买方的信用审查当然也是很重要的，因为买方和卖方实际上在银行主张权利时居于同样地位。</w:t>
      </w:r>
      <w:r w:rsidR="00D42394">
        <w:rPr>
          <w:rFonts w:ascii="宋体" w:hAnsi="宋体" w:hint="eastAsia"/>
          <w:sz w:val="24"/>
        </w:rPr>
        <w:t xml:space="preserve"> </w:t>
      </w:r>
    </w:p>
    <w:p w:rsidR="00257B37" w:rsidRPr="00257B37" w:rsidRDefault="00257B37" w:rsidP="00D42394">
      <w:pPr>
        <w:adjustRightInd w:val="0"/>
        <w:snapToGrid w:val="0"/>
        <w:spacing w:line="360" w:lineRule="auto"/>
        <w:ind w:firstLineChars="200" w:firstLine="480"/>
        <w:rPr>
          <w:rFonts w:ascii="华文中宋" w:eastAsia="华文中宋" w:hAnsi="华文中宋"/>
          <w:b/>
          <w:sz w:val="28"/>
          <w:szCs w:val="28"/>
        </w:rPr>
      </w:pPr>
      <w:r w:rsidRPr="00D9347E">
        <w:rPr>
          <w:rFonts w:ascii="宋体" w:hAnsi="宋体" w:hint="eastAsia"/>
          <w:sz w:val="24"/>
        </w:rPr>
        <w:t xml:space="preserve">另外，在无追索权保理业务中，银行对供应商承担信用风险（但对卖方不承担交易风险），因此买方的信用评价处于绝对地位。但在有追索权的保理业务中，从融资效果上理解似乎和担保贷款更接近。从追索卖方前的一段时间来看，银行的债务人似乎只有一个。但从法律安排上而言，银行可以不居于任何理由而要求供应商承担回购责任。这里的回购责任实际上应该界定为保证责任项下责任方式之一更合理（文后有述），亦即回购或者追索的实质是要求供应商对应收帐款债务人承担付款的连带责任保证，与一般的保证不同的只是在权利行使期间上有细微差别。一旦银行向供应商主张权利，在此同时，买方的对银行的债务人身份是不变的，供应商作为担保人的身份也明确下来了。因此，最终的结果是银行起诉的主体为买卖双方。因此，在有追索权的保理业务中，买卖双方应统一作信用分析，对该业务的审查原则也应考虑到这一点。 </w:t>
      </w:r>
    </w:p>
    <w:p w:rsidR="00257B37" w:rsidRPr="00257B37" w:rsidRDefault="00257B37" w:rsidP="00257B37">
      <w:pPr>
        <w:adjustRightInd w:val="0"/>
        <w:snapToGrid w:val="0"/>
        <w:spacing w:line="360" w:lineRule="auto"/>
        <w:rPr>
          <w:rFonts w:ascii="华文中宋" w:eastAsia="华文中宋" w:hAnsi="华文中宋"/>
          <w:b/>
          <w:sz w:val="28"/>
          <w:szCs w:val="28"/>
        </w:rPr>
      </w:pPr>
    </w:p>
    <w:p w:rsidR="00257B37" w:rsidRDefault="00B2084A" w:rsidP="00150212">
      <w:pPr>
        <w:numPr>
          <w:ilvl w:val="0"/>
          <w:numId w:val="2"/>
        </w:numPr>
        <w:adjustRightInd w:val="0"/>
        <w:snapToGrid w:val="0"/>
        <w:spacing w:line="360" w:lineRule="auto"/>
        <w:outlineLvl w:val="0"/>
        <w:rPr>
          <w:rFonts w:ascii="华文中宋" w:eastAsia="华文中宋" w:hAnsi="华文中宋"/>
          <w:b/>
          <w:sz w:val="28"/>
          <w:szCs w:val="28"/>
        </w:rPr>
      </w:pPr>
      <w:bookmarkStart w:id="42" w:name="_Toc307499875"/>
      <w:bookmarkStart w:id="43" w:name="_Toc308707201"/>
      <w:bookmarkStart w:id="44" w:name="_Toc308707289"/>
      <w:r>
        <w:rPr>
          <w:rFonts w:ascii="华文中宋" w:eastAsia="华文中宋" w:hAnsi="华文中宋" w:hint="eastAsia"/>
          <w:b/>
          <w:sz w:val="28"/>
          <w:szCs w:val="28"/>
        </w:rPr>
        <w:t>国际</w:t>
      </w:r>
      <w:r w:rsidR="00257B37" w:rsidRPr="00257B37">
        <w:rPr>
          <w:rFonts w:ascii="华文中宋" w:eastAsia="华文中宋" w:hAnsi="华文中宋" w:hint="eastAsia"/>
          <w:b/>
          <w:sz w:val="28"/>
          <w:szCs w:val="28"/>
        </w:rPr>
        <w:t>保理行业</w:t>
      </w:r>
      <w:r>
        <w:rPr>
          <w:rFonts w:ascii="华文中宋" w:eastAsia="华文中宋" w:hAnsi="华文中宋" w:hint="eastAsia"/>
          <w:b/>
          <w:sz w:val="28"/>
          <w:szCs w:val="28"/>
        </w:rPr>
        <w:t>现状分析</w:t>
      </w:r>
      <w:bookmarkEnd w:id="42"/>
      <w:bookmarkEnd w:id="43"/>
      <w:bookmarkEnd w:id="44"/>
    </w:p>
    <w:p w:rsidR="00150212" w:rsidRPr="00B2084A" w:rsidRDefault="00150212" w:rsidP="00150212">
      <w:pPr>
        <w:adjustRightInd w:val="0"/>
        <w:snapToGrid w:val="0"/>
        <w:spacing w:line="360" w:lineRule="auto"/>
      </w:pPr>
    </w:p>
    <w:p w:rsidR="00150212" w:rsidRPr="00D42394" w:rsidRDefault="00150212" w:rsidP="00150212">
      <w:pPr>
        <w:numPr>
          <w:ilvl w:val="0"/>
          <w:numId w:val="7"/>
        </w:numPr>
        <w:adjustRightInd w:val="0"/>
        <w:snapToGrid w:val="0"/>
        <w:spacing w:line="360" w:lineRule="auto"/>
        <w:outlineLvl w:val="1"/>
        <w:rPr>
          <w:rFonts w:ascii="宋体" w:hAnsi="宋体"/>
          <w:b/>
          <w:sz w:val="24"/>
        </w:rPr>
      </w:pPr>
      <w:bookmarkStart w:id="45" w:name="_Toc307499876"/>
      <w:bookmarkStart w:id="46" w:name="_Toc308707202"/>
      <w:bookmarkStart w:id="47" w:name="_Toc308707290"/>
      <w:r w:rsidRPr="00D42394">
        <w:rPr>
          <w:rFonts w:hint="eastAsia"/>
          <w:b/>
          <w:sz w:val="24"/>
        </w:rPr>
        <w:t>国际保理行业发展潜力巨大</w:t>
      </w:r>
      <w:bookmarkEnd w:id="45"/>
      <w:bookmarkEnd w:id="46"/>
      <w:bookmarkEnd w:id="47"/>
    </w:p>
    <w:p w:rsidR="00150212" w:rsidRPr="00D9347E" w:rsidRDefault="00150212" w:rsidP="00150212">
      <w:pPr>
        <w:adjustRightInd w:val="0"/>
        <w:snapToGrid w:val="0"/>
        <w:spacing w:line="360" w:lineRule="auto"/>
        <w:ind w:firstLineChars="200" w:firstLine="480"/>
        <w:rPr>
          <w:rFonts w:ascii="宋体" w:hAnsi="宋体"/>
          <w:sz w:val="24"/>
        </w:rPr>
      </w:pPr>
      <w:r w:rsidRPr="00D9347E">
        <w:rPr>
          <w:rFonts w:ascii="宋体" w:hAnsi="宋体" w:hint="eastAsia"/>
          <w:sz w:val="24"/>
        </w:rPr>
        <w:t>当前，国际贸易竞争日趋激烈，世界买方市场普遍形成，如何以新的贸易方式扩大产品出口，己成为各国外向型企业关注的焦点。据有关部门统计，当前国际贸易中80%以上的结算已不是现金结算，而是采用信用结算方式。作为生产企业如果没有专业的资信调查和帐务管理人员，就很难详细调查买方的信用情况，在这种情况下，商业银行承办保理业务，既可以充当信用调查人，为企业解除后顾之忧，又可以为银行拓展中间业务提供新的发展空间。可以说，随着经济全球</w:t>
      </w:r>
      <w:r w:rsidRPr="00D9347E">
        <w:rPr>
          <w:rFonts w:ascii="宋体" w:hAnsi="宋体" w:hint="eastAsia"/>
          <w:sz w:val="24"/>
        </w:rPr>
        <w:lastRenderedPageBreak/>
        <w:t>化时代的到来，国际保理业务在商业银行中间业务的比重会逐渐增加，并且在不远的将来，会成为部分商业银行的主营业务。中国是近20年来世界上经济增长速度最快的国家，她不仅拥有容量巨大的一般商品市场，还拥有尚待开发的广阔服务市场，这其中就</w:t>
      </w:r>
      <w:smartTag w:uri="urn:schemas-microsoft-com:office:smarttags" w:element="PersonName">
        <w:r w:rsidRPr="00D9347E">
          <w:rPr>
            <w:rFonts w:ascii="宋体" w:hAnsi="宋体" w:hint="eastAsia"/>
            <w:sz w:val="24"/>
          </w:rPr>
          <w:t>包括</w:t>
        </w:r>
      </w:smartTag>
      <w:r w:rsidRPr="00D9347E">
        <w:rPr>
          <w:rFonts w:ascii="宋体" w:hAnsi="宋体" w:hint="eastAsia"/>
          <w:sz w:val="24"/>
        </w:rPr>
        <w:t>潜力巨大的金融市场，预示着我国国际保理业务拥有广阔的市场。</w:t>
      </w:r>
    </w:p>
    <w:p w:rsidR="00150212" w:rsidRPr="00D42394" w:rsidRDefault="00150212" w:rsidP="00150212">
      <w:pPr>
        <w:adjustRightInd w:val="0"/>
        <w:snapToGrid w:val="0"/>
        <w:spacing w:line="360" w:lineRule="auto"/>
        <w:ind w:firstLineChars="200" w:firstLine="480"/>
        <w:jc w:val="left"/>
        <w:rPr>
          <w:rFonts w:ascii="宋体" w:hAnsi="宋体"/>
          <w:sz w:val="24"/>
        </w:rPr>
      </w:pPr>
      <w:r w:rsidRPr="00D9347E">
        <w:rPr>
          <w:rFonts w:ascii="宋体" w:hAnsi="宋体" w:hint="eastAsia"/>
          <w:sz w:val="24"/>
        </w:rPr>
        <w:t xml:space="preserve"> 从进出口商品结构上来看，我国的主要进出口商品集中在日用品、纺织品、服装、皮革、电子类商品、化工医药类商品和机械运输设备等几大类，这其中除了机械运输设备这类商品不适合保理结算外，其他几大类的商品都适合采用国际保理业务。对比我国巨大的国际贸易量，我国国际保理业务现在仅如九牛之一毛，这些为我国国际保理业务提供了广阔的发展空间。国外已有一些保理公司看好中国的保理市场，例如荷兰合作财务有限公司(简称RFSL)联合其母公司荷兰合作银行(简称Rabobank)、天津港商业保税仓库及调运中心(是荷兰Royal Nedlloyd Group N.V.和天津港务局成立的合资企业，简称CBW)和瑞士通用公证行(简称SGS)在中国推出了出口保理服务项目。</w:t>
      </w:r>
    </w:p>
    <w:p w:rsidR="00150212" w:rsidRPr="00D42394" w:rsidRDefault="00150212" w:rsidP="00150212">
      <w:pPr>
        <w:numPr>
          <w:ilvl w:val="0"/>
          <w:numId w:val="7"/>
        </w:numPr>
        <w:adjustRightInd w:val="0"/>
        <w:snapToGrid w:val="0"/>
        <w:spacing w:line="360" w:lineRule="auto"/>
        <w:outlineLvl w:val="1"/>
        <w:rPr>
          <w:b/>
          <w:sz w:val="24"/>
        </w:rPr>
      </w:pPr>
      <w:bookmarkStart w:id="48" w:name="_Toc307499877"/>
      <w:bookmarkStart w:id="49" w:name="_Toc308707203"/>
      <w:bookmarkStart w:id="50" w:name="_Toc308707291"/>
      <w:r w:rsidRPr="00D42394">
        <w:rPr>
          <w:rFonts w:hint="eastAsia"/>
          <w:b/>
          <w:sz w:val="24"/>
        </w:rPr>
        <w:t>商业银行对国际保理深层次上的企业文化氛围了解不够</w:t>
      </w:r>
      <w:bookmarkEnd w:id="48"/>
      <w:bookmarkEnd w:id="49"/>
      <w:bookmarkEnd w:id="50"/>
    </w:p>
    <w:p w:rsidR="00150212" w:rsidRPr="00D9347E" w:rsidRDefault="00150212" w:rsidP="00150212">
      <w:pPr>
        <w:adjustRightInd w:val="0"/>
        <w:snapToGrid w:val="0"/>
        <w:spacing w:line="360" w:lineRule="auto"/>
        <w:ind w:firstLineChars="200" w:firstLine="480"/>
        <w:jc w:val="left"/>
        <w:rPr>
          <w:rFonts w:ascii="宋体" w:hAnsi="宋体"/>
          <w:sz w:val="24"/>
        </w:rPr>
      </w:pPr>
      <w:r w:rsidRPr="00D9347E">
        <w:rPr>
          <w:rFonts w:ascii="宋体" w:hAnsi="宋体" w:hint="eastAsia"/>
          <w:sz w:val="24"/>
        </w:rPr>
        <w:t>从保理业的发展过程可以看出，保理业在最初的发展阶段，更多的是由保理公司独立运作，并且主要为中小企业提供服务的。二十世纪五十年代以来，随着零售业中众多小连锁店的兼并集中，保理公司客户的应收账款的周期性和数额逐渐增大，银行也开始重视起这块业务，国际保理业务成为商业银行的一种高收益的中间业务。也正是通过与银行的合作，保理才走向了现在这样一项集贸易融资、商业资信调查、应收账款管理及信用风险担保于一体的综合性金融服务产品。由于保理是通过细分市场，主要为中小企业提供服务而逐渐形成的行业，这种行业风险就决定了保理商具有眼光锐利而机敏，经营灵活而又不失稳健的特点。而银行由于经常专注于大型企业，因而即使自身成立保理公司也很难拥有这些保理业最初产生时的原汁原味的特点，只会更多地继承其母银行的经营风格。因此，这种在兼并中形成的银行下属保理公司与银行办理保理业务或自建保理公司，虽然在表面形式上没什么区别，都是银行开办了保理这项业务，但在深层次上还是有</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差别的。银行自建或自办保理业务很容易造成保理业最原始的企业文化氛围的缺</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失。</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 xml:space="preserve">    在我国，国际保理业务是商业银行自办业务，推出时是作为一项普通的中间</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lastRenderedPageBreak/>
        <w:t>业务，其综合性金融服务的特色被埋没，市场定位不准确，经营无特色等情况，</w:t>
      </w:r>
    </w:p>
    <w:p w:rsidR="00150212" w:rsidRDefault="00150212" w:rsidP="00150212">
      <w:pPr>
        <w:adjustRightInd w:val="0"/>
        <w:snapToGrid w:val="0"/>
        <w:spacing w:line="360" w:lineRule="auto"/>
      </w:pPr>
      <w:r w:rsidRPr="00D9347E">
        <w:rPr>
          <w:rFonts w:ascii="宋体" w:hAnsi="宋体" w:hint="eastAsia"/>
          <w:sz w:val="24"/>
        </w:rPr>
        <w:t>大大阻碍了国际保理业务的深入发展。</w:t>
      </w:r>
    </w:p>
    <w:p w:rsidR="00150212" w:rsidRPr="00150212" w:rsidRDefault="00150212" w:rsidP="00150212">
      <w:pPr>
        <w:numPr>
          <w:ilvl w:val="0"/>
          <w:numId w:val="7"/>
        </w:numPr>
        <w:adjustRightInd w:val="0"/>
        <w:snapToGrid w:val="0"/>
        <w:spacing w:line="360" w:lineRule="auto"/>
        <w:outlineLvl w:val="1"/>
        <w:rPr>
          <w:b/>
          <w:sz w:val="24"/>
        </w:rPr>
      </w:pPr>
      <w:bookmarkStart w:id="51" w:name="_Toc307499878"/>
      <w:bookmarkStart w:id="52" w:name="_Toc308707204"/>
      <w:bookmarkStart w:id="53" w:name="_Toc308707292"/>
      <w:r w:rsidRPr="00150212">
        <w:rPr>
          <w:rFonts w:hint="eastAsia"/>
          <w:b/>
          <w:sz w:val="24"/>
        </w:rPr>
        <w:t>商业银行没有区分国际保理融资的特殊性</w:t>
      </w:r>
      <w:bookmarkEnd w:id="51"/>
      <w:bookmarkEnd w:id="52"/>
      <w:bookmarkEnd w:id="53"/>
    </w:p>
    <w:p w:rsidR="00150212" w:rsidRPr="00D9347E" w:rsidRDefault="00150212" w:rsidP="00150212">
      <w:pPr>
        <w:adjustRightInd w:val="0"/>
        <w:snapToGrid w:val="0"/>
        <w:spacing w:line="360" w:lineRule="auto"/>
        <w:ind w:firstLineChars="200" w:firstLine="480"/>
        <w:jc w:val="left"/>
        <w:rPr>
          <w:rFonts w:ascii="宋体" w:hAnsi="宋体"/>
          <w:sz w:val="24"/>
        </w:rPr>
      </w:pPr>
      <w:r w:rsidRPr="00D9347E">
        <w:rPr>
          <w:rFonts w:ascii="宋体" w:hAnsi="宋体" w:hint="eastAsia"/>
          <w:sz w:val="24"/>
        </w:rPr>
        <w:t>保理融资与银行贷款有着本质上的不同:即借款人与最终还款人的分离，这是保理业务的最大特点。银行放贷，其关注的对象是借款人的信用问题;而保理</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的应收账款融资，其所关注的对象不是借款人，而应是向借款人进货的客户。因</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为最终还款人不是借款人，而是向借款人进货的客户，即买方。因此，从理论上</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说，在极端的情况下，委托保理商的借款人可以没有所有者权益、没有资产、没有信用记录的才开张企业，但是，只要向借款人进货的客户有着良好的信誉保证，</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保理商就可以对其进行应收账款的融资。因为，不论是银行还是保理商提供融资，</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其所考察的对象是最终还款人，而不应是任何其他中间人。</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 xml:space="preserve">    但是在我国，随着近年来我国各家银行信贷风险管理的加强，国内银行业普</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遍对国际贸易结算业务统一实行内部授权制度，即一家银行的上级行对下级营业</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性分支机构开展国际贸易结算业务通常实行授权制度，未经上级行授权，任何营</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业性分支机构不得对外办理国际贸易结算业务。这就意味着，国际保理业务涉及</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的融资服务也必须服从于商业银行发放贷款的要求，根本没有考虑保理融资的特</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殊性，削弱了国际保理业务贸易融资功能，一定程度上限制了保理业务的健康发</w:t>
      </w:r>
    </w:p>
    <w:p w:rsidR="00150212" w:rsidRPr="00D42394" w:rsidRDefault="00150212" w:rsidP="00150212">
      <w:pPr>
        <w:adjustRightInd w:val="0"/>
        <w:snapToGrid w:val="0"/>
        <w:spacing w:line="360" w:lineRule="auto"/>
        <w:rPr>
          <w:rFonts w:ascii="宋体" w:hAnsi="宋体"/>
          <w:sz w:val="24"/>
        </w:rPr>
      </w:pPr>
      <w:r w:rsidRPr="00D9347E">
        <w:rPr>
          <w:rFonts w:ascii="宋体" w:hAnsi="宋体" w:hint="eastAsia"/>
          <w:sz w:val="24"/>
        </w:rPr>
        <w:t>展。</w:t>
      </w:r>
    </w:p>
    <w:p w:rsidR="00150212" w:rsidRPr="00150212" w:rsidRDefault="00150212" w:rsidP="00150212">
      <w:pPr>
        <w:numPr>
          <w:ilvl w:val="0"/>
          <w:numId w:val="7"/>
        </w:numPr>
        <w:adjustRightInd w:val="0"/>
        <w:snapToGrid w:val="0"/>
        <w:spacing w:line="360" w:lineRule="auto"/>
        <w:outlineLvl w:val="1"/>
        <w:rPr>
          <w:b/>
          <w:sz w:val="24"/>
        </w:rPr>
      </w:pPr>
      <w:bookmarkStart w:id="54" w:name="_Toc307499879"/>
      <w:bookmarkStart w:id="55" w:name="_Toc308707205"/>
      <w:bookmarkStart w:id="56" w:name="_Toc308707293"/>
      <w:r w:rsidRPr="00150212">
        <w:rPr>
          <w:rFonts w:hint="eastAsia"/>
          <w:b/>
          <w:sz w:val="24"/>
        </w:rPr>
        <w:t>缺乏国际保理业务方面的专业人才</w:t>
      </w:r>
      <w:bookmarkEnd w:id="54"/>
      <w:bookmarkEnd w:id="55"/>
      <w:bookmarkEnd w:id="56"/>
    </w:p>
    <w:p w:rsidR="00150212" w:rsidRPr="00D9347E" w:rsidRDefault="00150212" w:rsidP="00150212">
      <w:pPr>
        <w:adjustRightInd w:val="0"/>
        <w:snapToGrid w:val="0"/>
        <w:spacing w:line="360" w:lineRule="auto"/>
        <w:ind w:firstLineChars="200" w:firstLine="480"/>
        <w:jc w:val="left"/>
        <w:rPr>
          <w:rFonts w:ascii="宋体" w:hAnsi="宋体"/>
          <w:sz w:val="24"/>
        </w:rPr>
      </w:pPr>
      <w:r w:rsidRPr="00D9347E">
        <w:rPr>
          <w:rFonts w:ascii="宋体" w:hAnsi="宋体" w:hint="eastAsia"/>
          <w:sz w:val="24"/>
        </w:rPr>
        <w:t>我国最早于1988年开始试办国际保理业务，于1992年正式开展了国际保理</w:t>
      </w:r>
    </w:p>
    <w:p w:rsidR="00150212" w:rsidRPr="00D9347E" w:rsidRDefault="00503268" w:rsidP="00150212">
      <w:pPr>
        <w:adjustRightInd w:val="0"/>
        <w:snapToGrid w:val="0"/>
        <w:spacing w:line="360" w:lineRule="auto"/>
        <w:jc w:val="left"/>
        <w:rPr>
          <w:rFonts w:ascii="宋体" w:hAnsi="宋体"/>
          <w:sz w:val="24"/>
        </w:rPr>
      </w:pPr>
      <w:r>
        <w:rPr>
          <w:rFonts w:ascii="宋体" w:hAnsi="宋体" w:hint="eastAsia"/>
          <w:sz w:val="24"/>
        </w:rPr>
        <w:t>业务。由于国际保理业务具有国际结算、融资、</w:t>
      </w:r>
      <w:r w:rsidR="00150212" w:rsidRPr="00D9347E">
        <w:rPr>
          <w:rFonts w:ascii="宋体" w:hAnsi="宋体" w:hint="eastAsia"/>
          <w:sz w:val="24"/>
        </w:rPr>
        <w:t>信用担保、现金流量管理等多重功能，并涉及到国际贸易、银行、法律、计算机等多个业务领域，因此要求从事国际保理业务的人员不仅具备保理业务的专业知识，还要具有熟练的英语应用能力、丰富的国际金融知识、法律知识，熟悉相关国际惯例、国际贸易交易规则和习惯等。</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 xml:space="preserve">    我国承办国际保理业务的商业银行中，从事保理业务的工作人员有些并未进</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行过专业的国际保理业务培训。从保理理论知识角度，专业研究人员仍比较缺乏。</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虽然，近些年己经有一些介绍国际保理业务的论文出现，但全面、系统、客观的</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介绍国际保理业务的论著还很少。一定程度上限制了国际保理业务的推广。从实</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践上看，我国开展此项业务时间不长，业务量少，从业人员在实务操作上锻炼机</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lastRenderedPageBreak/>
        <w:t>会少。因此保理从业人员在办理保理业务过程中业务不熟练，工作效率较低，工</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作不得力，直接影响了保理业务在我国的推广速度和应用范围，继而使保理业务</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量增长缓慢，从业人员实践经验增加缓慢，如此下去类似于恶性循环，成为我国</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保理业务在我国发展不畅的制约因素之一。</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 xml:space="preserve">    我国在国际保理的立法研究上也体现了人才匾乏的现象，致使我国国际保理</w:t>
      </w:r>
    </w:p>
    <w:p w:rsidR="00150212" w:rsidRPr="00D42394" w:rsidRDefault="00150212" w:rsidP="00150212">
      <w:pPr>
        <w:adjustRightInd w:val="0"/>
        <w:snapToGrid w:val="0"/>
        <w:spacing w:line="360" w:lineRule="auto"/>
        <w:rPr>
          <w:rFonts w:ascii="宋体" w:hAnsi="宋体"/>
          <w:sz w:val="24"/>
        </w:rPr>
      </w:pPr>
      <w:r w:rsidRPr="00D9347E">
        <w:rPr>
          <w:rFonts w:ascii="宋体" w:hAnsi="宋体" w:hint="eastAsia"/>
          <w:sz w:val="24"/>
        </w:rPr>
        <w:t>立法处于较低级的状态，同样制约了国际保理业务的开展。</w:t>
      </w:r>
    </w:p>
    <w:p w:rsidR="00150212" w:rsidRPr="00150212" w:rsidRDefault="00150212" w:rsidP="00150212">
      <w:pPr>
        <w:numPr>
          <w:ilvl w:val="0"/>
          <w:numId w:val="7"/>
        </w:numPr>
        <w:adjustRightInd w:val="0"/>
        <w:snapToGrid w:val="0"/>
        <w:spacing w:line="360" w:lineRule="auto"/>
        <w:outlineLvl w:val="1"/>
        <w:rPr>
          <w:b/>
          <w:sz w:val="24"/>
        </w:rPr>
      </w:pPr>
      <w:bookmarkStart w:id="57" w:name="_Toc307499880"/>
      <w:bookmarkStart w:id="58" w:name="_Toc308707206"/>
      <w:bookmarkStart w:id="59" w:name="_Toc308707294"/>
      <w:r w:rsidRPr="00150212">
        <w:rPr>
          <w:rFonts w:hint="eastAsia"/>
          <w:b/>
          <w:sz w:val="24"/>
        </w:rPr>
        <w:t>对国际保理业务的宣传不到位</w:t>
      </w:r>
      <w:bookmarkEnd w:id="57"/>
      <w:bookmarkEnd w:id="58"/>
      <w:bookmarkEnd w:id="59"/>
    </w:p>
    <w:p w:rsidR="00150212" w:rsidRPr="00D9347E" w:rsidRDefault="00150212" w:rsidP="00150212">
      <w:pPr>
        <w:adjustRightInd w:val="0"/>
        <w:snapToGrid w:val="0"/>
        <w:spacing w:line="360" w:lineRule="auto"/>
        <w:ind w:firstLineChars="200" w:firstLine="480"/>
        <w:jc w:val="left"/>
        <w:rPr>
          <w:rFonts w:ascii="宋体" w:hAnsi="宋体"/>
          <w:sz w:val="24"/>
        </w:rPr>
      </w:pPr>
      <w:r w:rsidRPr="00D9347E">
        <w:rPr>
          <w:rFonts w:ascii="宋体" w:hAnsi="宋体" w:hint="eastAsia"/>
          <w:sz w:val="24"/>
        </w:rPr>
        <w:t>并不是每一笔国际贸易都可以随意选择这种结算万式，它的便用还要受到很多条件的限制。首先，叙做国际保理业务的出口商和进口商之间的贸易结算方式必须采用赊销(O/A)或承兑交单(D/A)。其次，叙做国际保理业务的出口商必须具有法人资格。最后，叙做国际保理业务的出口商还必须满足成立一年以上的时间限制，并且拥有经过稽核的年度财务报告。此外，出口商在叙做保理业务时，还应注意以下事项：(1)国际保理业务不同于信用证以单据为付款依据，它是商品与合同相符前提下保理商承担付款责任的结算方式。因此如果由于货物品质、数量、交货期限或其他任何方面原因引起进出口双方发生商务争议而导致进口商不付货款，保理商不承担任何赔付责任，而完全由进出口商双方自行解决，故采用这一结算方式，出口商必须严格遵守合同。倘若此类争议在一定期限内得到有利于出口商的解决，保理商才承担赔付责任。(2)保理商只承担信用额度内的风险担保，超额度的发货金额不予担保，而只能按托收的方式进行处理。</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 xml:space="preserve">    当前我国商业银行在做宣传时，突出了国际保理的优势作用，却对其使用的</w:t>
      </w:r>
    </w:p>
    <w:p w:rsidR="00150212" w:rsidRPr="00D9347E" w:rsidRDefault="00150212" w:rsidP="00150212">
      <w:pPr>
        <w:adjustRightInd w:val="0"/>
        <w:snapToGrid w:val="0"/>
        <w:spacing w:line="360" w:lineRule="auto"/>
        <w:jc w:val="left"/>
        <w:rPr>
          <w:rFonts w:ascii="宋体" w:hAnsi="宋体"/>
          <w:sz w:val="24"/>
        </w:rPr>
      </w:pPr>
      <w:r w:rsidRPr="00D9347E">
        <w:rPr>
          <w:rFonts w:ascii="宋体" w:hAnsi="宋体" w:hint="eastAsia"/>
          <w:sz w:val="24"/>
        </w:rPr>
        <w:t>条件限制没有特殊说明，使得很多外贸企业对这种结算方式不能全面了解，造成</w:t>
      </w:r>
    </w:p>
    <w:p w:rsidR="00150212" w:rsidRPr="00D42394" w:rsidRDefault="00150212" w:rsidP="00150212">
      <w:pPr>
        <w:adjustRightInd w:val="0"/>
        <w:snapToGrid w:val="0"/>
        <w:spacing w:line="360" w:lineRule="auto"/>
        <w:jc w:val="left"/>
        <w:rPr>
          <w:rFonts w:ascii="宋体" w:hAnsi="宋体"/>
          <w:sz w:val="24"/>
        </w:rPr>
      </w:pPr>
      <w:r w:rsidRPr="00D9347E">
        <w:rPr>
          <w:rFonts w:ascii="宋体" w:hAnsi="宋体" w:hint="eastAsia"/>
          <w:sz w:val="24"/>
        </w:rPr>
        <w:t>在使用</w:t>
      </w:r>
      <w:r w:rsidRPr="00D42394">
        <w:rPr>
          <w:rFonts w:ascii="宋体" w:hAnsi="宋体" w:hint="eastAsia"/>
          <w:sz w:val="24"/>
        </w:rPr>
        <w:t>中误用现象，反而影响了国际保理的功能作用的发挥，限制了外贸企业进</w:t>
      </w:r>
    </w:p>
    <w:p w:rsidR="00150212" w:rsidRPr="00D42394" w:rsidRDefault="00150212" w:rsidP="00150212">
      <w:pPr>
        <w:adjustRightInd w:val="0"/>
        <w:snapToGrid w:val="0"/>
        <w:spacing w:line="360" w:lineRule="auto"/>
        <w:jc w:val="left"/>
        <w:rPr>
          <w:rFonts w:ascii="宋体" w:hAnsi="宋体"/>
          <w:sz w:val="24"/>
        </w:rPr>
      </w:pPr>
      <w:r w:rsidRPr="00D42394">
        <w:rPr>
          <w:rFonts w:ascii="宋体" w:hAnsi="宋体" w:hint="eastAsia"/>
          <w:sz w:val="24"/>
        </w:rPr>
        <w:t>一步应用。</w:t>
      </w:r>
    </w:p>
    <w:p w:rsidR="00150212" w:rsidRPr="00D42394" w:rsidRDefault="00150212" w:rsidP="00150212">
      <w:pPr>
        <w:adjustRightInd w:val="0"/>
        <w:snapToGrid w:val="0"/>
        <w:spacing w:line="360" w:lineRule="auto"/>
        <w:jc w:val="left"/>
        <w:rPr>
          <w:rFonts w:ascii="宋体" w:hAnsi="宋体"/>
          <w:sz w:val="24"/>
        </w:rPr>
      </w:pPr>
      <w:r w:rsidRPr="00D42394">
        <w:rPr>
          <w:rFonts w:ascii="宋体" w:hAnsi="宋体" w:hint="eastAsia"/>
          <w:sz w:val="24"/>
        </w:rPr>
        <w:t xml:space="preserve">    另外，还有一些商业银行没有专门机构对外宣传国际保理业务知识及其有效</w:t>
      </w:r>
    </w:p>
    <w:p w:rsidR="00150212" w:rsidRPr="00D42394" w:rsidRDefault="00150212" w:rsidP="00150212">
      <w:pPr>
        <w:adjustRightInd w:val="0"/>
        <w:snapToGrid w:val="0"/>
        <w:spacing w:line="360" w:lineRule="auto"/>
        <w:jc w:val="left"/>
        <w:rPr>
          <w:rFonts w:ascii="宋体" w:hAnsi="宋体"/>
          <w:sz w:val="24"/>
        </w:rPr>
      </w:pPr>
      <w:r w:rsidRPr="00D42394">
        <w:rPr>
          <w:rFonts w:ascii="宋体" w:hAnsi="宋体" w:hint="eastAsia"/>
          <w:sz w:val="24"/>
        </w:rPr>
        <w:t>作用，造成许多外贸企业经营者、业务人员根本不知晓这项业务。同时，我国</w:t>
      </w:r>
    </w:p>
    <w:p w:rsidR="00150212" w:rsidRPr="00D42394" w:rsidRDefault="00150212" w:rsidP="00150212">
      <w:pPr>
        <w:adjustRightInd w:val="0"/>
        <w:snapToGrid w:val="0"/>
        <w:spacing w:line="360" w:lineRule="auto"/>
        <w:jc w:val="left"/>
        <w:rPr>
          <w:rFonts w:ascii="宋体" w:hAnsi="宋体"/>
          <w:sz w:val="24"/>
        </w:rPr>
      </w:pPr>
      <w:r w:rsidRPr="00D42394">
        <w:rPr>
          <w:rFonts w:ascii="宋体" w:hAnsi="宋体" w:hint="eastAsia"/>
          <w:sz w:val="24"/>
        </w:rPr>
        <w:t>开办国际保理业务的商业银行之间业务竟争激烈，大家都担心扩大宣传力度会失</w:t>
      </w:r>
    </w:p>
    <w:p w:rsidR="00150212" w:rsidRPr="00D42394" w:rsidRDefault="00150212" w:rsidP="00150212">
      <w:pPr>
        <w:adjustRightInd w:val="0"/>
        <w:snapToGrid w:val="0"/>
        <w:spacing w:line="360" w:lineRule="auto"/>
        <w:jc w:val="left"/>
        <w:rPr>
          <w:rFonts w:ascii="宋体" w:hAnsi="宋体"/>
          <w:sz w:val="24"/>
        </w:rPr>
      </w:pPr>
      <w:r w:rsidRPr="00D42394">
        <w:rPr>
          <w:rFonts w:hint="eastAsia"/>
          <w:sz w:val="24"/>
        </w:rPr>
        <w:t>去这一新的金融服务领域，从而对外仅限于简单的业务介绍。</w:t>
      </w:r>
    </w:p>
    <w:p w:rsidR="00150212" w:rsidRPr="00D9347E" w:rsidRDefault="008F2AF9" w:rsidP="00150212">
      <w:pPr>
        <w:adjustRightInd w:val="0"/>
        <w:snapToGrid w:val="0"/>
        <w:spacing w:line="360" w:lineRule="auto"/>
        <w:ind w:firstLine="435"/>
        <w:jc w:val="left"/>
        <w:rPr>
          <w:rFonts w:ascii="宋体" w:hAnsi="宋体"/>
          <w:sz w:val="24"/>
        </w:rPr>
      </w:pPr>
      <w:r>
        <w:rPr>
          <w:rFonts w:ascii="宋体" w:hAnsi="宋体" w:hint="eastAsia"/>
          <w:sz w:val="24"/>
        </w:rPr>
        <w:t>以上</w:t>
      </w:r>
      <w:r w:rsidR="00150212" w:rsidRPr="00D42394">
        <w:rPr>
          <w:rFonts w:ascii="宋体" w:hAnsi="宋体" w:hint="eastAsia"/>
          <w:sz w:val="24"/>
        </w:rPr>
        <w:t>主要分析了我国国际保理业务现状，得出我国国际保理业务起步晚，认知和重视程度不够，缺乏专业人才，宣传不到位，等是限制我国国际保理业务深入发展的原因。究其根本，我国商业银行对国际保理产品认识不足，重视程度不</w:t>
      </w:r>
      <w:r w:rsidR="00150212" w:rsidRPr="00D42394">
        <w:rPr>
          <w:rFonts w:ascii="宋体" w:hAnsi="宋体" w:hint="eastAsia"/>
          <w:sz w:val="24"/>
        </w:rPr>
        <w:lastRenderedPageBreak/>
        <w:t>够，营销策略</w:t>
      </w:r>
      <w:r w:rsidR="00150212" w:rsidRPr="00D9347E">
        <w:rPr>
          <w:rFonts w:ascii="宋体" w:hAnsi="宋体" w:hint="eastAsia"/>
          <w:sz w:val="24"/>
        </w:rPr>
        <w:t>不佳以及自身经营国际保理业务的能力不强，是限制我国国际保理业务的主要因素。</w:t>
      </w:r>
    </w:p>
    <w:p w:rsidR="00150212" w:rsidRDefault="00150212" w:rsidP="00150212">
      <w:pPr>
        <w:adjustRightInd w:val="0"/>
        <w:snapToGrid w:val="0"/>
        <w:spacing w:line="360" w:lineRule="auto"/>
        <w:rPr>
          <w:rFonts w:ascii="华文中宋" w:eastAsia="华文中宋" w:hAnsi="华文中宋"/>
          <w:b/>
          <w:sz w:val="28"/>
          <w:szCs w:val="28"/>
        </w:rPr>
      </w:pPr>
    </w:p>
    <w:p w:rsidR="00150212" w:rsidRPr="00257B37" w:rsidRDefault="00150212" w:rsidP="00150212">
      <w:pPr>
        <w:numPr>
          <w:ilvl w:val="0"/>
          <w:numId w:val="2"/>
        </w:numPr>
        <w:adjustRightInd w:val="0"/>
        <w:snapToGrid w:val="0"/>
        <w:spacing w:line="360" w:lineRule="auto"/>
        <w:outlineLvl w:val="0"/>
        <w:rPr>
          <w:rFonts w:ascii="华文中宋" w:eastAsia="华文中宋" w:hAnsi="华文中宋"/>
          <w:b/>
          <w:sz w:val="28"/>
          <w:szCs w:val="28"/>
        </w:rPr>
      </w:pPr>
      <w:bookmarkStart w:id="60" w:name="_Toc307499881"/>
      <w:bookmarkStart w:id="61" w:name="_Toc308707207"/>
      <w:bookmarkStart w:id="62" w:name="_Toc308707295"/>
      <w:r>
        <w:rPr>
          <w:rFonts w:ascii="华文中宋" w:eastAsia="华文中宋" w:hAnsi="华文中宋" w:hint="eastAsia"/>
          <w:b/>
          <w:sz w:val="28"/>
          <w:szCs w:val="28"/>
        </w:rPr>
        <w:t>国际保理业务的前景</w:t>
      </w:r>
      <w:bookmarkEnd w:id="60"/>
      <w:bookmarkEnd w:id="61"/>
      <w:bookmarkEnd w:id="62"/>
    </w:p>
    <w:p w:rsidR="00461344" w:rsidRPr="00150212" w:rsidRDefault="00461344" w:rsidP="00257B37">
      <w:pPr>
        <w:adjustRightInd w:val="0"/>
        <w:snapToGrid w:val="0"/>
        <w:spacing w:line="360" w:lineRule="auto"/>
        <w:jc w:val="left"/>
        <w:rPr>
          <w:rFonts w:ascii="宋体" w:hAnsi="宋体"/>
          <w:sz w:val="24"/>
        </w:rPr>
      </w:pP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b/>
          <w:bCs/>
          <w:sz w:val="24"/>
        </w:rPr>
        <w:t xml:space="preserve">    </w:t>
      </w:r>
      <w:r w:rsidRPr="00D9347E">
        <w:rPr>
          <w:rFonts w:ascii="宋体" w:hAnsi="宋体" w:hint="eastAsia"/>
          <w:sz w:val="24"/>
        </w:rPr>
        <w:t>我国国际贸易市场对国际保理业务的需求潜力巨大，进一步发展国际保理业务是我国商业银行的必然选择。</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 xml:space="preserve">    我国金融业对外开放的口子刚打开，外资银行已经在中间业务上展开了与国</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内银行的激烈竞争，在外资银行的全方位、高质量服务体系下，原属于国内银行</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的一批优质客户转向了外资银行。能否提供多样化的业务品种和优质的服务质量</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满足客户的需要，成为影响银行经济效益的一个重要因素。对于银行来说，一笔</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国际保理业务的收益不菲，除了可收取担保费和信用评估调查费之外，还可对企</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业获得的预付款收取利息，且年利率通常高于银行优惠利率。</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 xml:space="preserve">    从目前全球银行业的利润构成看，中间业务的比重越来越大，其在发达国家</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商业银行中占到了总收益的40-50%左右。与之相比，我国商业银行中间业务的效益较差，连最好的中国银行，其中间业务也只占总收益的17%。国际结算属</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于银行的中间业务，目前国际上无论是美国还是欧盟内部，80%以上的进出口业</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务都是通过保理商代收货款进行。因此无论是从国际结算的发展趋势还是从与外资银行竞争的手段及提高国内银行经济利益的角度看，都急需发展国际保理业务。</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 xml:space="preserve">    据此，虽然国际保理在我国有着广阔的发展空间，但是我国商业银行在保理</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业务开发以及我国现有的信用环境与法律环境等各方面都存在一些不利发展的</w:t>
      </w:r>
    </w:p>
    <w:p w:rsidR="00E1472C" w:rsidRDefault="00461344" w:rsidP="00257B37">
      <w:pPr>
        <w:adjustRightInd w:val="0"/>
        <w:snapToGrid w:val="0"/>
        <w:spacing w:line="360" w:lineRule="auto"/>
        <w:jc w:val="left"/>
        <w:rPr>
          <w:rFonts w:ascii="宋体" w:hAnsi="宋体"/>
          <w:sz w:val="24"/>
        </w:rPr>
      </w:pPr>
      <w:r w:rsidRPr="00D9347E">
        <w:rPr>
          <w:rFonts w:ascii="宋体" w:hAnsi="宋体" w:hint="eastAsia"/>
          <w:sz w:val="24"/>
        </w:rPr>
        <w:t>因素，因此对保理业务的完善不可能一缴而就，必须循序渐进，分步进行。</w:t>
      </w:r>
      <w:r w:rsidR="00D42394">
        <w:rPr>
          <w:rFonts w:ascii="宋体" w:hAnsi="宋体" w:hint="eastAsia"/>
          <w:sz w:val="24"/>
        </w:rPr>
        <w:t xml:space="preserve"> </w:t>
      </w:r>
    </w:p>
    <w:p w:rsidR="00461344" w:rsidRPr="00D9347E" w:rsidRDefault="00461344" w:rsidP="00E1472C">
      <w:pPr>
        <w:adjustRightInd w:val="0"/>
        <w:snapToGrid w:val="0"/>
        <w:spacing w:line="360" w:lineRule="auto"/>
        <w:ind w:firstLineChars="200" w:firstLine="480"/>
        <w:jc w:val="left"/>
        <w:rPr>
          <w:rFonts w:ascii="宋体" w:hAnsi="宋体"/>
          <w:sz w:val="24"/>
        </w:rPr>
      </w:pPr>
      <w:r w:rsidRPr="00D9347E">
        <w:rPr>
          <w:rFonts w:ascii="宋体" w:hAnsi="宋体" w:hint="eastAsia"/>
          <w:sz w:val="24"/>
        </w:rPr>
        <w:t>首先，应该把国际保理业务作为一项有特色的金融服务产品进行整体策划，这也是深入开展国际保理业务的重要措施。当前我国商业银行开展国际保理业务</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时埋没了保理融资的特殊性和保理的综合服务功能，要解决这个问题必须强化国</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际保理产品的特色，对其进行整体策划，对保理业务进行全面客观地宣传，挖掘保理业务的潜在市场， 其次，从加强风险防范和化解能力、培养专业人才、推动国内保理共同发展和国际交流几个方面分析了我国商业银行应该提高经营保理业务的各方面能力，这对我国国际保理业务进一步发展是非常必要的。</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lastRenderedPageBreak/>
        <w:t xml:space="preserve">    最后，我国目前正在进行商业银行的改革，国内信用管理体制也在积极建立</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之中，商业银行应该抓住这个有利的时机，深入开展国际保理业务。我国商业银</w:t>
      </w:r>
    </w:p>
    <w:p w:rsidR="00461344" w:rsidRPr="00150212" w:rsidRDefault="00461344" w:rsidP="00150212">
      <w:pPr>
        <w:adjustRightInd w:val="0"/>
        <w:snapToGrid w:val="0"/>
        <w:spacing w:line="360" w:lineRule="auto"/>
        <w:jc w:val="left"/>
        <w:rPr>
          <w:rFonts w:ascii="宋体" w:hAnsi="宋体"/>
          <w:sz w:val="24"/>
        </w:rPr>
      </w:pPr>
      <w:r w:rsidRPr="00D9347E">
        <w:rPr>
          <w:rFonts w:hint="eastAsia"/>
        </w:rPr>
        <w:t>行正处于改革期，这为国际保理业务的开展奠定了制度基础。</w:t>
      </w:r>
    </w:p>
    <w:p w:rsidR="00461344" w:rsidRPr="00D9347E" w:rsidRDefault="00461344" w:rsidP="00E1472C">
      <w:pPr>
        <w:adjustRightInd w:val="0"/>
        <w:snapToGrid w:val="0"/>
        <w:spacing w:line="360" w:lineRule="auto"/>
        <w:ind w:firstLineChars="196" w:firstLine="470"/>
        <w:jc w:val="left"/>
        <w:rPr>
          <w:rFonts w:ascii="宋体" w:hAnsi="宋体"/>
          <w:sz w:val="24"/>
        </w:rPr>
      </w:pPr>
      <w:r w:rsidRPr="00D9347E">
        <w:rPr>
          <w:rFonts w:ascii="宋体" w:hAnsi="宋体" w:hint="eastAsia"/>
          <w:sz w:val="24"/>
        </w:rPr>
        <w:t>综上所述，当前我国办理国际保理的规模尚不及保理发祥地的欧美，与同处亚洲的日本及我国台湾地区的差距也较大，这与我国作为出口贸易大国的身份极不相符。一方面说明我国国际保理业务差距的较大，另一方面说明保理业务在我国蕴藏的巨大潜力尚未得到充分开发。</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 xml:space="preserve">    我国国际保理业务起步晚，相关部门及业务人员的认知程度和重视程度不够，缺乏专业人才，造成在国际保理在营销中市场定位不准确，宣传不到位等等;</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同时由于我国商业银行风险防范能力差以及我国相关的法律、信用体系不完善也</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在一定程度上限制了我国国际保理业务的深入发展。就其根本而言，最主要的还</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是我国商业银行的经营问题，即商业银行对国际保理产品认识不足，重视程度不</w:t>
      </w:r>
    </w:p>
    <w:p w:rsidR="00461344" w:rsidRPr="00D9347E" w:rsidRDefault="00461344" w:rsidP="00257B37">
      <w:pPr>
        <w:adjustRightInd w:val="0"/>
        <w:snapToGrid w:val="0"/>
        <w:spacing w:line="360" w:lineRule="auto"/>
        <w:jc w:val="left"/>
        <w:rPr>
          <w:rFonts w:ascii="宋体" w:hAnsi="宋体"/>
          <w:sz w:val="24"/>
        </w:rPr>
      </w:pPr>
      <w:r w:rsidRPr="00D9347E">
        <w:rPr>
          <w:rFonts w:ascii="宋体" w:hAnsi="宋体" w:hint="eastAsia"/>
          <w:sz w:val="24"/>
        </w:rPr>
        <w:t>够，营销策略不佳以及自身经营能力的缺乏。</w:t>
      </w:r>
    </w:p>
    <w:p w:rsidR="00F131F9" w:rsidRDefault="00F131F9" w:rsidP="00257B37">
      <w:pPr>
        <w:adjustRightInd w:val="0"/>
        <w:snapToGrid w:val="0"/>
        <w:spacing w:line="360" w:lineRule="auto"/>
        <w:jc w:val="left"/>
        <w:rPr>
          <w:rFonts w:ascii="宋体" w:hAnsi="宋体"/>
          <w:b/>
          <w:sz w:val="24"/>
        </w:rPr>
      </w:pPr>
    </w:p>
    <w:p w:rsidR="00461344" w:rsidRDefault="00F131F9" w:rsidP="00732E24">
      <w:pPr>
        <w:numPr>
          <w:ilvl w:val="0"/>
          <w:numId w:val="2"/>
        </w:numPr>
        <w:adjustRightInd w:val="0"/>
        <w:snapToGrid w:val="0"/>
        <w:spacing w:line="360" w:lineRule="auto"/>
        <w:outlineLvl w:val="0"/>
        <w:rPr>
          <w:rFonts w:ascii="华文中宋" w:eastAsia="华文中宋" w:hAnsi="华文中宋"/>
          <w:b/>
          <w:sz w:val="28"/>
          <w:szCs w:val="28"/>
        </w:rPr>
      </w:pPr>
      <w:bookmarkStart w:id="63" w:name="_Toc308707208"/>
      <w:bookmarkStart w:id="64" w:name="_Toc308707296"/>
      <w:r w:rsidRPr="00732E24">
        <w:rPr>
          <w:rFonts w:ascii="华文中宋" w:eastAsia="华文中宋" w:hAnsi="华文中宋" w:hint="eastAsia"/>
          <w:b/>
          <w:sz w:val="28"/>
          <w:szCs w:val="28"/>
        </w:rPr>
        <w:t>行业法规</w:t>
      </w:r>
      <w:r w:rsidR="00C9688D" w:rsidRPr="00732E24">
        <w:rPr>
          <w:rFonts w:ascii="华文中宋" w:eastAsia="华文中宋" w:hAnsi="华文中宋" w:hint="eastAsia"/>
          <w:b/>
          <w:sz w:val="28"/>
          <w:szCs w:val="28"/>
        </w:rPr>
        <w:t>建设</w:t>
      </w:r>
      <w:bookmarkEnd w:id="63"/>
      <w:bookmarkEnd w:id="64"/>
    </w:p>
    <w:p w:rsidR="00F7105C" w:rsidRPr="00732E24" w:rsidRDefault="00F7105C" w:rsidP="00D16285"/>
    <w:p w:rsidR="00C9688D" w:rsidRPr="00732E24" w:rsidRDefault="00C9688D" w:rsidP="00732E24">
      <w:pPr>
        <w:numPr>
          <w:ilvl w:val="1"/>
          <w:numId w:val="2"/>
        </w:numPr>
        <w:adjustRightInd w:val="0"/>
        <w:snapToGrid w:val="0"/>
        <w:spacing w:line="360" w:lineRule="auto"/>
        <w:outlineLvl w:val="1"/>
        <w:rPr>
          <w:b/>
          <w:sz w:val="24"/>
        </w:rPr>
      </w:pPr>
      <w:bookmarkStart w:id="65" w:name="_Toc308707209"/>
      <w:bookmarkStart w:id="66" w:name="_Toc308707297"/>
      <w:r w:rsidRPr="00732E24">
        <w:rPr>
          <w:b/>
          <w:sz w:val="24"/>
        </w:rPr>
        <w:t>信用风险控制不健全</w:t>
      </w:r>
      <w:bookmarkEnd w:id="65"/>
      <w:bookmarkEnd w:id="66"/>
    </w:p>
    <w:p w:rsidR="00F131F9" w:rsidRDefault="00F131F9" w:rsidP="00C9688D">
      <w:pPr>
        <w:adjustRightInd w:val="0"/>
        <w:snapToGrid w:val="0"/>
        <w:spacing w:line="360" w:lineRule="auto"/>
        <w:ind w:firstLineChars="200" w:firstLine="480"/>
        <w:jc w:val="left"/>
        <w:rPr>
          <w:rFonts w:ascii="宋体" w:hAnsi="宋体"/>
          <w:sz w:val="24"/>
        </w:rPr>
      </w:pPr>
      <w:r w:rsidRPr="00C9688D">
        <w:rPr>
          <w:rFonts w:ascii="宋体" w:hAnsi="宋体"/>
          <w:sz w:val="24"/>
        </w:rPr>
        <w:t xml:space="preserve">信用交易在我国当前尚未普遍建立，由于受汇款、托收、信用证等传统交易方式的限制，我国出口企业满足于用传统的结算方式进行交易，还不能完全适应建立在商业信用基础上的保理业务。 </w:t>
      </w:r>
    </w:p>
    <w:p w:rsidR="00C9688D" w:rsidRPr="00517449" w:rsidRDefault="00C9688D" w:rsidP="00517449">
      <w:pPr>
        <w:numPr>
          <w:ilvl w:val="1"/>
          <w:numId w:val="2"/>
        </w:numPr>
        <w:adjustRightInd w:val="0"/>
        <w:snapToGrid w:val="0"/>
        <w:spacing w:line="360" w:lineRule="auto"/>
        <w:outlineLvl w:val="1"/>
        <w:rPr>
          <w:b/>
          <w:sz w:val="24"/>
        </w:rPr>
      </w:pPr>
      <w:bookmarkStart w:id="67" w:name="_Toc308707298"/>
      <w:r w:rsidRPr="00517449">
        <w:rPr>
          <w:b/>
          <w:sz w:val="24"/>
        </w:rPr>
        <w:t>保理业务立法不健全</w:t>
      </w:r>
      <w:bookmarkEnd w:id="67"/>
    </w:p>
    <w:p w:rsidR="00F131F9" w:rsidRPr="00F131F9" w:rsidRDefault="00F131F9" w:rsidP="00C9688D">
      <w:pPr>
        <w:adjustRightInd w:val="0"/>
        <w:snapToGrid w:val="0"/>
        <w:spacing w:line="360" w:lineRule="auto"/>
        <w:ind w:firstLineChars="200" w:firstLine="480"/>
        <w:jc w:val="left"/>
        <w:rPr>
          <w:rFonts w:ascii="宋体" w:hAnsi="宋体"/>
          <w:sz w:val="24"/>
        </w:rPr>
      </w:pPr>
      <w:r w:rsidRPr="00F131F9">
        <w:rPr>
          <w:rFonts w:ascii="宋体" w:hAnsi="宋体"/>
          <w:sz w:val="24"/>
        </w:rPr>
        <w:t xml:space="preserve">虽然我国已经加入国际保理联合会，接受了《国际保理管理规则》、《国际保理公约》等，但这些规则尚不能直接用于指导监督我国保理业务的具体实施。我国尚需要建立一套指导国际保理业务发展的法律体系。 </w:t>
      </w:r>
    </w:p>
    <w:p w:rsidR="00F131F9" w:rsidRPr="00D9347E" w:rsidRDefault="00F131F9" w:rsidP="00257B37">
      <w:pPr>
        <w:adjustRightInd w:val="0"/>
        <w:snapToGrid w:val="0"/>
        <w:spacing w:line="360" w:lineRule="auto"/>
        <w:jc w:val="left"/>
        <w:rPr>
          <w:rFonts w:ascii="宋体" w:hAnsi="宋体"/>
          <w:sz w:val="24"/>
        </w:rPr>
      </w:pPr>
    </w:p>
    <w:p w:rsidR="00461344" w:rsidRDefault="001B1C0E" w:rsidP="00732E24">
      <w:pPr>
        <w:numPr>
          <w:ilvl w:val="0"/>
          <w:numId w:val="2"/>
        </w:numPr>
        <w:adjustRightInd w:val="0"/>
        <w:snapToGrid w:val="0"/>
        <w:spacing w:line="360" w:lineRule="auto"/>
        <w:outlineLvl w:val="0"/>
        <w:rPr>
          <w:rFonts w:ascii="华文中宋" w:eastAsia="华文中宋" w:hAnsi="华文中宋"/>
          <w:b/>
          <w:sz w:val="28"/>
          <w:szCs w:val="28"/>
        </w:rPr>
      </w:pPr>
      <w:bookmarkStart w:id="68" w:name="_Toc308707210"/>
      <w:bookmarkStart w:id="69" w:name="_Toc308707299"/>
      <w:r w:rsidRPr="00732E24">
        <w:rPr>
          <w:rFonts w:ascii="华文中宋" w:eastAsia="华文中宋" w:hAnsi="华文中宋" w:hint="eastAsia"/>
          <w:b/>
          <w:sz w:val="28"/>
          <w:szCs w:val="28"/>
        </w:rPr>
        <w:t>行业发展趋势</w:t>
      </w:r>
      <w:bookmarkEnd w:id="68"/>
      <w:bookmarkEnd w:id="69"/>
    </w:p>
    <w:p w:rsidR="00F7105C" w:rsidRPr="00732E24" w:rsidRDefault="00F7105C" w:rsidP="00F7105C">
      <w:pPr>
        <w:adjustRightInd w:val="0"/>
        <w:snapToGrid w:val="0"/>
        <w:spacing w:line="360" w:lineRule="auto"/>
        <w:outlineLvl w:val="0"/>
        <w:rPr>
          <w:rFonts w:ascii="华文中宋" w:eastAsia="华文中宋" w:hAnsi="华文中宋"/>
          <w:b/>
          <w:sz w:val="28"/>
          <w:szCs w:val="28"/>
        </w:rPr>
      </w:pPr>
    </w:p>
    <w:p w:rsidR="00EA0A1A" w:rsidRPr="00C9688D" w:rsidRDefault="00C9688D" w:rsidP="00C9688D">
      <w:pPr>
        <w:adjustRightInd w:val="0"/>
        <w:snapToGrid w:val="0"/>
        <w:spacing w:line="360" w:lineRule="auto"/>
        <w:ind w:firstLineChars="200" w:firstLine="480"/>
        <w:rPr>
          <w:rFonts w:ascii="宋体" w:hAnsi="宋体"/>
          <w:sz w:val="24"/>
        </w:rPr>
      </w:pPr>
      <w:r w:rsidRPr="00C9688D">
        <w:rPr>
          <w:rFonts w:ascii="宋体" w:hAnsi="宋体"/>
          <w:sz w:val="24"/>
        </w:rPr>
        <w:t>中国的保理业务总额在世界上所占的比例还不到1%，这和我国作为第3大贸易国的地位是极不相称的。中国</w:t>
      </w:r>
      <w:hyperlink r:id="rId8" w:tgtFrame="_blank" w:history="1">
        <w:r w:rsidRPr="00C9688D">
          <w:rPr>
            <w:sz w:val="24"/>
          </w:rPr>
          <w:t>银行</w:t>
        </w:r>
      </w:hyperlink>
      <w:r w:rsidRPr="00C9688D">
        <w:rPr>
          <w:rFonts w:ascii="宋体" w:hAnsi="宋体"/>
          <w:sz w:val="24"/>
        </w:rPr>
        <w:t>于1992年在国内率先推出国际保理业务，</w:t>
      </w:r>
      <w:r w:rsidRPr="00C9688D">
        <w:rPr>
          <w:rFonts w:ascii="宋体" w:hAnsi="宋体"/>
          <w:sz w:val="24"/>
        </w:rPr>
        <w:lastRenderedPageBreak/>
        <w:t>并于1993年加入FCI，成为FCI的正式成员。之后，交通银行和东方国际保理</w:t>
      </w:r>
      <w:hyperlink r:id="rId9" w:tgtFrame="_blank" w:history="1">
        <w:r w:rsidRPr="00C9688D">
          <w:rPr>
            <w:sz w:val="24"/>
          </w:rPr>
          <w:t>咨询</w:t>
        </w:r>
      </w:hyperlink>
      <w:r w:rsidRPr="00C9688D">
        <w:rPr>
          <w:rFonts w:ascii="宋体" w:hAnsi="宋体"/>
          <w:sz w:val="24"/>
        </w:rPr>
        <w:t>服务中心也陆续参与了此项业务。1995年5月，中国银行也启用了EDIFACT系统与美国、德国、英国、法国等17个国家和地区的保理公司进行业务往来，在信息传递上更加及时、准确。但是保理业务在中国的发展是很不稳定的，按照FCI 的统计，2001年中行、交行的保理业务额为4000万美元，2002年下降到1500万美元，2003年和2004年也分别为2000万美元。经过了十多年的发展，国际保理业务量只占我国结算量的很小比例。</w:t>
      </w:r>
    </w:p>
    <w:p w:rsidR="00C9688D" w:rsidRPr="00C9688D" w:rsidRDefault="00C9688D" w:rsidP="00C9688D">
      <w:pPr>
        <w:adjustRightInd w:val="0"/>
        <w:snapToGrid w:val="0"/>
        <w:spacing w:line="360" w:lineRule="auto"/>
        <w:ind w:firstLineChars="200" w:firstLine="480"/>
        <w:jc w:val="left"/>
        <w:rPr>
          <w:rFonts w:ascii="宋体" w:hAnsi="宋体"/>
          <w:sz w:val="24"/>
        </w:rPr>
      </w:pPr>
      <w:r w:rsidRPr="00C9688D">
        <w:rPr>
          <w:rFonts w:hint="eastAsia"/>
          <w:sz w:val="24"/>
        </w:rPr>
        <w:t>据世界银行统计发现，全球保理业务量与</w:t>
      </w:r>
      <w:r w:rsidRPr="00C9688D">
        <w:rPr>
          <w:rFonts w:hint="eastAsia"/>
          <w:sz w:val="24"/>
        </w:rPr>
        <w:t>GDP</w:t>
      </w:r>
      <w:r w:rsidRPr="00C9688D">
        <w:rPr>
          <w:rFonts w:hint="eastAsia"/>
          <w:sz w:val="24"/>
        </w:rPr>
        <w:t>之比约为</w:t>
      </w:r>
      <w:r w:rsidRPr="00C9688D">
        <w:rPr>
          <w:rFonts w:hint="eastAsia"/>
          <w:sz w:val="24"/>
        </w:rPr>
        <w:t>2.93%</w:t>
      </w:r>
      <w:r w:rsidRPr="00C9688D">
        <w:rPr>
          <w:rFonts w:hint="eastAsia"/>
          <w:sz w:val="24"/>
        </w:rPr>
        <w:t>，在保理业务相对发达的国家和地区，保理业务量可占</w:t>
      </w:r>
      <w:r w:rsidRPr="00C9688D">
        <w:rPr>
          <w:rFonts w:hint="eastAsia"/>
          <w:sz w:val="24"/>
        </w:rPr>
        <w:t xml:space="preserve"> GDP</w:t>
      </w:r>
      <w:r w:rsidRPr="00C9688D">
        <w:rPr>
          <w:rFonts w:hint="eastAsia"/>
          <w:sz w:val="24"/>
        </w:rPr>
        <w:t>的</w:t>
      </w:r>
      <w:r w:rsidRPr="00C9688D">
        <w:rPr>
          <w:rFonts w:hint="eastAsia"/>
          <w:sz w:val="24"/>
        </w:rPr>
        <w:t>6%</w:t>
      </w:r>
      <w:r w:rsidRPr="00C9688D">
        <w:rPr>
          <w:rFonts w:hint="eastAsia"/>
          <w:sz w:val="24"/>
        </w:rPr>
        <w:t>以上，英国、意大利、中国台湾甚至达到了</w:t>
      </w:r>
      <w:r w:rsidRPr="00C9688D">
        <w:rPr>
          <w:rFonts w:hint="eastAsia"/>
          <w:sz w:val="24"/>
        </w:rPr>
        <w:t>15%</w:t>
      </w:r>
      <w:r w:rsidRPr="00C9688D">
        <w:rPr>
          <w:rFonts w:hint="eastAsia"/>
          <w:sz w:val="24"/>
        </w:rPr>
        <w:t>。</w:t>
      </w:r>
      <w:r w:rsidRPr="00C9688D">
        <w:rPr>
          <w:rFonts w:hint="eastAsia"/>
          <w:sz w:val="24"/>
        </w:rPr>
        <w:t>2008</w:t>
      </w:r>
      <w:r w:rsidRPr="00C9688D">
        <w:rPr>
          <w:rFonts w:hint="eastAsia"/>
          <w:sz w:val="24"/>
        </w:rPr>
        <w:t>年，我国内地的保理业务量只占我国</w:t>
      </w:r>
      <w:r w:rsidRPr="00C9688D">
        <w:rPr>
          <w:rFonts w:hint="eastAsia"/>
          <w:sz w:val="24"/>
        </w:rPr>
        <w:t>GDP</w:t>
      </w:r>
      <w:r w:rsidRPr="00C9688D">
        <w:rPr>
          <w:rFonts w:hint="eastAsia"/>
          <w:sz w:val="24"/>
        </w:rPr>
        <w:t>的</w:t>
      </w:r>
      <w:r w:rsidRPr="00C9688D">
        <w:rPr>
          <w:rFonts w:hint="eastAsia"/>
          <w:sz w:val="24"/>
        </w:rPr>
        <w:t>1.78%</w:t>
      </w:r>
      <w:r w:rsidRPr="00C9688D">
        <w:rPr>
          <w:rFonts w:hint="eastAsia"/>
          <w:sz w:val="24"/>
        </w:rPr>
        <w:t>，表明其仍有广阔的发展空间。</w:t>
      </w:r>
    </w:p>
    <w:p w:rsidR="00EA0A1A" w:rsidRPr="00C9688D" w:rsidRDefault="00EA0A1A" w:rsidP="00257B37">
      <w:pPr>
        <w:adjustRightInd w:val="0"/>
        <w:snapToGrid w:val="0"/>
        <w:spacing w:line="360" w:lineRule="auto"/>
        <w:rPr>
          <w:rFonts w:ascii="宋体" w:hAnsi="宋体"/>
          <w:sz w:val="24"/>
        </w:rPr>
      </w:pPr>
    </w:p>
    <w:p w:rsidR="00A616E9" w:rsidRDefault="00A616E9" w:rsidP="00257B37">
      <w:pPr>
        <w:adjustRightInd w:val="0"/>
        <w:snapToGrid w:val="0"/>
        <w:spacing w:line="360" w:lineRule="auto"/>
        <w:rPr>
          <w:rFonts w:ascii="宋体" w:hAnsi="宋体"/>
          <w:sz w:val="24"/>
        </w:rPr>
      </w:pPr>
    </w:p>
    <w:p w:rsidR="00A616E9" w:rsidRDefault="00A616E9" w:rsidP="00257B37">
      <w:pPr>
        <w:adjustRightInd w:val="0"/>
        <w:snapToGrid w:val="0"/>
        <w:spacing w:line="360" w:lineRule="auto"/>
        <w:rPr>
          <w:rFonts w:ascii="宋体" w:hAnsi="宋体"/>
          <w:sz w:val="24"/>
        </w:rPr>
      </w:pPr>
    </w:p>
    <w:p w:rsidR="00A616E9" w:rsidRDefault="00A616E9" w:rsidP="00257B37">
      <w:pPr>
        <w:adjustRightInd w:val="0"/>
        <w:snapToGrid w:val="0"/>
        <w:spacing w:line="360" w:lineRule="auto"/>
        <w:rPr>
          <w:rFonts w:ascii="宋体" w:hAnsi="宋体"/>
          <w:sz w:val="24"/>
        </w:rPr>
      </w:pPr>
    </w:p>
    <w:p w:rsidR="00555856" w:rsidRDefault="00555856" w:rsidP="00257B37">
      <w:pPr>
        <w:adjustRightInd w:val="0"/>
        <w:snapToGrid w:val="0"/>
        <w:spacing w:line="360" w:lineRule="auto"/>
        <w:rPr>
          <w:rFonts w:ascii="宋体" w:hAnsi="宋体"/>
          <w:sz w:val="24"/>
        </w:rPr>
      </w:pPr>
    </w:p>
    <w:p w:rsidR="00555856" w:rsidRDefault="00555856" w:rsidP="00257B37">
      <w:pPr>
        <w:adjustRightInd w:val="0"/>
        <w:snapToGrid w:val="0"/>
        <w:spacing w:line="360" w:lineRule="auto"/>
        <w:rPr>
          <w:rFonts w:ascii="宋体" w:hAnsi="宋体"/>
          <w:sz w:val="24"/>
        </w:rPr>
      </w:pPr>
    </w:p>
    <w:p w:rsidR="00555856" w:rsidRDefault="00555856" w:rsidP="00257B37">
      <w:pPr>
        <w:adjustRightInd w:val="0"/>
        <w:snapToGrid w:val="0"/>
        <w:spacing w:line="360" w:lineRule="auto"/>
        <w:rPr>
          <w:rFonts w:ascii="宋体" w:hAnsi="宋体"/>
          <w:sz w:val="24"/>
        </w:rPr>
      </w:pPr>
    </w:p>
    <w:p w:rsidR="00555856" w:rsidRDefault="00555856" w:rsidP="00257B37">
      <w:pPr>
        <w:adjustRightInd w:val="0"/>
        <w:snapToGrid w:val="0"/>
        <w:spacing w:line="360" w:lineRule="auto"/>
        <w:rPr>
          <w:rFonts w:ascii="宋体" w:hAnsi="宋体"/>
          <w:sz w:val="24"/>
        </w:rPr>
      </w:pPr>
    </w:p>
    <w:p w:rsidR="00555856" w:rsidRDefault="00555856" w:rsidP="00257B37">
      <w:pPr>
        <w:adjustRightInd w:val="0"/>
        <w:snapToGrid w:val="0"/>
        <w:spacing w:line="360" w:lineRule="auto"/>
        <w:rPr>
          <w:rFonts w:ascii="宋体" w:hAnsi="宋体"/>
          <w:sz w:val="24"/>
        </w:rPr>
      </w:pPr>
    </w:p>
    <w:p w:rsidR="00555856" w:rsidRDefault="00555856" w:rsidP="00257B37">
      <w:pPr>
        <w:adjustRightInd w:val="0"/>
        <w:snapToGrid w:val="0"/>
        <w:spacing w:line="360" w:lineRule="auto"/>
        <w:rPr>
          <w:rFonts w:ascii="宋体" w:hAnsi="宋体"/>
          <w:sz w:val="24"/>
        </w:rPr>
      </w:pPr>
    </w:p>
    <w:p w:rsidR="00555856" w:rsidRDefault="00555856" w:rsidP="00257B37">
      <w:pPr>
        <w:adjustRightInd w:val="0"/>
        <w:snapToGrid w:val="0"/>
        <w:spacing w:line="360" w:lineRule="auto"/>
        <w:rPr>
          <w:rFonts w:ascii="宋体" w:hAnsi="宋体"/>
          <w:sz w:val="24"/>
        </w:rPr>
      </w:pPr>
    </w:p>
    <w:p w:rsidR="00555856" w:rsidRDefault="00555856" w:rsidP="00257B37">
      <w:pPr>
        <w:adjustRightInd w:val="0"/>
        <w:snapToGrid w:val="0"/>
        <w:spacing w:line="360" w:lineRule="auto"/>
        <w:rPr>
          <w:rFonts w:ascii="宋体" w:hAnsi="宋体"/>
          <w:sz w:val="24"/>
        </w:rPr>
      </w:pPr>
    </w:p>
    <w:p w:rsidR="00A616E9" w:rsidRPr="00D9347E" w:rsidRDefault="00A616E9" w:rsidP="00257B37">
      <w:pPr>
        <w:adjustRightInd w:val="0"/>
        <w:snapToGrid w:val="0"/>
        <w:spacing w:line="360" w:lineRule="auto"/>
        <w:rPr>
          <w:rFonts w:ascii="宋体" w:hAnsi="宋体"/>
          <w:sz w:val="24"/>
        </w:rPr>
      </w:pPr>
    </w:p>
    <w:sectPr w:rsidR="00A616E9" w:rsidRPr="00D9347E" w:rsidSect="004F6DE6">
      <w:footerReference w:type="even" r:id="rId10"/>
      <w:footerReference w:type="default" r:id="rId11"/>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B2A" w:rsidRDefault="00975B2A">
      <w:r>
        <w:separator/>
      </w:r>
    </w:p>
  </w:endnote>
  <w:endnote w:type="continuationSeparator" w:id="0">
    <w:p w:rsidR="00975B2A" w:rsidRDefault="0097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10002FF" w:usb1="4000ACFF" w:usb2="00000009" w:usb3="00000000" w:csb0="0000019F" w:csb1="00000000"/>
  </w:font>
  <w:font w:name="DLF-32769-4-564942781+ZETBIZ-36">
    <w:altName w:val="方正舒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616" w:rsidRDefault="00B35616" w:rsidP="006E56F3">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35616" w:rsidRDefault="00B35616" w:rsidP="004F6DE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616" w:rsidRDefault="00B35616" w:rsidP="006E56F3">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BC2C26">
      <w:rPr>
        <w:rStyle w:val="a6"/>
        <w:noProof/>
      </w:rPr>
      <w:t>2</w:t>
    </w:r>
    <w:r>
      <w:rPr>
        <w:rStyle w:val="a6"/>
      </w:rPr>
      <w:fldChar w:fldCharType="end"/>
    </w:r>
  </w:p>
  <w:p w:rsidR="00B35616" w:rsidRDefault="00B35616" w:rsidP="004F6DE6">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B2A" w:rsidRDefault="00975B2A">
      <w:r>
        <w:separator/>
      </w:r>
    </w:p>
  </w:footnote>
  <w:footnote w:type="continuationSeparator" w:id="0">
    <w:p w:rsidR="00975B2A" w:rsidRDefault="00975B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B0268"/>
    <w:multiLevelType w:val="hybridMultilevel"/>
    <w:tmpl w:val="963ABAE4"/>
    <w:lvl w:ilvl="0" w:tplc="FC62FD92">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1AF39FE"/>
    <w:multiLevelType w:val="hybridMultilevel"/>
    <w:tmpl w:val="F31E55BC"/>
    <w:lvl w:ilvl="0" w:tplc="6CFA46D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243633B"/>
    <w:multiLevelType w:val="hybridMultilevel"/>
    <w:tmpl w:val="2F1212E0"/>
    <w:lvl w:ilvl="0" w:tplc="87AAF6FA">
      <w:start w:val="1"/>
      <w:numFmt w:val="decimal"/>
      <w:lvlText w:val="%1、"/>
      <w:lvlJc w:val="left"/>
      <w:pPr>
        <w:tabs>
          <w:tab w:val="num" w:pos="360"/>
        </w:tabs>
        <w:ind w:left="360" w:hanging="360"/>
      </w:pPr>
      <w:rPr>
        <w:rFonts w:ascii="宋体" w:eastAsia="宋体" w:hAnsi="宋体" w:hint="default"/>
        <w:b/>
        <w:sz w:val="24"/>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D324627"/>
    <w:multiLevelType w:val="hybridMultilevel"/>
    <w:tmpl w:val="767E3EE8"/>
    <w:lvl w:ilvl="0" w:tplc="DD02243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DA57777"/>
    <w:multiLevelType w:val="hybridMultilevel"/>
    <w:tmpl w:val="0EF420EE"/>
    <w:lvl w:ilvl="0" w:tplc="970886C4">
      <w:start w:val="1"/>
      <w:numFmt w:val="decimal"/>
      <w:lvlText w:val="%1、"/>
      <w:lvlJc w:val="left"/>
      <w:pPr>
        <w:tabs>
          <w:tab w:val="num" w:pos="960"/>
        </w:tabs>
        <w:ind w:left="960" w:hanging="720"/>
      </w:pPr>
      <w:rPr>
        <w:rFonts w:ascii="宋体" w:eastAsia="宋体" w:hAnsi="宋体" w:hint="default"/>
        <w:b/>
        <w:sz w:val="24"/>
        <w:szCs w:val="24"/>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5">
    <w:nsid w:val="4EEA30E6"/>
    <w:multiLevelType w:val="hybridMultilevel"/>
    <w:tmpl w:val="9D9E4AF4"/>
    <w:lvl w:ilvl="0" w:tplc="FCEA6874">
      <w:start w:val="4"/>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C450439"/>
    <w:multiLevelType w:val="hybridMultilevel"/>
    <w:tmpl w:val="9C944AE2"/>
    <w:lvl w:ilvl="0" w:tplc="1B9E013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6BD3FEC"/>
    <w:multiLevelType w:val="hybridMultilevel"/>
    <w:tmpl w:val="7F28C520"/>
    <w:lvl w:ilvl="0" w:tplc="DA9082E8">
      <w:start w:val="1"/>
      <w:numFmt w:val="japaneseCounting"/>
      <w:lvlText w:val="%1、"/>
      <w:lvlJc w:val="left"/>
      <w:pPr>
        <w:tabs>
          <w:tab w:val="num" w:pos="420"/>
        </w:tabs>
        <w:ind w:left="420" w:hanging="420"/>
      </w:pPr>
      <w:rPr>
        <w:rFonts w:hint="default"/>
      </w:rPr>
    </w:lvl>
    <w:lvl w:ilvl="1" w:tplc="FB5CA62C">
      <w:start w:val="1"/>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D335950"/>
    <w:multiLevelType w:val="hybridMultilevel"/>
    <w:tmpl w:val="EF481C46"/>
    <w:lvl w:ilvl="0" w:tplc="F4561320">
      <w:start w:val="1"/>
      <w:numFmt w:val="decimal"/>
      <w:lvlText w:val="%1、"/>
      <w:lvlJc w:val="left"/>
      <w:pPr>
        <w:tabs>
          <w:tab w:val="num" w:pos="360"/>
        </w:tabs>
        <w:ind w:left="360" w:hanging="360"/>
      </w:pPr>
      <w:rPr>
        <w:rFonts w:ascii="宋体" w:eastAsia="宋体" w:hAnsi="宋体"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7"/>
  </w:num>
  <w:num w:numId="3">
    <w:abstractNumId w:val="6"/>
  </w:num>
  <w:num w:numId="4">
    <w:abstractNumId w:val="3"/>
  </w:num>
  <w:num w:numId="5">
    <w:abstractNumId w:val="5"/>
  </w:num>
  <w:num w:numId="6">
    <w:abstractNumId w:val="2"/>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47B"/>
    <w:rsid w:val="000D1294"/>
    <w:rsid w:val="00103C82"/>
    <w:rsid w:val="00150212"/>
    <w:rsid w:val="0018116F"/>
    <w:rsid w:val="001B1C0E"/>
    <w:rsid w:val="00257B37"/>
    <w:rsid w:val="002A1080"/>
    <w:rsid w:val="002F4C23"/>
    <w:rsid w:val="00410B6A"/>
    <w:rsid w:val="00461344"/>
    <w:rsid w:val="00461759"/>
    <w:rsid w:val="004F6DE6"/>
    <w:rsid w:val="00503268"/>
    <w:rsid w:val="00517449"/>
    <w:rsid w:val="00540029"/>
    <w:rsid w:val="00555856"/>
    <w:rsid w:val="005D0C05"/>
    <w:rsid w:val="006E56F3"/>
    <w:rsid w:val="00732E24"/>
    <w:rsid w:val="0085047B"/>
    <w:rsid w:val="008F2AF9"/>
    <w:rsid w:val="00975B2A"/>
    <w:rsid w:val="00A616E9"/>
    <w:rsid w:val="00AB4123"/>
    <w:rsid w:val="00B2084A"/>
    <w:rsid w:val="00B35616"/>
    <w:rsid w:val="00BC2C26"/>
    <w:rsid w:val="00BE2207"/>
    <w:rsid w:val="00C9688D"/>
    <w:rsid w:val="00CD1F79"/>
    <w:rsid w:val="00D16285"/>
    <w:rsid w:val="00D42394"/>
    <w:rsid w:val="00D9347E"/>
    <w:rsid w:val="00DC0C3E"/>
    <w:rsid w:val="00E1472C"/>
    <w:rsid w:val="00E667D1"/>
    <w:rsid w:val="00EA0A1A"/>
    <w:rsid w:val="00EF41B9"/>
    <w:rsid w:val="00EF71BC"/>
    <w:rsid w:val="00F131F9"/>
    <w:rsid w:val="00F7105C"/>
    <w:rsid w:val="00FD6C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rsid w:val="00461344"/>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461344"/>
    <w:pPr>
      <w:keepNext/>
      <w:keepLines/>
      <w:spacing w:before="260" w:after="260" w:line="413" w:lineRule="auto"/>
      <w:outlineLvl w:val="1"/>
    </w:pPr>
    <w:rPr>
      <w:rFonts w:ascii="Arial" w:eastAsia="黑体" w:hAnsi="Arial"/>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667D1"/>
    <w:rPr>
      <w:color w:val="0000FF"/>
      <w:u w:val="single"/>
    </w:rPr>
  </w:style>
  <w:style w:type="paragraph" w:styleId="a4">
    <w:name w:val="Normal (Web)"/>
    <w:basedOn w:val="a"/>
    <w:rsid w:val="00EA0A1A"/>
    <w:pPr>
      <w:widowControl/>
      <w:spacing w:before="100" w:beforeAutospacing="1" w:after="100" w:afterAutospacing="1"/>
      <w:jc w:val="left"/>
    </w:pPr>
    <w:rPr>
      <w:rFonts w:ascii="宋体" w:hAnsi="宋体" w:cs="宋体"/>
      <w:kern w:val="0"/>
      <w:sz w:val="24"/>
    </w:rPr>
  </w:style>
  <w:style w:type="character" w:customStyle="1" w:styleId="2Char">
    <w:name w:val="标题 2 Char"/>
    <w:link w:val="2"/>
    <w:rsid w:val="00461344"/>
    <w:rPr>
      <w:rFonts w:ascii="Arial" w:eastAsia="黑体" w:hAnsi="Arial"/>
      <w:b/>
      <w:kern w:val="2"/>
      <w:sz w:val="28"/>
      <w:lang w:val="en-US" w:eastAsia="zh-CN" w:bidi="ar-SA"/>
    </w:rPr>
  </w:style>
  <w:style w:type="paragraph" w:styleId="10">
    <w:name w:val="toc 1"/>
    <w:basedOn w:val="a"/>
    <w:next w:val="a"/>
    <w:autoRedefine/>
    <w:semiHidden/>
    <w:rsid w:val="00517449"/>
    <w:pPr>
      <w:tabs>
        <w:tab w:val="left" w:pos="840"/>
        <w:tab w:val="right" w:leader="dot" w:pos="8296"/>
      </w:tabs>
      <w:jc w:val="center"/>
    </w:pPr>
    <w:rPr>
      <w:b/>
    </w:rPr>
  </w:style>
  <w:style w:type="paragraph" w:styleId="20">
    <w:name w:val="toc 2"/>
    <w:basedOn w:val="a"/>
    <w:next w:val="a"/>
    <w:autoRedefine/>
    <w:semiHidden/>
    <w:rsid w:val="00150212"/>
    <w:pPr>
      <w:ind w:leftChars="200" w:left="420"/>
    </w:pPr>
  </w:style>
  <w:style w:type="paragraph" w:styleId="a5">
    <w:name w:val="footer"/>
    <w:basedOn w:val="a"/>
    <w:rsid w:val="004F6DE6"/>
    <w:pPr>
      <w:tabs>
        <w:tab w:val="center" w:pos="4153"/>
        <w:tab w:val="right" w:pos="8306"/>
      </w:tabs>
      <w:snapToGrid w:val="0"/>
      <w:jc w:val="left"/>
    </w:pPr>
    <w:rPr>
      <w:sz w:val="18"/>
      <w:szCs w:val="18"/>
    </w:rPr>
  </w:style>
  <w:style w:type="character" w:styleId="a6">
    <w:name w:val="page number"/>
    <w:basedOn w:val="a0"/>
    <w:rsid w:val="004F6DE6"/>
  </w:style>
  <w:style w:type="paragraph" w:styleId="a7">
    <w:name w:val="header"/>
    <w:basedOn w:val="a"/>
    <w:link w:val="Char"/>
    <w:rsid w:val="00BC2C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BC2C26"/>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rsid w:val="00461344"/>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461344"/>
    <w:pPr>
      <w:keepNext/>
      <w:keepLines/>
      <w:spacing w:before="260" w:after="260" w:line="413" w:lineRule="auto"/>
      <w:outlineLvl w:val="1"/>
    </w:pPr>
    <w:rPr>
      <w:rFonts w:ascii="Arial" w:eastAsia="黑体" w:hAnsi="Arial"/>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667D1"/>
    <w:rPr>
      <w:color w:val="0000FF"/>
      <w:u w:val="single"/>
    </w:rPr>
  </w:style>
  <w:style w:type="paragraph" w:styleId="a4">
    <w:name w:val="Normal (Web)"/>
    <w:basedOn w:val="a"/>
    <w:rsid w:val="00EA0A1A"/>
    <w:pPr>
      <w:widowControl/>
      <w:spacing w:before="100" w:beforeAutospacing="1" w:after="100" w:afterAutospacing="1"/>
      <w:jc w:val="left"/>
    </w:pPr>
    <w:rPr>
      <w:rFonts w:ascii="宋体" w:hAnsi="宋体" w:cs="宋体"/>
      <w:kern w:val="0"/>
      <w:sz w:val="24"/>
    </w:rPr>
  </w:style>
  <w:style w:type="character" w:customStyle="1" w:styleId="2Char">
    <w:name w:val="标题 2 Char"/>
    <w:link w:val="2"/>
    <w:rsid w:val="00461344"/>
    <w:rPr>
      <w:rFonts w:ascii="Arial" w:eastAsia="黑体" w:hAnsi="Arial"/>
      <w:b/>
      <w:kern w:val="2"/>
      <w:sz w:val="28"/>
      <w:lang w:val="en-US" w:eastAsia="zh-CN" w:bidi="ar-SA"/>
    </w:rPr>
  </w:style>
  <w:style w:type="paragraph" w:styleId="10">
    <w:name w:val="toc 1"/>
    <w:basedOn w:val="a"/>
    <w:next w:val="a"/>
    <w:autoRedefine/>
    <w:semiHidden/>
    <w:rsid w:val="00517449"/>
    <w:pPr>
      <w:tabs>
        <w:tab w:val="left" w:pos="840"/>
        <w:tab w:val="right" w:leader="dot" w:pos="8296"/>
      </w:tabs>
      <w:jc w:val="center"/>
    </w:pPr>
    <w:rPr>
      <w:b/>
    </w:rPr>
  </w:style>
  <w:style w:type="paragraph" w:styleId="20">
    <w:name w:val="toc 2"/>
    <w:basedOn w:val="a"/>
    <w:next w:val="a"/>
    <w:autoRedefine/>
    <w:semiHidden/>
    <w:rsid w:val="00150212"/>
    <w:pPr>
      <w:ind w:leftChars="200" w:left="420"/>
    </w:pPr>
  </w:style>
  <w:style w:type="paragraph" w:styleId="a5">
    <w:name w:val="footer"/>
    <w:basedOn w:val="a"/>
    <w:rsid w:val="004F6DE6"/>
    <w:pPr>
      <w:tabs>
        <w:tab w:val="center" w:pos="4153"/>
        <w:tab w:val="right" w:pos="8306"/>
      </w:tabs>
      <w:snapToGrid w:val="0"/>
      <w:jc w:val="left"/>
    </w:pPr>
    <w:rPr>
      <w:sz w:val="18"/>
      <w:szCs w:val="18"/>
    </w:rPr>
  </w:style>
  <w:style w:type="character" w:styleId="a6">
    <w:name w:val="page number"/>
    <w:basedOn w:val="a0"/>
    <w:rsid w:val="004F6DE6"/>
  </w:style>
  <w:style w:type="paragraph" w:styleId="a7">
    <w:name w:val="header"/>
    <w:basedOn w:val="a"/>
    <w:link w:val="Char"/>
    <w:rsid w:val="00BC2C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BC2C2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84511">
      <w:bodyDiv w:val="1"/>
      <w:marLeft w:val="0"/>
      <w:marRight w:val="0"/>
      <w:marTop w:val="0"/>
      <w:marBottom w:val="0"/>
      <w:divBdr>
        <w:top w:val="none" w:sz="0" w:space="0" w:color="auto"/>
        <w:left w:val="none" w:sz="0" w:space="0" w:color="auto"/>
        <w:bottom w:val="none" w:sz="0" w:space="0" w:color="auto"/>
        <w:right w:val="none" w:sz="0" w:space="0" w:color="auto"/>
      </w:divBdr>
      <w:divsChild>
        <w:div w:id="1917081793">
          <w:marLeft w:val="0"/>
          <w:marRight w:val="0"/>
          <w:marTop w:val="0"/>
          <w:marBottom w:val="0"/>
          <w:divBdr>
            <w:top w:val="none" w:sz="0" w:space="0" w:color="auto"/>
            <w:left w:val="none" w:sz="0" w:space="0" w:color="auto"/>
            <w:bottom w:val="none" w:sz="0" w:space="0" w:color="auto"/>
            <w:right w:val="none" w:sz="0" w:space="0" w:color="auto"/>
          </w:divBdr>
          <w:divsChild>
            <w:div w:id="2030527057">
              <w:marLeft w:val="0"/>
              <w:marRight w:val="0"/>
              <w:marTop w:val="0"/>
              <w:marBottom w:val="0"/>
              <w:divBdr>
                <w:top w:val="none" w:sz="0" w:space="0" w:color="auto"/>
                <w:left w:val="none" w:sz="0" w:space="0" w:color="auto"/>
                <w:bottom w:val="none" w:sz="0" w:space="0" w:color="auto"/>
                <w:right w:val="none" w:sz="0" w:space="0" w:color="auto"/>
              </w:divBdr>
              <w:divsChild>
                <w:div w:id="1583367740">
                  <w:marLeft w:val="0"/>
                  <w:marRight w:val="0"/>
                  <w:marTop w:val="0"/>
                  <w:marBottom w:val="0"/>
                  <w:divBdr>
                    <w:top w:val="none" w:sz="0" w:space="0" w:color="auto"/>
                    <w:left w:val="none" w:sz="0" w:space="0" w:color="auto"/>
                    <w:bottom w:val="none" w:sz="0" w:space="0" w:color="auto"/>
                    <w:right w:val="none" w:sz="0" w:space="0" w:color="auto"/>
                  </w:divBdr>
                  <w:divsChild>
                    <w:div w:id="1926069262">
                      <w:marLeft w:val="0"/>
                      <w:marRight w:val="0"/>
                      <w:marTop w:val="210"/>
                      <w:marBottom w:val="0"/>
                      <w:divBdr>
                        <w:top w:val="none" w:sz="0" w:space="0" w:color="auto"/>
                        <w:left w:val="none" w:sz="0" w:space="0" w:color="auto"/>
                        <w:bottom w:val="none" w:sz="0" w:space="0" w:color="auto"/>
                        <w:right w:val="none" w:sz="0" w:space="0" w:color="auto"/>
                      </w:divBdr>
                      <w:divsChild>
                        <w:div w:id="1825776619">
                          <w:marLeft w:val="0"/>
                          <w:marRight w:val="0"/>
                          <w:marTop w:val="0"/>
                          <w:marBottom w:val="0"/>
                          <w:divBdr>
                            <w:top w:val="none" w:sz="0" w:space="0" w:color="auto"/>
                            <w:left w:val="none" w:sz="0" w:space="0" w:color="auto"/>
                            <w:bottom w:val="none" w:sz="0" w:space="0" w:color="auto"/>
                            <w:right w:val="none" w:sz="0" w:space="0" w:color="auto"/>
                          </w:divBdr>
                          <w:divsChild>
                            <w:div w:id="1546453882">
                              <w:marLeft w:val="0"/>
                              <w:marRight w:val="0"/>
                              <w:marTop w:val="0"/>
                              <w:marBottom w:val="0"/>
                              <w:divBdr>
                                <w:top w:val="none" w:sz="0" w:space="0" w:color="auto"/>
                                <w:left w:val="none" w:sz="0" w:space="0" w:color="auto"/>
                                <w:bottom w:val="none" w:sz="0" w:space="0" w:color="auto"/>
                                <w:right w:val="none" w:sz="0" w:space="0" w:color="auto"/>
                              </w:divBdr>
                              <w:divsChild>
                                <w:div w:id="1341421539">
                                  <w:marLeft w:val="0"/>
                                  <w:marRight w:val="0"/>
                                  <w:marTop w:val="0"/>
                                  <w:marBottom w:val="0"/>
                                  <w:divBdr>
                                    <w:top w:val="none" w:sz="0" w:space="0" w:color="auto"/>
                                    <w:left w:val="none" w:sz="0" w:space="0" w:color="auto"/>
                                    <w:bottom w:val="none" w:sz="0" w:space="0" w:color="auto"/>
                                    <w:right w:val="none" w:sz="0" w:space="0" w:color="auto"/>
                                  </w:divBdr>
                                  <w:divsChild>
                                    <w:div w:id="824861628">
                                      <w:marLeft w:val="0"/>
                                      <w:marRight w:val="0"/>
                                      <w:marTop w:val="0"/>
                                      <w:marBottom w:val="450"/>
                                      <w:divBdr>
                                        <w:top w:val="none" w:sz="0" w:space="0" w:color="auto"/>
                                        <w:left w:val="none" w:sz="0" w:space="0" w:color="auto"/>
                                        <w:bottom w:val="none" w:sz="0" w:space="0" w:color="auto"/>
                                        <w:right w:val="none" w:sz="0" w:space="0" w:color="auto"/>
                                      </w:divBdr>
                                      <w:divsChild>
                                        <w:div w:id="127551851">
                                          <w:marLeft w:val="0"/>
                                          <w:marRight w:val="0"/>
                                          <w:marTop w:val="0"/>
                                          <w:marBottom w:val="0"/>
                                          <w:divBdr>
                                            <w:top w:val="none" w:sz="0" w:space="0" w:color="auto"/>
                                            <w:left w:val="none" w:sz="0" w:space="0" w:color="auto"/>
                                            <w:bottom w:val="none" w:sz="0" w:space="0" w:color="auto"/>
                                            <w:right w:val="none" w:sz="0" w:space="0" w:color="auto"/>
                                          </w:divBdr>
                                          <w:divsChild>
                                            <w:div w:id="76468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98360">
      <w:bodyDiv w:val="1"/>
      <w:marLeft w:val="0"/>
      <w:marRight w:val="0"/>
      <w:marTop w:val="0"/>
      <w:marBottom w:val="0"/>
      <w:divBdr>
        <w:top w:val="none" w:sz="0" w:space="0" w:color="auto"/>
        <w:left w:val="none" w:sz="0" w:space="0" w:color="auto"/>
        <w:bottom w:val="none" w:sz="0" w:space="0" w:color="auto"/>
        <w:right w:val="none" w:sz="0" w:space="0" w:color="auto"/>
      </w:divBdr>
      <w:divsChild>
        <w:div w:id="33896425">
          <w:marLeft w:val="0"/>
          <w:marRight w:val="0"/>
          <w:marTop w:val="0"/>
          <w:marBottom w:val="0"/>
          <w:divBdr>
            <w:top w:val="none" w:sz="0" w:space="0" w:color="auto"/>
            <w:left w:val="none" w:sz="0" w:space="0" w:color="auto"/>
            <w:bottom w:val="none" w:sz="0" w:space="0" w:color="auto"/>
            <w:right w:val="none" w:sz="0" w:space="0" w:color="auto"/>
          </w:divBdr>
        </w:div>
      </w:divsChild>
    </w:div>
    <w:div w:id="774448226">
      <w:bodyDiv w:val="1"/>
      <w:marLeft w:val="0"/>
      <w:marRight w:val="0"/>
      <w:marTop w:val="0"/>
      <w:marBottom w:val="0"/>
      <w:divBdr>
        <w:top w:val="none" w:sz="0" w:space="0" w:color="auto"/>
        <w:left w:val="none" w:sz="0" w:space="0" w:color="auto"/>
        <w:bottom w:val="none" w:sz="0" w:space="0" w:color="auto"/>
        <w:right w:val="none" w:sz="0" w:space="0" w:color="auto"/>
      </w:divBdr>
      <w:divsChild>
        <w:div w:id="70854533">
          <w:marLeft w:val="0"/>
          <w:marRight w:val="0"/>
          <w:marTop w:val="0"/>
          <w:marBottom w:val="0"/>
          <w:divBdr>
            <w:top w:val="none" w:sz="0" w:space="0" w:color="auto"/>
            <w:left w:val="none" w:sz="0" w:space="0" w:color="auto"/>
            <w:bottom w:val="none" w:sz="0" w:space="0" w:color="auto"/>
            <w:right w:val="none" w:sz="0" w:space="0" w:color="auto"/>
          </w:divBdr>
        </w:div>
      </w:divsChild>
    </w:div>
    <w:div w:id="1366057834">
      <w:bodyDiv w:val="1"/>
      <w:marLeft w:val="0"/>
      <w:marRight w:val="0"/>
      <w:marTop w:val="0"/>
      <w:marBottom w:val="0"/>
      <w:divBdr>
        <w:top w:val="none" w:sz="0" w:space="0" w:color="auto"/>
        <w:left w:val="none" w:sz="0" w:space="0" w:color="auto"/>
        <w:bottom w:val="none" w:sz="0" w:space="0" w:color="auto"/>
        <w:right w:val="none" w:sz="0" w:space="0" w:color="auto"/>
      </w:divBdr>
      <w:divsChild>
        <w:div w:id="1217857582">
          <w:marLeft w:val="0"/>
          <w:marRight w:val="0"/>
          <w:marTop w:val="0"/>
          <w:marBottom w:val="0"/>
          <w:divBdr>
            <w:top w:val="none" w:sz="0" w:space="0" w:color="auto"/>
            <w:left w:val="none" w:sz="0" w:space="0" w:color="auto"/>
            <w:bottom w:val="none" w:sz="0" w:space="0" w:color="auto"/>
            <w:right w:val="none" w:sz="0" w:space="0" w:color="auto"/>
          </w:divBdr>
          <w:divsChild>
            <w:div w:id="1159156744">
              <w:marLeft w:val="0"/>
              <w:marRight w:val="0"/>
              <w:marTop w:val="0"/>
              <w:marBottom w:val="0"/>
              <w:divBdr>
                <w:top w:val="none" w:sz="0" w:space="0" w:color="auto"/>
                <w:left w:val="none" w:sz="0" w:space="0" w:color="auto"/>
                <w:bottom w:val="none" w:sz="0" w:space="0" w:color="auto"/>
                <w:right w:val="none" w:sz="0" w:space="0" w:color="auto"/>
              </w:divBdr>
              <w:divsChild>
                <w:div w:id="571350440">
                  <w:marLeft w:val="0"/>
                  <w:marRight w:val="0"/>
                  <w:marTop w:val="0"/>
                  <w:marBottom w:val="0"/>
                  <w:divBdr>
                    <w:top w:val="none" w:sz="0" w:space="0" w:color="auto"/>
                    <w:left w:val="none" w:sz="0" w:space="0" w:color="auto"/>
                    <w:bottom w:val="none" w:sz="0" w:space="0" w:color="auto"/>
                    <w:right w:val="none" w:sz="0" w:space="0" w:color="auto"/>
                  </w:divBdr>
                  <w:divsChild>
                    <w:div w:id="1503274584">
                      <w:marLeft w:val="0"/>
                      <w:marRight w:val="0"/>
                      <w:marTop w:val="210"/>
                      <w:marBottom w:val="0"/>
                      <w:divBdr>
                        <w:top w:val="none" w:sz="0" w:space="0" w:color="auto"/>
                        <w:left w:val="none" w:sz="0" w:space="0" w:color="auto"/>
                        <w:bottom w:val="none" w:sz="0" w:space="0" w:color="auto"/>
                        <w:right w:val="none" w:sz="0" w:space="0" w:color="auto"/>
                      </w:divBdr>
                      <w:divsChild>
                        <w:div w:id="391849378">
                          <w:marLeft w:val="0"/>
                          <w:marRight w:val="0"/>
                          <w:marTop w:val="0"/>
                          <w:marBottom w:val="0"/>
                          <w:divBdr>
                            <w:top w:val="none" w:sz="0" w:space="0" w:color="auto"/>
                            <w:left w:val="none" w:sz="0" w:space="0" w:color="auto"/>
                            <w:bottom w:val="none" w:sz="0" w:space="0" w:color="auto"/>
                            <w:right w:val="none" w:sz="0" w:space="0" w:color="auto"/>
                          </w:divBdr>
                          <w:divsChild>
                            <w:div w:id="1851917843">
                              <w:marLeft w:val="0"/>
                              <w:marRight w:val="0"/>
                              <w:marTop w:val="0"/>
                              <w:marBottom w:val="0"/>
                              <w:divBdr>
                                <w:top w:val="none" w:sz="0" w:space="0" w:color="auto"/>
                                <w:left w:val="none" w:sz="0" w:space="0" w:color="auto"/>
                                <w:bottom w:val="none" w:sz="0" w:space="0" w:color="auto"/>
                                <w:right w:val="none" w:sz="0" w:space="0" w:color="auto"/>
                              </w:divBdr>
                              <w:divsChild>
                                <w:div w:id="2124834966">
                                  <w:marLeft w:val="0"/>
                                  <w:marRight w:val="0"/>
                                  <w:marTop w:val="0"/>
                                  <w:marBottom w:val="0"/>
                                  <w:divBdr>
                                    <w:top w:val="none" w:sz="0" w:space="0" w:color="auto"/>
                                    <w:left w:val="none" w:sz="0" w:space="0" w:color="auto"/>
                                    <w:bottom w:val="none" w:sz="0" w:space="0" w:color="auto"/>
                                    <w:right w:val="none" w:sz="0" w:space="0" w:color="auto"/>
                                  </w:divBdr>
                                  <w:divsChild>
                                    <w:div w:id="1180389949">
                                      <w:marLeft w:val="0"/>
                                      <w:marRight w:val="0"/>
                                      <w:marTop w:val="0"/>
                                      <w:marBottom w:val="450"/>
                                      <w:divBdr>
                                        <w:top w:val="none" w:sz="0" w:space="0" w:color="auto"/>
                                        <w:left w:val="none" w:sz="0" w:space="0" w:color="auto"/>
                                        <w:bottom w:val="none" w:sz="0" w:space="0" w:color="auto"/>
                                        <w:right w:val="none" w:sz="0" w:space="0" w:color="auto"/>
                                      </w:divBdr>
                                      <w:divsChild>
                                        <w:div w:id="231236593">
                                          <w:marLeft w:val="0"/>
                                          <w:marRight w:val="0"/>
                                          <w:marTop w:val="0"/>
                                          <w:marBottom w:val="0"/>
                                          <w:divBdr>
                                            <w:top w:val="none" w:sz="0" w:space="0" w:color="auto"/>
                                            <w:left w:val="none" w:sz="0" w:space="0" w:color="auto"/>
                                            <w:bottom w:val="none" w:sz="0" w:space="0" w:color="auto"/>
                                            <w:right w:val="none" w:sz="0" w:space="0" w:color="auto"/>
                                          </w:divBdr>
                                          <w:divsChild>
                                            <w:div w:id="74514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8501436">
      <w:bodyDiv w:val="1"/>
      <w:marLeft w:val="0"/>
      <w:marRight w:val="0"/>
      <w:marTop w:val="0"/>
      <w:marBottom w:val="0"/>
      <w:divBdr>
        <w:top w:val="none" w:sz="0" w:space="0" w:color="auto"/>
        <w:left w:val="none" w:sz="0" w:space="0" w:color="auto"/>
        <w:bottom w:val="none" w:sz="0" w:space="0" w:color="auto"/>
        <w:right w:val="none" w:sz="0" w:space="0" w:color="auto"/>
      </w:divBdr>
      <w:divsChild>
        <w:div w:id="1461611793">
          <w:marLeft w:val="0"/>
          <w:marRight w:val="0"/>
          <w:marTop w:val="0"/>
          <w:marBottom w:val="0"/>
          <w:divBdr>
            <w:top w:val="none" w:sz="0" w:space="0" w:color="auto"/>
            <w:left w:val="none" w:sz="0" w:space="0" w:color="auto"/>
            <w:bottom w:val="none" w:sz="0" w:space="0" w:color="auto"/>
            <w:right w:val="none" w:sz="0" w:space="0" w:color="auto"/>
          </w:divBdr>
          <w:divsChild>
            <w:div w:id="1861047387">
              <w:marLeft w:val="0"/>
              <w:marRight w:val="0"/>
              <w:marTop w:val="0"/>
              <w:marBottom w:val="0"/>
              <w:divBdr>
                <w:top w:val="none" w:sz="0" w:space="0" w:color="auto"/>
                <w:left w:val="none" w:sz="0" w:space="0" w:color="auto"/>
                <w:bottom w:val="none" w:sz="0" w:space="0" w:color="auto"/>
                <w:right w:val="none" w:sz="0" w:space="0" w:color="auto"/>
              </w:divBdr>
              <w:divsChild>
                <w:div w:id="1240402621">
                  <w:marLeft w:val="0"/>
                  <w:marRight w:val="0"/>
                  <w:marTop w:val="0"/>
                  <w:marBottom w:val="0"/>
                  <w:divBdr>
                    <w:top w:val="none" w:sz="0" w:space="0" w:color="auto"/>
                    <w:left w:val="none" w:sz="0" w:space="0" w:color="auto"/>
                    <w:bottom w:val="none" w:sz="0" w:space="0" w:color="auto"/>
                    <w:right w:val="none" w:sz="0" w:space="0" w:color="auto"/>
                  </w:divBdr>
                  <w:divsChild>
                    <w:div w:id="76685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115093">
      <w:bodyDiv w:val="1"/>
      <w:marLeft w:val="0"/>
      <w:marRight w:val="0"/>
      <w:marTop w:val="0"/>
      <w:marBottom w:val="0"/>
      <w:divBdr>
        <w:top w:val="none" w:sz="0" w:space="0" w:color="auto"/>
        <w:left w:val="none" w:sz="0" w:space="0" w:color="auto"/>
        <w:bottom w:val="none" w:sz="0" w:space="0" w:color="auto"/>
        <w:right w:val="none" w:sz="0" w:space="0" w:color="auto"/>
      </w:divBdr>
      <w:divsChild>
        <w:div w:id="302464754">
          <w:marLeft w:val="0"/>
          <w:marRight w:val="0"/>
          <w:marTop w:val="0"/>
          <w:marBottom w:val="0"/>
          <w:divBdr>
            <w:top w:val="none" w:sz="0" w:space="0" w:color="auto"/>
            <w:left w:val="none" w:sz="0" w:space="0" w:color="auto"/>
            <w:bottom w:val="none" w:sz="0" w:space="0" w:color="auto"/>
            <w:right w:val="none" w:sz="0" w:space="0" w:color="auto"/>
          </w:divBdr>
          <w:divsChild>
            <w:div w:id="1368487888">
              <w:marLeft w:val="0"/>
              <w:marRight w:val="0"/>
              <w:marTop w:val="0"/>
              <w:marBottom w:val="0"/>
              <w:divBdr>
                <w:top w:val="none" w:sz="0" w:space="0" w:color="auto"/>
                <w:left w:val="none" w:sz="0" w:space="0" w:color="auto"/>
                <w:bottom w:val="none" w:sz="0" w:space="0" w:color="auto"/>
                <w:right w:val="none" w:sz="0" w:space="0" w:color="auto"/>
              </w:divBdr>
              <w:divsChild>
                <w:div w:id="1013996025">
                  <w:marLeft w:val="0"/>
                  <w:marRight w:val="0"/>
                  <w:marTop w:val="0"/>
                  <w:marBottom w:val="0"/>
                  <w:divBdr>
                    <w:top w:val="none" w:sz="0" w:space="0" w:color="auto"/>
                    <w:left w:val="none" w:sz="0" w:space="0" w:color="auto"/>
                    <w:bottom w:val="none" w:sz="0" w:space="0" w:color="auto"/>
                    <w:right w:val="none" w:sz="0" w:space="0" w:color="auto"/>
                  </w:divBdr>
                  <w:divsChild>
                    <w:div w:id="75806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naacc.com/wangxiao/ccbp/"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inaacc.com/wangxiao/zixu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1834</Words>
  <Characters>10456</Characters>
  <Application>Microsoft Office Word</Application>
  <DocSecurity>0</DocSecurity>
  <Lines>87</Lines>
  <Paragraphs>24</Paragraphs>
  <ScaleCrop>false</ScaleCrop>
  <Company>HNA</Company>
  <LinksUpToDate>false</LinksUpToDate>
  <CharactersWithSpaces>12266</CharactersWithSpaces>
  <SharedDoc>false</SharedDoc>
  <HLinks>
    <vt:vector size="12" baseType="variant">
      <vt:variant>
        <vt:i4>2162793</vt:i4>
      </vt:variant>
      <vt:variant>
        <vt:i4>78</vt:i4>
      </vt:variant>
      <vt:variant>
        <vt:i4>0</vt:i4>
      </vt:variant>
      <vt:variant>
        <vt:i4>5</vt:i4>
      </vt:variant>
      <vt:variant>
        <vt:lpwstr>http://www.chinaacc.com/wangxiao/zixun/</vt:lpwstr>
      </vt:variant>
      <vt:variant>
        <vt:lpwstr/>
      </vt:variant>
      <vt:variant>
        <vt:i4>6488166</vt:i4>
      </vt:variant>
      <vt:variant>
        <vt:i4>75</vt:i4>
      </vt:variant>
      <vt:variant>
        <vt:i4>0</vt:i4>
      </vt:variant>
      <vt:variant>
        <vt:i4>5</vt:i4>
      </vt:variant>
      <vt:variant>
        <vt:lpwstr>http://www.chinaacc.com/wangxiao/ccbp/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张艳坤</cp:lastModifiedBy>
  <cp:revision>3</cp:revision>
  <dcterms:created xsi:type="dcterms:W3CDTF">2013-02-27T13:45:00Z</dcterms:created>
  <dcterms:modified xsi:type="dcterms:W3CDTF">2013-02-28T02:31:00Z</dcterms:modified>
</cp:coreProperties>
</file>