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75A" w:rsidRDefault="009E16CE">
      <w:r>
        <w:rPr>
          <w:rFonts w:ascii="simsun" w:hAnsi="simsun"/>
          <w:color w:val="323E32"/>
          <w:szCs w:val="21"/>
        </w:rPr>
        <w:t>融资租赁资产作为企业取得对资产控制权的一种方式</w:t>
      </w:r>
      <w:bookmarkStart w:id="0" w:name="_GoBack"/>
      <w:bookmarkEnd w:id="0"/>
      <w:r>
        <w:rPr>
          <w:rFonts w:ascii="simsun" w:hAnsi="simsun"/>
          <w:color w:val="323E32"/>
          <w:szCs w:val="21"/>
        </w:rPr>
        <w:t>，在资产评估中有时会碰到。但在大量有关资产评估的论著中，对融资租赁资产进行讨论的并不多，即使有的论著述及了融资租赁资产，也不够系统深入。笔者在工作中涉及过融资租赁资产的评估，下面谈谈笔者对融资租赁资产评估的思考。</w:t>
      </w:r>
      <w:r>
        <w:rPr>
          <w:rFonts w:ascii="simsun" w:hAnsi="simsun"/>
          <w:color w:val="323E32"/>
          <w:szCs w:val="21"/>
        </w:rPr>
        <w:br/>
      </w:r>
      <w:r>
        <w:rPr>
          <w:rFonts w:ascii="simsun" w:hAnsi="simsun"/>
          <w:color w:val="323E32"/>
          <w:szCs w:val="21"/>
        </w:rPr>
        <w:br/>
      </w:r>
      <w:r w:rsidRPr="00BF3EA4">
        <w:rPr>
          <w:rFonts w:ascii="simsun" w:hAnsi="simsun"/>
          <w:b/>
          <w:color w:val="323E32"/>
          <w:szCs w:val="21"/>
        </w:rPr>
        <w:t xml:space="preserve">　　一、融资租赁资产的性质</w:t>
      </w:r>
      <w:r w:rsidRPr="00BF3EA4">
        <w:rPr>
          <w:rFonts w:ascii="simsun" w:hAnsi="simsun"/>
          <w:b/>
          <w:color w:val="323E32"/>
          <w:szCs w:val="21"/>
        </w:rPr>
        <w:br/>
      </w:r>
      <w:r>
        <w:rPr>
          <w:rFonts w:ascii="simsun" w:hAnsi="simsun"/>
          <w:color w:val="323E32"/>
          <w:szCs w:val="21"/>
        </w:rPr>
        <w:br/>
      </w:r>
      <w:r>
        <w:rPr>
          <w:rFonts w:ascii="simsun" w:hAnsi="simsun"/>
          <w:color w:val="323E32"/>
          <w:szCs w:val="21"/>
        </w:rPr>
        <w:t xml:space="preserve">　　融资租赁按承租方最终能否取得承租资产的所有权可分为两种，一种是在承租期满后，资产所有权转给承租方；另一种是在租赁期满后，出租方将资产收回。</w:t>
      </w:r>
      <w:r>
        <w:rPr>
          <w:rFonts w:ascii="simsun" w:hAnsi="simsun"/>
          <w:color w:val="323E32"/>
          <w:szCs w:val="21"/>
        </w:rPr>
        <w:br/>
      </w:r>
      <w:r>
        <w:rPr>
          <w:rFonts w:ascii="simsun" w:hAnsi="simsun"/>
          <w:color w:val="323E32"/>
          <w:szCs w:val="21"/>
        </w:rPr>
        <w:br/>
      </w:r>
      <w:r>
        <w:rPr>
          <w:rFonts w:ascii="simsun" w:hAnsi="simsun"/>
          <w:color w:val="323E32"/>
          <w:szCs w:val="21"/>
        </w:rPr>
        <w:t xml:space="preserve">　　在第一种方式下，融资租赁有些像分期付款，但不完全一样。融资租赁只是在租赁期满后才取得资产的所有权，而分期付款取得的资产在一开始就拥有资产的所有权。正是这种差别，使融资租赁资产不宜作为固定资产评估，而应作为无形资产</w:t>
      </w:r>
      <w:r>
        <w:rPr>
          <w:rFonts w:ascii="simsun" w:hAnsi="simsun"/>
          <w:color w:val="323E32"/>
          <w:szCs w:val="21"/>
        </w:rPr>
        <w:t>——</w:t>
      </w:r>
      <w:r>
        <w:rPr>
          <w:rFonts w:ascii="simsun" w:hAnsi="simsun"/>
          <w:color w:val="323E32"/>
          <w:szCs w:val="21"/>
        </w:rPr>
        <w:t>租赁合同权益来评估。因为在租赁期满之前，承租方还没有取得资产的所有权，只有将其权益列为无形资产，才能恰当地反映被评估资产的形态。此外，由于合同还未执行完毕，在合同的剩余期限内，还存在合同不能履行、承租方最终得不到资产所有权的风险。而只有将融资租赁资产作为无形资产评估，才能更好地考虑到这种风险。在多数情况下，融资租赁合同已经执行了一段时间，承租方已经支付了一些融资租赁费。这些已付的租赁费在经过调整后可以列入资产，但</w:t>
      </w:r>
      <w:r>
        <w:rPr>
          <w:rFonts w:ascii="simsun" w:hAnsi="simsun"/>
          <w:color w:val="323E32"/>
          <w:szCs w:val="21"/>
        </w:rPr>
        <w:t xml:space="preserve"> 387</w:t>
      </w:r>
      <w:r>
        <w:rPr>
          <w:rFonts w:ascii="simsun" w:hAnsi="simsun"/>
          <w:color w:val="323E32"/>
          <w:szCs w:val="21"/>
        </w:rPr>
        <w:t>未付的租赁费不应列入资产，应付的租赁费也不应再列入负债。此处将已付的租赁费看作资产，但并不是固定资产。已付的租赁费除了在支付的当期为承租方带来收益外，在合同期满取得该资产的所有权后仍能为承租方带来收益。已付的租赁费应该看作是为取得上述收益的权利而付出的代价，是无形资产。</w:t>
      </w:r>
      <w:r>
        <w:rPr>
          <w:rFonts w:ascii="simsun" w:hAnsi="simsun"/>
          <w:color w:val="323E32"/>
          <w:szCs w:val="21"/>
        </w:rPr>
        <w:br/>
      </w:r>
      <w:r>
        <w:rPr>
          <w:rFonts w:ascii="simsun" w:hAnsi="simsun"/>
          <w:color w:val="323E32"/>
          <w:szCs w:val="21"/>
        </w:rPr>
        <w:br/>
      </w:r>
      <w:r>
        <w:rPr>
          <w:rFonts w:ascii="simsun" w:hAnsi="simsun"/>
          <w:color w:val="323E32"/>
          <w:szCs w:val="21"/>
        </w:rPr>
        <w:t xml:space="preserve">　　在第二种方式下，融资租赁类似经营租赁，只是期限较长。这里，融资租赁合同只是一种权益，只能作为无形资产来评估。因而，既不能将已付和未付的融资租赁费作为资产，也不能将应付的融资租赁费作为负债。</w:t>
      </w:r>
      <w:r>
        <w:rPr>
          <w:rFonts w:ascii="simsun" w:hAnsi="simsun"/>
          <w:color w:val="323E32"/>
          <w:szCs w:val="21"/>
        </w:rPr>
        <w:br/>
      </w:r>
      <w:r>
        <w:rPr>
          <w:rFonts w:ascii="simsun" w:hAnsi="simsun"/>
          <w:color w:val="323E32"/>
          <w:szCs w:val="21"/>
        </w:rPr>
        <w:br/>
      </w:r>
      <w:r w:rsidRPr="00E13ADC">
        <w:rPr>
          <w:rFonts w:ascii="simsun" w:hAnsi="simsun"/>
          <w:b/>
          <w:color w:val="323E32"/>
          <w:szCs w:val="21"/>
        </w:rPr>
        <w:t xml:space="preserve">　　二、评估方法的选择</w:t>
      </w:r>
      <w:r w:rsidRPr="00E13ADC">
        <w:rPr>
          <w:rFonts w:ascii="simsun" w:hAnsi="simsun"/>
          <w:b/>
          <w:color w:val="323E32"/>
          <w:szCs w:val="21"/>
        </w:rPr>
        <w:br/>
      </w:r>
      <w:r>
        <w:rPr>
          <w:rFonts w:ascii="simsun" w:hAnsi="simsun"/>
          <w:color w:val="323E32"/>
          <w:szCs w:val="21"/>
        </w:rPr>
        <w:br/>
      </w:r>
      <w:r>
        <w:rPr>
          <w:rFonts w:ascii="simsun" w:hAnsi="simsun"/>
          <w:color w:val="323E32"/>
          <w:szCs w:val="21"/>
        </w:rPr>
        <w:t xml:space="preserve">　　评估融资租赁合同权益的基本方法为收益法，具体可分为预期收益法和成本节约额法。当难以重新取得新的相同资产的融资租赁合同时，原融资租赁合同是不可替代的，这时就应用预期收益法进行评估，将利用该合同所取得的收益扣除为取得和履行该合同所需支付的费用之后的净现值作为该合同的价值。（在评估实务中，有时虽然原融资租赁合同并不是不可替代的，但要得到相关信息比较困难，这时也可使用预期收益进行评估）。当能够通过签订新的融资租赁合同取得相同的资产时，就应用成本节约额法进行评估，将新合同与原合同之间价格差异的现值作为该合同的价值。</w:t>
      </w:r>
      <w:r>
        <w:rPr>
          <w:rFonts w:ascii="simsun" w:hAnsi="simsun"/>
          <w:color w:val="323E32"/>
          <w:szCs w:val="21"/>
        </w:rPr>
        <w:br/>
      </w:r>
      <w:r>
        <w:rPr>
          <w:rFonts w:ascii="simsun" w:hAnsi="simsun"/>
          <w:color w:val="323E32"/>
          <w:szCs w:val="21"/>
        </w:rPr>
        <w:br/>
      </w:r>
      <w:r>
        <w:rPr>
          <w:rFonts w:ascii="simsun" w:hAnsi="simsun"/>
          <w:color w:val="323E32"/>
          <w:szCs w:val="21"/>
        </w:rPr>
        <w:t xml:space="preserve">　　如前所述，当原融资租赁合同是不可替代的时候，就要用预期收益法评估该合同收益的价值。</w:t>
      </w:r>
      <w:r>
        <w:rPr>
          <w:rFonts w:ascii="simsun" w:hAnsi="simsun"/>
          <w:color w:val="323E32"/>
          <w:szCs w:val="21"/>
        </w:rPr>
        <w:br/>
      </w:r>
      <w:r>
        <w:rPr>
          <w:rFonts w:ascii="simsun" w:hAnsi="simsun"/>
          <w:color w:val="323E32"/>
          <w:szCs w:val="21"/>
        </w:rPr>
        <w:br/>
      </w:r>
      <w:r>
        <w:rPr>
          <w:rFonts w:ascii="simsun" w:hAnsi="simsun"/>
          <w:color w:val="323E32"/>
          <w:szCs w:val="21"/>
        </w:rPr>
        <w:t xml:space="preserve">　　首先，分年度预测融资租赁资产所能带来的收益额。如果该资产可以独立核算收支，把收益按照生产要素进行分配，融资租赁资产在其中占有相应的份额。如果该资产不能独立地核算收支，则可按包括融资租赁资产在内的最小可独立核算的范围进行预测，在把收益按照生产要素进行分析之后，再按融资租赁资产在同类生产要素中的贡献进行分配，逐年确定该</w:t>
      </w:r>
      <w:r>
        <w:rPr>
          <w:rFonts w:ascii="simsun" w:hAnsi="simsun"/>
          <w:color w:val="323E32"/>
          <w:szCs w:val="21"/>
        </w:rPr>
        <w:lastRenderedPageBreak/>
        <w:t>资产带来的收益。</w:t>
      </w:r>
      <w:r>
        <w:rPr>
          <w:rFonts w:ascii="simsun" w:hAnsi="simsun"/>
          <w:color w:val="323E32"/>
          <w:szCs w:val="21"/>
        </w:rPr>
        <w:br/>
      </w:r>
      <w:r>
        <w:rPr>
          <w:rFonts w:ascii="simsun" w:hAnsi="simsun"/>
          <w:color w:val="323E32"/>
          <w:szCs w:val="21"/>
        </w:rPr>
        <w:br/>
      </w:r>
      <w:r>
        <w:rPr>
          <w:rFonts w:ascii="simsun" w:hAnsi="simsun"/>
          <w:color w:val="323E32"/>
          <w:szCs w:val="21"/>
        </w:rPr>
        <w:t xml:space="preserve">　　其次，根据租赁合同的规定，用未来年度的收益减去相应年度需支付的租赁费用，就可得到该资产所能带来的分年度的净收益额。</w:t>
      </w:r>
      <w:r>
        <w:rPr>
          <w:rFonts w:ascii="simsun" w:hAnsi="simsun"/>
          <w:color w:val="323E32"/>
          <w:szCs w:val="21"/>
        </w:rPr>
        <w:br/>
      </w:r>
      <w:r>
        <w:rPr>
          <w:rFonts w:ascii="simsun" w:hAnsi="simsun"/>
          <w:color w:val="323E32"/>
          <w:szCs w:val="21"/>
        </w:rPr>
        <w:br/>
      </w:r>
      <w:r>
        <w:rPr>
          <w:rFonts w:ascii="simsun" w:hAnsi="simsun"/>
          <w:color w:val="323E32"/>
          <w:szCs w:val="21"/>
        </w:rPr>
        <w:t xml:space="preserve">　　在得到融资租赁资产的净收益之后，按照企业实际适用的所得税率，对净收益进行所得税扣除，得到融资租赁资产的税后净收益。</w:t>
      </w:r>
      <w:r>
        <w:rPr>
          <w:rFonts w:ascii="simsun" w:hAnsi="simsun"/>
          <w:color w:val="323E32"/>
          <w:szCs w:val="21"/>
        </w:rPr>
        <w:br/>
      </w:r>
      <w:r>
        <w:rPr>
          <w:rFonts w:ascii="simsun" w:hAnsi="simsun"/>
          <w:color w:val="323E32"/>
          <w:szCs w:val="21"/>
        </w:rPr>
        <w:br/>
      </w:r>
      <w:r>
        <w:rPr>
          <w:rFonts w:ascii="simsun" w:hAnsi="simsun"/>
          <w:color w:val="323E32"/>
          <w:szCs w:val="21"/>
        </w:rPr>
        <w:t xml:space="preserve">　　在上述测算的过程中，要注意以下几点；</w:t>
      </w:r>
      <w:r>
        <w:rPr>
          <w:rFonts w:ascii="simsun" w:hAnsi="simsun"/>
          <w:color w:val="323E32"/>
          <w:szCs w:val="21"/>
        </w:rPr>
        <w:br/>
      </w:r>
      <w:r>
        <w:rPr>
          <w:rFonts w:ascii="simsun" w:hAnsi="simsun"/>
          <w:color w:val="323E32"/>
          <w:szCs w:val="21"/>
        </w:rPr>
        <w:br/>
      </w:r>
      <w:r>
        <w:rPr>
          <w:rFonts w:ascii="simsun" w:hAnsi="simsun"/>
          <w:color w:val="323E32"/>
          <w:szCs w:val="21"/>
        </w:rPr>
        <w:t xml:space="preserve">　　其一，要对融资租赁的资产进行充分的调查，以合理确定其自然寿命、技术寿命和经济寿命。计算未来收益的年限应为该融资租赁合同权益的经济寿命年限。在融资租赁期满能够取得该融资租赁资产所有权的情况下，此年限应取该融资租赁资产的自然寿命、技术寿命和经济寿命三者中的最小值；在租赁期满不能取得融资租赁资产所有权情况下，此年限应该取融资租赁资产的自然寿命、技术寿命、经济寿命和融资租赁合同期的合同期限四者中的最小值。</w:t>
      </w:r>
      <w:r>
        <w:rPr>
          <w:rFonts w:ascii="simsun" w:hAnsi="simsun"/>
          <w:color w:val="323E32"/>
          <w:szCs w:val="21"/>
        </w:rPr>
        <w:br/>
      </w:r>
      <w:r>
        <w:rPr>
          <w:rFonts w:ascii="simsun" w:hAnsi="simsun"/>
          <w:color w:val="323E32"/>
          <w:szCs w:val="21"/>
        </w:rPr>
        <w:br/>
      </w:r>
      <w:r>
        <w:rPr>
          <w:rFonts w:ascii="simsun" w:hAnsi="simsun"/>
          <w:color w:val="323E32"/>
          <w:szCs w:val="21"/>
        </w:rPr>
        <w:t xml:space="preserve">　　其二，融资租赁费的支付时间和支付期限与其在会计上计提折旧的时间和计提折旧的年限往往不一致，在进行预测时，要注意剔除这种差异造成的影响。具体方法是，在计算收益时，不把折旧作为费用，而在支付融资租赁费时作为收益的减项加以扣除。</w:t>
      </w:r>
      <w:r>
        <w:rPr>
          <w:rFonts w:ascii="simsun" w:hAnsi="simsun"/>
          <w:color w:val="323E32"/>
          <w:szCs w:val="21"/>
        </w:rPr>
        <w:br/>
      </w:r>
      <w:r>
        <w:rPr>
          <w:rFonts w:ascii="simsun" w:hAnsi="simsun"/>
          <w:color w:val="323E32"/>
          <w:szCs w:val="21"/>
        </w:rPr>
        <w:br/>
      </w:r>
      <w:r>
        <w:rPr>
          <w:rFonts w:ascii="simsun" w:hAnsi="simsun"/>
          <w:color w:val="323E32"/>
          <w:szCs w:val="21"/>
        </w:rPr>
        <w:t xml:space="preserve">　　其三，为使用融资租赁资产所支出的费用不只是融资租赁费，还应包括使用过程中对融资租赁资产的维修保养费用。</w:t>
      </w:r>
      <w:r>
        <w:rPr>
          <w:rFonts w:ascii="simsun" w:hAnsi="simsun"/>
          <w:color w:val="323E32"/>
          <w:szCs w:val="21"/>
        </w:rPr>
        <w:br/>
      </w:r>
      <w:r>
        <w:rPr>
          <w:rFonts w:ascii="simsun" w:hAnsi="simsun"/>
          <w:color w:val="323E32"/>
          <w:szCs w:val="21"/>
        </w:rPr>
        <w:br/>
      </w:r>
      <w:r>
        <w:rPr>
          <w:rFonts w:ascii="simsun" w:hAnsi="simsun"/>
          <w:color w:val="323E32"/>
          <w:szCs w:val="21"/>
        </w:rPr>
        <w:t xml:space="preserve">　　其四，在进行融资租赁资产带来收益的应纳税所得额计算时，还要按照会计制度的规定计提折旧，但不能再扣除支付的融资租赁费。在得到融资租赁资产带来的税后净收益之后，还要合理地确定折现率。这时，既要充分考虑使用该资产取得预期收益的风险，也要充分考虑履行融资租赁合同可能遇到的风险。</w:t>
      </w:r>
      <w:r>
        <w:rPr>
          <w:rFonts w:ascii="simsun" w:hAnsi="simsun"/>
          <w:color w:val="323E32"/>
          <w:szCs w:val="21"/>
        </w:rPr>
        <w:br/>
      </w:r>
      <w:r>
        <w:rPr>
          <w:rFonts w:ascii="simsun" w:hAnsi="simsun"/>
          <w:color w:val="323E32"/>
          <w:szCs w:val="21"/>
        </w:rPr>
        <w:br/>
      </w:r>
      <w:r>
        <w:rPr>
          <w:rFonts w:ascii="simsun" w:hAnsi="simsun"/>
          <w:color w:val="323E32"/>
          <w:szCs w:val="21"/>
        </w:rPr>
        <w:t xml:space="preserve">　　最后，按照确定的折现率，将预测的未来税后净收益逐年折现，就得到了预测收益的分年度的净现值。把这些净现值加总，就得到了该融资租赁合同权益的价值。</w:t>
      </w:r>
      <w:r>
        <w:rPr>
          <w:rFonts w:ascii="simsun" w:hAnsi="simsun"/>
          <w:color w:val="323E32"/>
          <w:szCs w:val="21"/>
        </w:rPr>
        <w:br/>
      </w:r>
      <w:r>
        <w:rPr>
          <w:rFonts w:ascii="simsun" w:hAnsi="simsun"/>
          <w:color w:val="323E32"/>
          <w:szCs w:val="21"/>
        </w:rPr>
        <w:br/>
      </w:r>
      <w:r>
        <w:rPr>
          <w:rFonts w:ascii="simsun" w:hAnsi="simsun"/>
          <w:color w:val="323E32"/>
          <w:szCs w:val="21"/>
        </w:rPr>
        <w:t xml:space="preserve">　　按照上述方法评估出的融资租赁合同权益的价值，有可能是正值，也有可能是负值。如果是正值，说明该融资租赁资产的现行价值较原来有所升高，其原因可能是由于通货膨胀、物价上涨，也可能是由于其他因素。如果是负值，说明该融资租赁资产的价值较原来有所降低，其原因可能是由于功能性贬值，也可能是由于经济性贬值，还可能是在签订融资租赁合同时没有进行充分的调查，使合同价格偏高。</w:t>
      </w:r>
      <w:r>
        <w:rPr>
          <w:rFonts w:ascii="simsun" w:hAnsi="simsun"/>
          <w:color w:val="323E32"/>
          <w:szCs w:val="21"/>
        </w:rPr>
        <w:br/>
      </w:r>
      <w:r>
        <w:rPr>
          <w:rFonts w:ascii="simsun" w:hAnsi="simsun"/>
          <w:color w:val="323E32"/>
          <w:szCs w:val="21"/>
        </w:rPr>
        <w:br/>
      </w:r>
      <w:r>
        <w:rPr>
          <w:rFonts w:ascii="simsun" w:hAnsi="simsun"/>
          <w:color w:val="323E32"/>
          <w:szCs w:val="21"/>
        </w:rPr>
        <w:t xml:space="preserve">　　三、用成本节约额法评估融资租赁合同权益</w:t>
      </w:r>
      <w:r>
        <w:rPr>
          <w:rFonts w:ascii="simsun" w:hAnsi="simsun"/>
          <w:color w:val="323E32"/>
          <w:szCs w:val="21"/>
        </w:rPr>
        <w:br/>
      </w:r>
      <w:r>
        <w:rPr>
          <w:rFonts w:ascii="simsun" w:hAnsi="simsun"/>
          <w:color w:val="323E32"/>
          <w:szCs w:val="21"/>
        </w:rPr>
        <w:br/>
      </w:r>
      <w:r>
        <w:rPr>
          <w:rFonts w:ascii="simsun" w:hAnsi="simsun"/>
          <w:color w:val="323E32"/>
          <w:szCs w:val="21"/>
        </w:rPr>
        <w:t xml:space="preserve">　　如前所述，当原融资租赁合同是可以替代的时候，就应用成本节约额法评估该合同权益的价值。</w:t>
      </w:r>
      <w:r>
        <w:rPr>
          <w:rFonts w:ascii="simsun" w:hAnsi="simsun"/>
          <w:color w:val="323E32"/>
          <w:szCs w:val="21"/>
        </w:rPr>
        <w:br/>
      </w:r>
      <w:r>
        <w:rPr>
          <w:rFonts w:ascii="simsun" w:hAnsi="simsun"/>
          <w:color w:val="323E32"/>
          <w:szCs w:val="21"/>
        </w:rPr>
        <w:br/>
      </w:r>
      <w:r>
        <w:rPr>
          <w:rFonts w:ascii="simsun" w:hAnsi="simsun"/>
          <w:color w:val="323E32"/>
          <w:szCs w:val="21"/>
        </w:rPr>
        <w:t xml:space="preserve">　　首先，应该通过调查，了解到在评估基准日取得相同或类似的融资租赁资产的合同价格</w:t>
      </w:r>
      <w:r>
        <w:rPr>
          <w:rFonts w:ascii="simsun" w:hAnsi="simsun"/>
          <w:color w:val="323E32"/>
          <w:szCs w:val="21"/>
        </w:rPr>
        <w:lastRenderedPageBreak/>
        <w:t>是多少。</w:t>
      </w:r>
      <w:r>
        <w:rPr>
          <w:rFonts w:ascii="simsun" w:hAnsi="simsun"/>
          <w:color w:val="323E32"/>
          <w:szCs w:val="21"/>
        </w:rPr>
        <w:br/>
      </w:r>
      <w:r>
        <w:rPr>
          <w:rFonts w:ascii="simsun" w:hAnsi="simsun"/>
          <w:color w:val="323E32"/>
          <w:szCs w:val="21"/>
        </w:rPr>
        <w:br/>
      </w:r>
      <w:r>
        <w:rPr>
          <w:rFonts w:ascii="simsun" w:hAnsi="simsun"/>
          <w:color w:val="323E32"/>
          <w:szCs w:val="21"/>
        </w:rPr>
        <w:t xml:space="preserve">　　其次，合理确定折现率。在确定折现率时，要充分考虑实现融资租赁合同权益所面临的风险。此处的风险主要指合同不能履行。承租方在租赁期满后不能取得资产所有权的风险。</w:t>
      </w:r>
      <w:r>
        <w:rPr>
          <w:rFonts w:ascii="simsun" w:hAnsi="simsun"/>
          <w:color w:val="323E32"/>
          <w:szCs w:val="21"/>
        </w:rPr>
        <w:br/>
      </w:r>
      <w:r>
        <w:rPr>
          <w:rFonts w:ascii="simsun" w:hAnsi="simsun"/>
          <w:color w:val="323E32"/>
          <w:szCs w:val="21"/>
        </w:rPr>
        <w:br/>
      </w:r>
      <w:r>
        <w:rPr>
          <w:rFonts w:ascii="simsun" w:hAnsi="simsun"/>
          <w:color w:val="323E32"/>
          <w:szCs w:val="21"/>
        </w:rPr>
        <w:t xml:space="preserve">　　再其次，将新旧合同分别按照合同规定的付款期对尚未支付的融资租赁费进行折现可得到新旧合同应付租赁费的现值。用新合同应付租赁费的现值减去原合同应付租赁费的现值就得到了原合同的节约额（当该差额为正值时）或超支额（当该差额为负值时）。</w:t>
      </w:r>
      <w:r>
        <w:rPr>
          <w:rFonts w:ascii="simsun" w:hAnsi="simsun"/>
          <w:color w:val="323E32"/>
          <w:szCs w:val="21"/>
        </w:rPr>
        <w:br/>
      </w:r>
      <w:r>
        <w:rPr>
          <w:rFonts w:ascii="simsun" w:hAnsi="simsun"/>
          <w:color w:val="323E32"/>
          <w:szCs w:val="21"/>
        </w:rPr>
        <w:br/>
      </w:r>
      <w:r>
        <w:rPr>
          <w:rFonts w:ascii="simsun" w:hAnsi="simsun"/>
          <w:color w:val="323E32"/>
          <w:szCs w:val="21"/>
        </w:rPr>
        <w:t xml:space="preserve">　　最后，再按照企业实际适用的所得税率对上述节约额或超支额进行扣除，即可得到融资租赁合同节约额的净现值。这时应注意，当该差额表现为节约额时，要用该节约额减去应付所得税；当该差额表现为超支额时，要用该超支额加上应付所得税（因为超支额为负值）。这样才能恰当地反映企业得到的净节约额或负担的净超支额。</w:t>
      </w:r>
      <w:r>
        <w:rPr>
          <w:rFonts w:ascii="simsun" w:hAnsi="simsun"/>
          <w:color w:val="323E32"/>
          <w:szCs w:val="21"/>
        </w:rPr>
        <w:br/>
      </w:r>
      <w:r>
        <w:rPr>
          <w:rFonts w:ascii="simsun" w:hAnsi="simsun"/>
          <w:color w:val="323E32"/>
          <w:szCs w:val="21"/>
        </w:rPr>
        <w:br/>
      </w:r>
      <w:r>
        <w:rPr>
          <w:rFonts w:ascii="simsun" w:hAnsi="simsun"/>
          <w:color w:val="323E32"/>
          <w:szCs w:val="21"/>
        </w:rPr>
        <w:t xml:space="preserve">　　在评估出融资租赁合同权益的净现值后，还有一个问题需要解决，这就是当承租方在租赁期满后能够取得资产的所有权时，在评估基准日以前承租方支付的融资租赁费也构成企业的资产。这部分资产应按下述办法确定其价值：</w:t>
      </w:r>
      <w:r>
        <w:rPr>
          <w:rFonts w:ascii="宋体" w:eastAsia="宋体" w:hAnsi="宋体" w:cs="宋体" w:hint="eastAsia"/>
          <w:color w:val="323E32"/>
          <w:szCs w:val="21"/>
        </w:rPr>
        <w:t>①</w:t>
      </w:r>
      <w:r>
        <w:rPr>
          <w:rFonts w:ascii="simsun" w:hAnsi="simsun"/>
          <w:color w:val="323E32"/>
          <w:szCs w:val="21"/>
        </w:rPr>
        <w:t>计算已付融资租赁费占原融资租赁合同价格的比例；</w:t>
      </w:r>
      <w:r>
        <w:rPr>
          <w:rFonts w:ascii="宋体" w:eastAsia="宋体" w:hAnsi="宋体" w:cs="宋体" w:hint="eastAsia"/>
          <w:color w:val="323E32"/>
          <w:szCs w:val="21"/>
        </w:rPr>
        <w:t>②</w:t>
      </w:r>
      <w:r>
        <w:rPr>
          <w:rFonts w:ascii="simsun" w:hAnsi="simsun"/>
          <w:color w:val="323E32"/>
          <w:szCs w:val="21"/>
        </w:rPr>
        <w:t>按照新的融资租赁合同计算出上述比例相当新合同价格的已付融资租赁费额。</w:t>
      </w:r>
      <w:r>
        <w:rPr>
          <w:rFonts w:ascii="宋体" w:eastAsia="宋体" w:hAnsi="宋体" w:cs="宋体" w:hint="eastAsia"/>
          <w:color w:val="323E32"/>
          <w:szCs w:val="21"/>
        </w:rPr>
        <w:t>③</w:t>
      </w:r>
      <w:r>
        <w:rPr>
          <w:rFonts w:ascii="simsun" w:hAnsi="simsun"/>
          <w:color w:val="323E32"/>
          <w:szCs w:val="21"/>
        </w:rPr>
        <w:t>合理确定融资租赁资产的成新率；</w:t>
      </w:r>
      <w:r>
        <w:rPr>
          <w:rFonts w:ascii="宋体" w:eastAsia="宋体" w:hAnsi="宋体" w:cs="宋体" w:hint="eastAsia"/>
          <w:color w:val="323E32"/>
          <w:szCs w:val="21"/>
        </w:rPr>
        <w:t>④</w:t>
      </w:r>
      <w:r>
        <w:rPr>
          <w:rFonts w:ascii="simsun" w:hAnsi="simsun"/>
          <w:color w:val="323E32"/>
          <w:szCs w:val="21"/>
        </w:rPr>
        <w:t>按下述公式确定该部分资产的评估值：</w:t>
      </w:r>
      <w:r>
        <w:rPr>
          <w:rFonts w:ascii="simsun" w:hAnsi="simsun"/>
          <w:color w:val="323E32"/>
          <w:szCs w:val="21"/>
        </w:rPr>
        <w:br/>
      </w:r>
      <w:r>
        <w:rPr>
          <w:rFonts w:ascii="simsun" w:hAnsi="simsun"/>
          <w:color w:val="323E32"/>
          <w:szCs w:val="21"/>
        </w:rPr>
        <w:br/>
      </w:r>
      <w:r>
        <w:rPr>
          <w:rFonts w:ascii="simsun" w:hAnsi="simsun"/>
          <w:color w:val="323E32"/>
          <w:szCs w:val="21"/>
        </w:rPr>
        <w:t xml:space="preserve">　　评估价值</w:t>
      </w:r>
      <w:r>
        <w:rPr>
          <w:rFonts w:ascii="simsun" w:hAnsi="simsun"/>
          <w:color w:val="323E32"/>
          <w:szCs w:val="21"/>
        </w:rPr>
        <w:t>=</w:t>
      </w:r>
      <w:r>
        <w:rPr>
          <w:rFonts w:ascii="simsun" w:hAnsi="simsun"/>
          <w:color w:val="323E32"/>
          <w:szCs w:val="21"/>
        </w:rPr>
        <w:t>按照新的融资租赁合同计算的已付融资租赁费额</w:t>
      </w:r>
      <w:r>
        <w:rPr>
          <w:rFonts w:ascii="simsun" w:hAnsi="simsun"/>
          <w:color w:val="323E32"/>
          <w:szCs w:val="21"/>
        </w:rPr>
        <w:t>×</w:t>
      </w:r>
      <w:r>
        <w:rPr>
          <w:rFonts w:ascii="simsun" w:hAnsi="simsun"/>
          <w:color w:val="323E32"/>
          <w:szCs w:val="21"/>
        </w:rPr>
        <w:t>成新率</w:t>
      </w:r>
      <w:r>
        <w:rPr>
          <w:rFonts w:ascii="simsun" w:hAnsi="simsun"/>
          <w:color w:val="323E32"/>
          <w:szCs w:val="21"/>
        </w:rPr>
        <w:t>÷</w:t>
      </w:r>
      <w:r>
        <w:rPr>
          <w:rFonts w:ascii="simsun" w:hAnsi="simsun"/>
          <w:color w:val="323E32"/>
          <w:szCs w:val="21"/>
        </w:rPr>
        <w:t>（</w:t>
      </w:r>
      <w:r>
        <w:rPr>
          <w:rFonts w:ascii="simsun" w:hAnsi="simsun"/>
          <w:color w:val="323E32"/>
          <w:szCs w:val="21"/>
        </w:rPr>
        <w:t>1+</w:t>
      </w:r>
      <w:r>
        <w:rPr>
          <w:rFonts w:ascii="simsun" w:hAnsi="simsun"/>
          <w:color w:val="323E32"/>
          <w:szCs w:val="21"/>
        </w:rPr>
        <w:t>风险收益率）</w:t>
      </w:r>
      <w:r>
        <w:rPr>
          <w:rFonts w:ascii="simsun" w:hAnsi="simsun"/>
          <w:color w:val="323E32"/>
          <w:szCs w:val="21"/>
        </w:rPr>
        <w:br/>
      </w:r>
      <w:r>
        <w:rPr>
          <w:rFonts w:ascii="simsun" w:hAnsi="simsun"/>
          <w:color w:val="323E32"/>
          <w:szCs w:val="21"/>
        </w:rPr>
        <w:br/>
      </w:r>
      <w:r>
        <w:rPr>
          <w:rFonts w:ascii="simsun" w:hAnsi="simsun"/>
          <w:color w:val="323E32"/>
          <w:szCs w:val="21"/>
        </w:rPr>
        <w:t xml:space="preserve">　　综上所述，在成本节约额法下，当承租方在租赁期满后能够取得资产的所有权时，则</w:t>
      </w:r>
      <w:r>
        <w:rPr>
          <w:rFonts w:ascii="simsun" w:hAnsi="simsun"/>
          <w:color w:val="323E32"/>
          <w:szCs w:val="21"/>
        </w:rPr>
        <w:br/>
      </w:r>
      <w:r>
        <w:rPr>
          <w:rFonts w:ascii="simsun" w:hAnsi="simsun"/>
          <w:color w:val="323E32"/>
          <w:szCs w:val="21"/>
        </w:rPr>
        <w:br/>
      </w:r>
      <w:r>
        <w:rPr>
          <w:rFonts w:ascii="simsun" w:hAnsi="simsun"/>
          <w:color w:val="323E32"/>
          <w:szCs w:val="21"/>
        </w:rPr>
        <w:t>融资租赁合同权益的价值</w:t>
      </w:r>
      <w:r>
        <w:rPr>
          <w:rFonts w:ascii="simsun" w:hAnsi="simsun"/>
          <w:color w:val="323E32"/>
          <w:szCs w:val="21"/>
        </w:rPr>
        <w:t>=</w:t>
      </w:r>
      <w:r>
        <w:rPr>
          <w:rFonts w:ascii="simsun" w:hAnsi="simsun"/>
          <w:color w:val="323E32"/>
          <w:szCs w:val="21"/>
        </w:rPr>
        <w:t>融资租赁合同合同节约额的净现值</w:t>
      </w:r>
      <w:r>
        <w:rPr>
          <w:rFonts w:ascii="simsun" w:hAnsi="simsun"/>
          <w:color w:val="323E32"/>
          <w:szCs w:val="21"/>
        </w:rPr>
        <w:t>+</w:t>
      </w:r>
      <w:r>
        <w:rPr>
          <w:rFonts w:ascii="simsun" w:hAnsi="simsun"/>
          <w:color w:val="323E32"/>
          <w:szCs w:val="21"/>
        </w:rPr>
        <w:t>已付租赁费的评估值</w:t>
      </w:r>
      <w:r>
        <w:rPr>
          <w:rFonts w:ascii="simsun" w:hAnsi="simsun"/>
          <w:color w:val="323E32"/>
          <w:szCs w:val="21"/>
        </w:rPr>
        <w:br/>
      </w:r>
      <w:r>
        <w:rPr>
          <w:rFonts w:ascii="simsun" w:hAnsi="simsun"/>
          <w:color w:val="323E32"/>
          <w:szCs w:val="21"/>
        </w:rPr>
        <w:br/>
      </w:r>
      <w:r>
        <w:rPr>
          <w:rFonts w:ascii="simsun" w:hAnsi="simsun"/>
          <w:color w:val="323E32"/>
          <w:szCs w:val="21"/>
        </w:rPr>
        <w:t xml:space="preserve">　　融资租赁合同权益的价值</w:t>
      </w:r>
      <w:r>
        <w:rPr>
          <w:rFonts w:ascii="simsun" w:hAnsi="simsun"/>
          <w:color w:val="323E32"/>
          <w:szCs w:val="21"/>
        </w:rPr>
        <w:t>=</w:t>
      </w:r>
      <w:r>
        <w:rPr>
          <w:rFonts w:ascii="simsun" w:hAnsi="simsun"/>
          <w:color w:val="323E32"/>
          <w:szCs w:val="21"/>
        </w:rPr>
        <w:t>融资租赁合同节约额的净现值。</w:t>
      </w:r>
    </w:p>
    <w:p w:rsidR="00BF3EA4" w:rsidRDefault="00BF3EA4"/>
    <w:sectPr w:rsidR="00BF3EA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904" w:rsidRDefault="009D0904" w:rsidP="00D17FA6">
      <w:r>
        <w:separator/>
      </w:r>
    </w:p>
  </w:endnote>
  <w:endnote w:type="continuationSeparator" w:id="0">
    <w:p w:rsidR="009D0904" w:rsidRDefault="009D0904" w:rsidP="00D1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904" w:rsidRDefault="009D0904" w:rsidP="00D17FA6">
      <w:r>
        <w:separator/>
      </w:r>
    </w:p>
  </w:footnote>
  <w:footnote w:type="continuationSeparator" w:id="0">
    <w:p w:rsidR="009D0904" w:rsidRDefault="009D0904" w:rsidP="00D17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FA6" w:rsidRDefault="00D17FA6">
    <w:pPr>
      <w:pStyle w:val="a3"/>
      <w:rPr>
        <w:rFonts w:hint="eastAsia"/>
      </w:rPr>
    </w:pPr>
    <w:r>
      <w:t>租赁世界推荐学习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8C"/>
    <w:rsid w:val="00026E58"/>
    <w:rsid w:val="0058130E"/>
    <w:rsid w:val="0086418C"/>
    <w:rsid w:val="009D0904"/>
    <w:rsid w:val="009E16CE"/>
    <w:rsid w:val="00AE0F7E"/>
    <w:rsid w:val="00BF3EA4"/>
    <w:rsid w:val="00D17FA6"/>
    <w:rsid w:val="00DA7166"/>
    <w:rsid w:val="00E13ADC"/>
    <w:rsid w:val="00FE37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568CE6-F3F8-46EF-AE68-7A34D1F55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17F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17FA6"/>
    <w:rPr>
      <w:sz w:val="18"/>
      <w:szCs w:val="18"/>
    </w:rPr>
  </w:style>
  <w:style w:type="paragraph" w:styleId="a4">
    <w:name w:val="footer"/>
    <w:basedOn w:val="a"/>
    <w:link w:val="Char0"/>
    <w:uiPriority w:val="99"/>
    <w:unhideWhenUsed/>
    <w:rsid w:val="00D17FA6"/>
    <w:pPr>
      <w:tabs>
        <w:tab w:val="center" w:pos="4153"/>
        <w:tab w:val="right" w:pos="8306"/>
      </w:tabs>
      <w:snapToGrid w:val="0"/>
      <w:jc w:val="left"/>
    </w:pPr>
    <w:rPr>
      <w:sz w:val="18"/>
      <w:szCs w:val="18"/>
    </w:rPr>
  </w:style>
  <w:style w:type="character" w:customStyle="1" w:styleId="Char0">
    <w:name w:val="页脚 Char"/>
    <w:basedOn w:val="a0"/>
    <w:link w:val="a4"/>
    <w:uiPriority w:val="99"/>
    <w:rsid w:val="00D17FA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张艳坤</cp:lastModifiedBy>
  <cp:revision>10</cp:revision>
  <dcterms:created xsi:type="dcterms:W3CDTF">2011-08-17T04:46:00Z</dcterms:created>
  <dcterms:modified xsi:type="dcterms:W3CDTF">2015-08-14T16:00:00Z</dcterms:modified>
</cp:coreProperties>
</file>