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2A52" w:rsidRPr="00192A52" w:rsidRDefault="00192A52" w:rsidP="00192A52">
      <w:pPr>
        <w:widowControl/>
        <w:spacing w:before="100" w:beforeAutospacing="1" w:after="100" w:afterAutospacing="1"/>
        <w:ind w:firstLineChars="0" w:firstLine="643"/>
        <w:jc w:val="center"/>
        <w:outlineLvl w:val="2"/>
        <w:rPr>
          <w:rFonts w:ascii="宋体" w:eastAsia="宋体" w:hAnsi="宋体" w:cs="宋体"/>
          <w:b/>
          <w:bCs/>
          <w:kern w:val="0"/>
          <w:sz w:val="27"/>
          <w:szCs w:val="27"/>
        </w:rPr>
      </w:pPr>
      <w:r w:rsidRPr="00192A52">
        <w:rPr>
          <w:rFonts w:ascii="宋体" w:eastAsia="宋体" w:hAnsi="宋体" w:cs="宋体"/>
          <w:b/>
          <w:bCs/>
          <w:kern w:val="0"/>
          <w:sz w:val="27"/>
          <w:szCs w:val="27"/>
        </w:rPr>
        <w:t>中国（上海）自由贸易试验区管理办法（市政府令第7号）</w:t>
      </w:r>
    </w:p>
    <w:p w:rsidR="00192A52" w:rsidRPr="00192A52" w:rsidRDefault="00192A52" w:rsidP="00192A52">
      <w:pPr>
        <w:widowControl/>
        <w:ind w:firstLineChars="0" w:firstLine="400"/>
        <w:jc w:val="left"/>
        <w:rPr>
          <w:rFonts w:ascii="宋体" w:eastAsia="宋体" w:hAnsi="宋体" w:cs="宋体"/>
          <w:kern w:val="0"/>
          <w:sz w:val="20"/>
          <w:szCs w:val="20"/>
        </w:rPr>
      </w:pPr>
    </w:p>
    <w:p w:rsidR="00192A52" w:rsidRPr="00192A52" w:rsidRDefault="00192A52" w:rsidP="00192A52">
      <w:pPr>
        <w:widowControl/>
        <w:shd w:val="clear" w:color="auto" w:fill="FFFFFF"/>
        <w:spacing w:before="100" w:beforeAutospacing="1" w:after="100" w:afterAutospacing="1" w:line="360" w:lineRule="atLeast"/>
        <w:ind w:firstLineChars="0" w:firstLine="420"/>
        <w:jc w:val="center"/>
        <w:rPr>
          <w:rFonts w:ascii="宋体" w:eastAsia="宋体" w:hAnsi="宋体" w:cs="宋体"/>
          <w:kern w:val="0"/>
          <w:sz w:val="24"/>
          <w:szCs w:val="24"/>
        </w:rPr>
      </w:pPr>
      <w:r w:rsidRPr="00192A52">
        <w:rPr>
          <w:rFonts w:ascii="宋体" w:eastAsia="宋体" w:hAnsi="宋体" w:cs="宋体"/>
          <w:kern w:val="0"/>
          <w:sz w:val="24"/>
          <w:szCs w:val="24"/>
        </w:rPr>
        <w:t>上海市人民政府令</w:t>
      </w:r>
    </w:p>
    <w:p w:rsidR="00192A52" w:rsidRPr="00192A52" w:rsidRDefault="00192A52" w:rsidP="00192A52">
      <w:pPr>
        <w:widowControl/>
        <w:shd w:val="clear" w:color="auto" w:fill="FFFFFF"/>
        <w:spacing w:before="100" w:beforeAutospacing="1" w:after="100" w:afterAutospacing="1" w:line="360" w:lineRule="atLeast"/>
        <w:ind w:firstLineChars="0" w:firstLine="420"/>
        <w:jc w:val="center"/>
        <w:rPr>
          <w:rFonts w:ascii="宋体" w:eastAsia="宋体" w:hAnsi="宋体" w:cs="宋体"/>
          <w:kern w:val="0"/>
          <w:sz w:val="24"/>
          <w:szCs w:val="24"/>
        </w:rPr>
      </w:pPr>
      <w:r w:rsidRPr="00192A52">
        <w:rPr>
          <w:rFonts w:ascii="宋体" w:eastAsia="宋体" w:hAnsi="宋体" w:cs="宋体"/>
          <w:kern w:val="0"/>
          <w:sz w:val="24"/>
          <w:szCs w:val="24"/>
        </w:rPr>
        <w:t>第7号</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《中国（上海）自由贸易试验区管理办法》已经2013年9月22日市政府第24次常务会议通过，现予公布，自2013年10月1日起施行。</w:t>
      </w:r>
    </w:p>
    <w:p w:rsidR="00192A52" w:rsidRPr="00192A52" w:rsidRDefault="00192A52" w:rsidP="00192A52">
      <w:pPr>
        <w:widowControl/>
        <w:shd w:val="clear" w:color="auto" w:fill="FFFFFF"/>
        <w:spacing w:before="100" w:beforeAutospacing="1" w:after="100" w:afterAutospacing="1" w:line="360" w:lineRule="atLeast"/>
        <w:ind w:firstLineChars="0" w:firstLine="420"/>
        <w:jc w:val="right"/>
        <w:rPr>
          <w:rFonts w:ascii="宋体" w:eastAsia="宋体" w:hAnsi="宋体" w:cs="宋体"/>
          <w:kern w:val="0"/>
          <w:sz w:val="24"/>
          <w:szCs w:val="24"/>
        </w:rPr>
      </w:pPr>
      <w:r w:rsidRPr="00192A52">
        <w:rPr>
          <w:rFonts w:ascii="宋体" w:eastAsia="宋体" w:hAnsi="宋体" w:cs="宋体"/>
          <w:kern w:val="0"/>
          <w:sz w:val="24"/>
          <w:szCs w:val="24"/>
        </w:rPr>
        <w:t>市长 杨雄</w:t>
      </w:r>
    </w:p>
    <w:p w:rsidR="00192A52" w:rsidRPr="00192A52" w:rsidRDefault="00192A52" w:rsidP="00192A52">
      <w:pPr>
        <w:widowControl/>
        <w:shd w:val="clear" w:color="auto" w:fill="FFFFFF"/>
        <w:spacing w:before="100" w:beforeAutospacing="1" w:after="100" w:afterAutospacing="1" w:line="360" w:lineRule="atLeast"/>
        <w:ind w:firstLineChars="0" w:firstLine="420"/>
        <w:jc w:val="right"/>
        <w:rPr>
          <w:rFonts w:ascii="宋体" w:eastAsia="宋体" w:hAnsi="宋体" w:cs="宋体"/>
          <w:kern w:val="0"/>
          <w:sz w:val="24"/>
          <w:szCs w:val="24"/>
        </w:rPr>
      </w:pPr>
      <w:r w:rsidRPr="00192A52">
        <w:rPr>
          <w:rFonts w:ascii="宋体" w:eastAsia="宋体" w:hAnsi="宋体" w:cs="宋体"/>
          <w:kern w:val="0"/>
          <w:sz w:val="24"/>
          <w:szCs w:val="24"/>
        </w:rPr>
        <w:t>2013年9月29日</w:t>
      </w:r>
    </w:p>
    <w:p w:rsidR="00192A52" w:rsidRPr="00192A52" w:rsidRDefault="00192A52" w:rsidP="00192A52">
      <w:pPr>
        <w:widowControl/>
        <w:shd w:val="clear" w:color="auto" w:fill="FFFFFF"/>
        <w:spacing w:before="100" w:beforeAutospacing="1" w:after="100" w:afterAutospacing="1" w:line="360" w:lineRule="atLeast"/>
        <w:ind w:firstLineChars="0" w:firstLine="420"/>
        <w:jc w:val="center"/>
        <w:rPr>
          <w:rFonts w:ascii="宋体" w:eastAsia="宋体" w:hAnsi="宋体" w:cs="宋体"/>
          <w:kern w:val="0"/>
          <w:sz w:val="24"/>
          <w:szCs w:val="24"/>
        </w:rPr>
      </w:pPr>
      <w:r w:rsidRPr="00192A52">
        <w:rPr>
          <w:rFonts w:ascii="宋体" w:eastAsia="宋体" w:hAnsi="宋体" w:cs="宋体"/>
          <w:kern w:val="0"/>
          <w:sz w:val="24"/>
          <w:szCs w:val="24"/>
        </w:rPr>
        <w:t>中国（上海）自由贸易试验区管理办法</w:t>
      </w:r>
    </w:p>
    <w:p w:rsidR="00192A52" w:rsidRPr="00192A52" w:rsidRDefault="00192A52" w:rsidP="00192A52">
      <w:pPr>
        <w:widowControl/>
        <w:shd w:val="clear" w:color="auto" w:fill="FFFFFF"/>
        <w:spacing w:before="100" w:beforeAutospacing="1" w:after="100" w:afterAutospacing="1" w:line="360" w:lineRule="atLeast"/>
        <w:ind w:firstLineChars="0" w:firstLine="420"/>
        <w:jc w:val="center"/>
        <w:rPr>
          <w:rFonts w:ascii="宋体" w:eastAsia="宋体" w:hAnsi="宋体" w:cs="宋体"/>
          <w:kern w:val="0"/>
          <w:sz w:val="24"/>
          <w:szCs w:val="24"/>
        </w:rPr>
      </w:pPr>
      <w:r w:rsidRPr="00192A52">
        <w:rPr>
          <w:rFonts w:ascii="宋体" w:eastAsia="宋体" w:hAnsi="宋体" w:cs="宋体"/>
          <w:kern w:val="0"/>
          <w:sz w:val="24"/>
          <w:szCs w:val="24"/>
        </w:rPr>
        <w:t>(2013年9月29日上海市人民政府令第7号公布）</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第一章　总则</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第一条（目的和依据）</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为了推进中国（上海）自由贸易试验区建设，根据《全国人民代表大会常务委员会关于授权国务院在中国（上海）自由贸易试验区暂时调整有关法律规定的行政审批的决定》、《中国（上海）自由贸易试验区总体方案》和有关法律、法规，制定本办法。</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第二条（适用范围）</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本办法适用于经国务院批准设立的中国（上海）自由贸易试验区（以下简称“自贸试验区”）。</w:t>
      </w:r>
      <w:r w:rsidRPr="002F3966">
        <w:rPr>
          <w:rFonts w:ascii="宋体" w:eastAsia="宋体" w:hAnsi="宋体" w:cs="宋体"/>
          <w:b/>
          <w:kern w:val="0"/>
          <w:sz w:val="24"/>
          <w:szCs w:val="24"/>
        </w:rPr>
        <w:t>自贸试验区涵盖上海外高桥保税区、上海外高桥保税物流园区、洋山保税港区和上海浦东机场综合保税区，总面积28.78平方公里</w:t>
      </w:r>
      <w:r w:rsidRPr="00192A52">
        <w:rPr>
          <w:rFonts w:ascii="宋体" w:eastAsia="宋体" w:hAnsi="宋体" w:cs="宋体"/>
          <w:kern w:val="0"/>
          <w:sz w:val="24"/>
          <w:szCs w:val="24"/>
        </w:rPr>
        <w:t>。</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第三条（区域功能）</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自贸试验区推进服务业扩大开放和投资管理体制改革，推动贸易转型升级，深化金融领域开放，创新监管服务模式，探索建立与国际投资和贸易规则体系相适应的行政管理体系，培育国际化、法治化的营商环境，发挥示范带动、服务全国的积极作用。</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lastRenderedPageBreak/>
        <w:t xml:space="preserve">　　第二章　管理机构</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第四条（管理机构）</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本市成立中国（上海）自由贸易试验区管理委员会（以下简称“管委会”）。管委会为市政府派出机构，具体落实自贸试验区改革任务，统筹管理和协调自贸试验区有关行政事务。</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市有关部门和浦东新区等区县政府应当加强协作，支持管委会的各项工作。</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第五条（机构职责）</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管委会依照本办法履行以下职责：</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（一）负责推进落实自贸试验区各项改革试点任务，研究提出并组织实施自贸试验区发展规划和政策措施，制定自贸试验区有关行政管理制度。</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（二）负责自贸试验区内投资、贸易、金融服务、规划国土、建设、绿化市容、环境保护、劳动人事、食品药品监管、知识产权、文化、卫生、统计等方面的行政管理工作。</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（三）领导工商、质监、税务、公安等部门在自贸试验区内的行政管理工作；协调海关、检验检疫、海事、金融等部门在自贸试验区内的行政管理工作。</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（四）承担安全审查、反垄断审查相关工作。</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（五）负责自贸试验区内综合执法工作，组织开展自贸试验区内城市管理、文化等领域行政执法。</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（六）负责自贸试验区内综合服务工作，为自贸试验区内企业和相关机构提供指导、咨询和服务。</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（七）负责自贸试验区内信息化建设工作，组织建立自贸试验区监管信息共享机制和平台，及时发布公共信息。</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（八）统筹指导自贸试验区内产业布局和开发建设活动，协调推进自贸试验区内重大投资项目建设。</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（九）市政府赋予的其他职责。</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lastRenderedPageBreak/>
        <w:t xml:space="preserve">　　原由上海外高桥保税区管理委员会、洋山保税港区管理委员会、上海综合保税区管理委员会分别负责的有关行政事务，统一由管委会承担。</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第六条（综合执法）</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管委会综合执法机构依法履行以下职责：</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（一）集中行使城市管理领域、文化领域的行政处罚权，以及与行政处罚权有关的行政强制措施权和行政检查权。</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二）集中行使原由本市规划国土、建设、住房保障房屋管理、环境保护、民防、人力资源社会保障、知识产权、食品药品监管、统计部门依据法律、法规和规章行使的行政处罚权，以及与行政处罚权有关的行政强制措施权和行政检查权。</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（三）市政府决定由管委会综合执法机构行使的其他行政处罚权。</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第七条（集中服务场所）</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管委会应当依据自贸试验区的区域布局和企业需求，设立集中办理行政服务和管理事项的场所。</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第八条（驻区机构）</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海关、检验检疫、海事、工商、质监、税务、公安等部门设立自贸试验区办事机构，依法履行自贸试验区有关监管和行政管理职责。</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第九条（其他行政事务）</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市有关部门和浦东新区政府按照各自职责，承担自贸试验区其他行政事务。</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第三章　投资管理</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第十条（服务业扩大开放）</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自贸试验区根据《中国（上海）自由贸易试验区总体方案》，在金融服务、航运服务、商贸服务、专业服务、文化服务和社会服务等领域扩大开放，暂停或者取消投资者资质要求、股比限制、经营范围限制等准入限制措施。</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自贸试验区根据先行先试推进情况以及产业发展需要，不断探索扩大开放的领域、试点内容及相应的制度创新措施。</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lastRenderedPageBreak/>
        <w:t xml:space="preserve">　　第十一条（负面清单管理模式）</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自贸试验区实行外商投资准入前国民待遇，实施外商投资准入特别管理措施（负面清单）管理模式。</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9D18A7">
        <w:rPr>
          <w:rFonts w:ascii="宋体" w:eastAsia="宋体" w:hAnsi="宋体" w:cs="宋体"/>
          <w:color w:val="FF0000"/>
          <w:kern w:val="0"/>
          <w:sz w:val="24"/>
          <w:szCs w:val="24"/>
        </w:rPr>
        <w:t xml:space="preserve">　　</w:t>
      </w:r>
      <w:r w:rsidRPr="009D18A7">
        <w:rPr>
          <w:rFonts w:ascii="宋体" w:eastAsia="宋体" w:hAnsi="宋体" w:cs="宋体"/>
          <w:b/>
          <w:color w:val="FF0000"/>
          <w:kern w:val="0"/>
          <w:sz w:val="24"/>
          <w:szCs w:val="24"/>
        </w:rPr>
        <w:t>对外商投资准入特别管理措施（负面清单）之外的领域，按照内外资一致的原则，将外商投资项目由核准制改为备案制</w:t>
      </w:r>
      <w:r w:rsidRPr="00192A52">
        <w:rPr>
          <w:rFonts w:ascii="宋体" w:eastAsia="宋体" w:hAnsi="宋体" w:cs="宋体"/>
          <w:kern w:val="0"/>
          <w:sz w:val="24"/>
          <w:szCs w:val="24"/>
        </w:rPr>
        <w:t>，但国务院规定对国内投资项目保留核准的除外；将外商投资企业合同章程审批改为备案管理。</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自贸试验区外商投资准入特别管理措施（负面清单），由市政府公布。外商投资项目和外商投资企业备案办法，由市政府制定。</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第十二条（境外投资备案制）</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自贸试验区内企业到境外投资开办企业，实行以备案制为主的管理方式，对境外投资一般项目实行备案制。</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境外投资开办企业和境外投资项目备案办法，由市政府制定。</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第十三条（注册资本认缴登记制）</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自贸试验区实行注册资本认缴登记制，公司股东（发起人）对其认缴出资额、出资方式、出资期限等自主约定并记载于公司章程，但法律、行政法规对特定企业注册资本登记另有规定的除外。</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公司股东（发起人）对缴纳出资情况的真实性、合法性负责，并以其认缴的出资额或者认购的股份为限对公司承担责任。</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第十四条（营业执照与经营许可）</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自贸试验区内取得营业执照的企业即可从事一般生产经营活动；从事需要许可的生产经营活动的，可以在取得营业执照后，向主管部门申请办理。</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法律、行政法规规定设立企业必须报经批准的，应当在申请办理营业执照前依法办理批准手续。</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第四章　贸易发展和便利化</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第十五条（贸易转型升级）</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自贸试验区积极发展总部经济，鼓励跨国公司在自贸试验区内设立亚太地区总部，建立整合贸易、物流、结算等功能的营运中心。</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lastRenderedPageBreak/>
        <w:t xml:space="preserve">　　自贸试验区推动国际贸易、仓储物流、加工制造等基础业务转型升级，发展离岸贸易、国际贸易结算、国际大宗商品交易、融资租赁、期货保税交割、跨境电子商务等新型贸易业务。</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鼓励自贸试验区内企业统筹开展国际国内贸易，实现内外贸一体化发展。</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第十六条（航运枢纽功能）</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自贸试验区发挥与外高桥港、洋山深水港、浦东空港枢纽的联动作用，加强与自贸试验区外航运产业集聚区的协同发展。</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自贸试验区发展航运金融、国际船舶运输、国际船舶管理、国际船员管理、国际航运经纪等产业，发展航运运价指数衍生品交易业务。自贸试验区发展航空货邮国际中转，加大航线、航权开放力度。</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自贸试验区实行具有竞争力的国际船舶登记政策，建立高效率的船籍登记制度。自贸试验区内企业可以将“中国洋山港”作为船籍港进行船舶登记，从事国际航运业务。</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第十七条（进出境监管制度创新）</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对自贸试验区和境外之间进出货物，允许自贸试验区内企业凭进口舱单信息将货物先行提运入区，再办理进境备案手续。对自贸试验区和境内区外之间进出货物，实行智能化卡口、电子信息联网管理模式，完善清单比对、账册管理、卡口实货核注的监管制度。</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允许自贸试验区内企业在货物出区前自行选择时间申请检验。</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自贸试验区推进货物状态分类监管模式。对自贸试验区内的保税仓储、加工等货物，按照保税货物状态监管；对通过自贸试验区口岸进出口或国际中转的货物，按照口岸货物状态监管；对进入自贸试验区内特定的国内贸易货物，按照非保税货物状态监管。</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第十八条（进出境监管服务便利化）</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自贸试验区推进新型业务监管创新试点，建立与服务贸易、离岸贸易和新型贸易业务发展需求相适应的监管模式。</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自贸试验区积极发展国际中转、集拼和分拨业务。推行“一次申报、一次查验、一次放行”模式。</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lastRenderedPageBreak/>
        <w:t xml:space="preserve">　　简化自贸试验区内货物流转手续，按照“集中申报、自行运输”的方式，推进自贸试验区内企业间货物流转。</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鼓励设立进出口商品检验鉴定机构。建立对第三方检验鉴定机构检测结果的采信机制。</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第五章　金融创新与风险防范</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第十九条（金融创新）</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在自贸试验区开展金融领域制度创新、先行先试，建立自贸试验区金融改革创新与上海国际金融中心建设的联动机制。</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第二十条（资本项目可兑换）</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在自贸试验区实行资本项目可兑换，在风险可控的前提下，通过分账核算方式，创新业务和管理模式。</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第二十一条（利率市场化）</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在自贸试验区培育与实体经济发展相适应的金融机构自主定价机制，逐步推进利率市场化改革。</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第二十二条（人民币跨境使用）</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自贸试验区内机构跨境人民币结算业务与前置核准环节脱钩。自贸试验区内企业可以根据自身经营需要，开展跨境人民币创新业务，实现人民币跨境使用便利化。</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第二十三条（外汇管理）</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建立与自贸试验区发展需求相适应的外汇管理体制，推进贸易投资便利化。</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第二十四条（金融主体发展）</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根据自贸试验区需要，经国家金融管理部门批准，允许不同层级、不同功能、不同类型的金融机构进入自贸试验区，允许金融市场在自贸试验区内建立面向国际的交易平台，提供多层次、全方位的金融服务。</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第二十五条（风险防范）</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lastRenderedPageBreak/>
        <w:t xml:space="preserve">　　本市加强与国家金融管理部门的协调，配合国家金融管理部门在自贸试验区建立与金融业务发展相适应的监管和风险防范机制。</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第六章　综合管理和服务</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第二十六条（优化管理）</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自贸试验区按照国际化、法治化的要求，建立高效便捷的管理和服务模式，促进投资和贸易便利化。</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第二十七条（管理信息公开）</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管委会和有关部门在履职过程中制作或者获取的政策内容、管理规定、办事程序及规则等信息应当公开、透明，方便企业查询。</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自贸试验区有关政策措施、制度规范在制定和调整过程中，应当主动征求自贸试验区内企业意见。</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第二十八条（一口受理机制）</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自贸试验区工商部门会同税务、质监等部门和管委会建立外商投资项目核准（备案）以及企业设立（变更）“一表申报、一口受理”工作机制。工商部门统一接收申请人提交的申请材料，统一向申请人送达有关文书。</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管委会建立自贸试验区内企业境外投资备案“一表申报、一口受理”工作机制，统一接收申请人提交的申请材料，统一向申请人送达有关文书。</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第二十九条（完善监管）</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管委会和有关部门应当按照自贸试验区改革需求，实行以事中、事后监管为主的动态监管，优化管理流程和管理制度。</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自贸试验区执法检查情况，应当依法及时公开。涉及食品药品安全、公共卫生、环境保护、安全生产的，还应当公开处理进展情况，并发布必要的警示、预防建议等信息。</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第三十条（安全审查和反垄断审查）</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自贸试验区建立安全审查和反垄断审查的相关工作机制。</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投资项目或者企业属于安全审查、反垄断审查范围的，管委会应当及时提请开展安全审查、反垄断审查。</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lastRenderedPageBreak/>
        <w:t xml:space="preserve">　　第三十一条（知识产权保护）</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加强自贸试验区知识产权保护，鼓励和支持专业机构提供知识产权调解、维权援助等服务。</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管委会负责自贸试验区内专利纠纷的行政调解和处理。</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第三十二条（企业年度报告公示）</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实行自贸试验区内企业年度报告公示制度。自贸试验区内企业应当向工商部门报送年度报告。年度报告应当向社会公示，涉及商业秘密内容的除外。企业对年度报告的真实性、合法性负责。</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自贸试验区内企业年度报告公示办法另行制定。</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第三十三条（信用信息制度）</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建立自贸试验区内企业信用信息记录、公开、共享和使用制度，推行守信激励和失信惩戒联动机制。</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第三十四条（监管信息共享）</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管委会组织建立自贸试验区监管信息共享机制和平台，实现海关、检验检疫、海事、金融、发展改革、商务、工商、质监、财政、税务、环境保护、安全生产监管、港口航运等部门监管信息的互通、交换和共享，为优化管理流程、提供高效便捷服务、加强事中事后监管提供支撑。</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第三十五条（综合性评估）</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本市在自贸试验区建立行业信息跟踪、监管和归集的综合性评估机制。</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市发展改革部门会同市有关部门和管委会建立工作机制，开展行业整体、行业企业试点实施情况和风险防范的综合性评估，提出有关评估报告，推进完善扩大开放领域、试点内容和制度创新措施。</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第三十六条（行政复议和诉讼）</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当事人对管委会或者有关部门的具体行政行为不服的，可以依照《中华人民共和国行政复议法》或者《中华人民共和国行政诉讼法》的规定，申请行政复议或者提起行政诉讼。</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第三十七条（商事纠纷解决）</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lastRenderedPageBreak/>
        <w:t xml:space="preserve">　　自贸试验区内企业发生商事纠纷的，可以向人民法院起诉，也可以按照约定，申请仲裁或者商事调解。</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支持本市仲裁机构依据法律、法规和国际惯例，完善仲裁规则，提高自贸试验区商事纠纷仲裁专业水平和国际化程度。</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支持各类商事纠纷专业调解机构依照国际惯例，采取多种形式，解决自贸试验区商事纠纷。</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第七章　附则</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第三十八条（附件）</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管委会承担的行政审批事项、具体管理事务和管委会综合执法机构集中行使的行政处罚权，由本办法附件予以明确。</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第三十九条（施行日期）</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本办法自2013年10月1日起施行。</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附件</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一、管委会承担的行政审批事项</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（一）投资管理部门委托的企业投资项目的核准。</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（二）商务管理部门委托的外商投资企业设立和变更审批，境外投资开办企业审批。</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（三）规划管理部门委托的建设项目选址意见书、核定规划条件、建设用地规划许可证、建设工程规划设计方案、建设工程规划许可证的审批，建设工程竣工规划验收。</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（四）除新增建设用地外，土地管理部门委托的国有土地使用权划拨、出让等建设项目用地预审。</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五）建设管理部门委托的建设项目报建许可，建设项目初步设计审批，建设工程施工许可，占用城市道路人行道设置各类设施许可，临时占路及公路用地许可，桥梁安全保护区域内施工许可，掘路许可，道路用地范围内埋设管线和管线穿越、跨越道路审批，增设改建平面交叉道口许可，超限运输车辆行驶许可，外商投资企业首次申请建设工程设计和建筑业企业资质许可。</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lastRenderedPageBreak/>
        <w:t xml:space="preserve">　　（六）绿化市容管理部门委托的建设项目配套绿化方案审批及竣工验收、临时使用绿地许可（含公共绿地），迁移、砍伐树木（古树名木除外）许可，调整公共绿地内部布局、服务设施设置许可，户外广告设施设置或者宣传品、标语的张贴、悬挂许可，户外非广告设施设置审批，配套建设的环境卫生设施规划、设计方案的审批和竣工验收。</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（七）环境保护管理部门委托的建设项目环境影响评价、试生产、竣工验收的审批，建筑工地夜间施工审批，污染物处理设施闲置、拆除的审批。</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（八）民防管理部门委托的结建民防工程审批和施工图审查，民防工程建设费的收取和减免审核，民防工程竣工验收，民防工程的拆除审批。</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（九）科技管理部门委托的高新技术企业认定初审。</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（十）人力资源社会保障管理部门委托的企业实行其他工作时间审批，外国人来沪的就业审批，台港澳人员来沪就业审批，定居国外中国人在沪就业核准，外国专家来沪工作许可，办理《上海市居住证》B证。</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（十一）水务管理部门委托的临时停止供水或者降低水压审批，排水许可证核发。</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（十二）知识产权管理部门委托的专利代理机构申报初审和专利广告出证，境外图书出版合同登记，复制境外音像制品著作权授权合同登记，进口图书在沪印制备案。</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（十三）文化管理部门委托的演出经纪机构在自贸试验区内举办演出活动的审批。</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（十四）卫生计生管理部门委托的建设项目预防性卫生审查。</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（十五）食品药品监管部门委托的药品零售企业开办、变更许可，餐饮服务许可，互联网药品交易企业审批。</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二、管委会承担的具体管理事务</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（一）编制区域内控制性详细规划、土地出让计划及各专项规划并按法定程序报批，审批区域内产业用地控制性详细规划指标的调整，负责区域内土地利用监管等。</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（二）建设工程招标投标备案，设计文件审查，建设工程规划开工放样验收，基础建设（正负零零）及结构封顶备案，建设项目规划参数调整（包括小</w:t>
      </w:r>
      <w:r w:rsidRPr="00192A52">
        <w:rPr>
          <w:rFonts w:ascii="宋体" w:eastAsia="宋体" w:hAnsi="宋体" w:cs="宋体"/>
          <w:kern w:val="0"/>
          <w:sz w:val="24"/>
          <w:szCs w:val="24"/>
        </w:rPr>
        <w:lastRenderedPageBreak/>
        <w:t>于2.0容积率，绿化率，建筑密度，建筑高度，工业、仓储、研发用地相互转换、拆分及合并），建设工程质量安全监督检查、竣工备案、建设工程档案验收等建设工程管理工作。</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（三）建筑垃圾和工程渣土处置申报管理，生活垃圾分类及处置申报管理，绿化专业工程安全质量监督申报、现场监督管理，绿地范围控制线划定及调整。</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（四）民防建设工程安全质量监督申报、监督检查管理，民防工程的维护管理和安全使用管理的监督检查，地下空间安全使用管理的综合协调。</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（五）编制区域规划环评及其跟踪评价，并按规定程序报批；组织区域环境、污染源的监测和监督管理，负责污染事故应急处理。</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（六）安全生产监督检查。</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（七）演出经纪机构、文化娱乐场所和游戏游艺设备生产企业的日常监管。</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（八）食品、药品、医疗器械、保健食品和化妆品生产经营活动的日常监管。</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（九）统计管理、协调和监督检查。</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三、管委会综合执法机构集中行使的行政处罚权</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（一）《上海市城市管理相对集中行政处罚权暂行办法》、《上海市人民政府关于扩大浦东新区城市管理领域相对集中行政处罚权范围的决定》和《上海市文化领域相对集中行政处罚权办法》规定的行政处罚权。</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（二）规划国土管理部门依据法律、法规和规章，对规划和土地方面的违法行为行使的行政处罚权。</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（三）建设管理部门依据法律、法规和规章，对建设方面的违法行为行使的行政处罚权。</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（四）住房保障房屋管理部门依据法律、法规和规章，对住房保障和房屋方面的违法行为行使的行政处罚权。</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（五）环境保护管理部门依据法律、法规和规章，对环境保护方面的违法行为行使的行政处罚权。</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lastRenderedPageBreak/>
        <w:t xml:space="preserve">　　（六）民防管理部门依据法律、法规和规章，对民防和地下空间使用方面的违法行为行使的行政处罚权。</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（七）人力资源社会保障管理部门依据法律、法规和规章，对劳动保障方面的违法行为行使的行政处罚权。</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（八）知识产权管理部门依据法律、法规和规章，对著作权、专利权方面的违法行为行使的行政处罚权。</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（九）食品药品监管部门依据法律、法规和规章，对食品、药品、医疗器械、保健食品和化妆品监管方面的违法行为行使的行政处罚权。</w:t>
      </w:r>
    </w:p>
    <w:p w:rsidR="00192A52" w:rsidRPr="00192A52" w:rsidRDefault="00192A52" w:rsidP="00192A52">
      <w:pPr>
        <w:widowControl/>
        <w:shd w:val="clear" w:color="auto" w:fill="FFFFFF"/>
        <w:spacing w:before="100" w:beforeAutospacing="1" w:after="100" w:afterAutospacing="1" w:line="360" w:lineRule="atLeast"/>
        <w:ind w:firstLineChars="0" w:firstLine="420"/>
        <w:jc w:val="left"/>
        <w:rPr>
          <w:rFonts w:ascii="宋体" w:eastAsia="宋体" w:hAnsi="宋体" w:cs="宋体"/>
          <w:kern w:val="0"/>
          <w:sz w:val="24"/>
          <w:szCs w:val="24"/>
        </w:rPr>
      </w:pPr>
      <w:r w:rsidRPr="00192A52">
        <w:rPr>
          <w:rFonts w:ascii="宋体" w:eastAsia="宋体" w:hAnsi="宋体" w:cs="宋体"/>
          <w:kern w:val="0"/>
          <w:sz w:val="24"/>
          <w:szCs w:val="24"/>
        </w:rPr>
        <w:t xml:space="preserve">　　（十）统计管理部门依据法律、法规和规章，对统计方面的违法行为行使的行政处罚权。</w:t>
      </w:r>
    </w:p>
    <w:p w:rsidR="00974CDD" w:rsidRPr="00192A52" w:rsidRDefault="00974CDD" w:rsidP="009F014E">
      <w:pPr>
        <w:ind w:firstLine="420"/>
      </w:pPr>
    </w:p>
    <w:sectPr w:rsidR="00974CDD" w:rsidRPr="00192A52" w:rsidSect="00974CDD">
      <w:headerReference w:type="even" r:id="rId6"/>
      <w:headerReference w:type="default" r:id="rId7"/>
      <w:footerReference w:type="even" r:id="rId8"/>
      <w:footerReference w:type="default" r:id="rId9"/>
      <w:headerReference w:type="first" r:id="rId10"/>
      <w:footerReference w:type="first" r:id="rId1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E1333" w:rsidRDefault="006E1333" w:rsidP="00192A52">
      <w:pPr>
        <w:ind w:firstLine="420"/>
      </w:pPr>
      <w:r>
        <w:separator/>
      </w:r>
    </w:p>
  </w:endnote>
  <w:endnote w:type="continuationSeparator" w:id="1">
    <w:p w:rsidR="006E1333" w:rsidRDefault="006E1333" w:rsidP="00192A52">
      <w:pPr>
        <w:ind w:firstLine="42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2A52" w:rsidRDefault="00192A52" w:rsidP="00192A52">
    <w:pPr>
      <w:pStyle w:val="a4"/>
      <w:ind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2A52" w:rsidRDefault="00192A52" w:rsidP="00192A52">
    <w:pPr>
      <w:pStyle w:val="a4"/>
      <w:ind w:firstLine="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2A52" w:rsidRDefault="00192A52" w:rsidP="00192A52">
    <w:pPr>
      <w:pStyle w:val="a4"/>
      <w:ind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E1333" w:rsidRDefault="006E1333" w:rsidP="00192A52">
      <w:pPr>
        <w:ind w:firstLine="420"/>
      </w:pPr>
      <w:r>
        <w:separator/>
      </w:r>
    </w:p>
  </w:footnote>
  <w:footnote w:type="continuationSeparator" w:id="1">
    <w:p w:rsidR="006E1333" w:rsidRDefault="006E1333" w:rsidP="00192A52">
      <w:pPr>
        <w:ind w:firstLine="42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2A52" w:rsidRDefault="00192A52" w:rsidP="00192A52">
    <w:pPr>
      <w:pStyle w:val="a3"/>
      <w:ind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2A52" w:rsidRDefault="00192A52" w:rsidP="00192A52">
    <w:pPr>
      <w:pStyle w:val="a3"/>
      <w:ind w:firstLine="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2A52" w:rsidRDefault="00192A52" w:rsidP="00192A52">
    <w:pPr>
      <w:pStyle w:val="a3"/>
      <w:ind w:firstLine="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717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92A52"/>
    <w:rsid w:val="00036182"/>
    <w:rsid w:val="00073CC3"/>
    <w:rsid w:val="00192A52"/>
    <w:rsid w:val="002F3966"/>
    <w:rsid w:val="00331DE5"/>
    <w:rsid w:val="005235F2"/>
    <w:rsid w:val="006339BD"/>
    <w:rsid w:val="00656D65"/>
    <w:rsid w:val="006E1333"/>
    <w:rsid w:val="00702A0E"/>
    <w:rsid w:val="008A5579"/>
    <w:rsid w:val="00910FB7"/>
    <w:rsid w:val="00974CDD"/>
    <w:rsid w:val="009D18A7"/>
    <w:rsid w:val="009F014E"/>
    <w:rsid w:val="00B2734B"/>
    <w:rsid w:val="00E7275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pPr>
        <w:ind w:firstLineChars="200" w:firstLine="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4CDD"/>
    <w:pPr>
      <w:widowControl w:val="0"/>
      <w:jc w:val="both"/>
    </w:pPr>
  </w:style>
  <w:style w:type="paragraph" w:styleId="3">
    <w:name w:val="heading 3"/>
    <w:basedOn w:val="a"/>
    <w:link w:val="3Char"/>
    <w:uiPriority w:val="9"/>
    <w:qFormat/>
    <w:rsid w:val="00192A52"/>
    <w:pPr>
      <w:widowControl/>
      <w:spacing w:before="100" w:beforeAutospacing="1" w:after="100" w:afterAutospacing="1"/>
      <w:ind w:firstLineChars="0" w:firstLine="0"/>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192A5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192A52"/>
    <w:rPr>
      <w:sz w:val="18"/>
      <w:szCs w:val="18"/>
    </w:rPr>
  </w:style>
  <w:style w:type="paragraph" w:styleId="a4">
    <w:name w:val="footer"/>
    <w:basedOn w:val="a"/>
    <w:link w:val="Char0"/>
    <w:uiPriority w:val="99"/>
    <w:semiHidden/>
    <w:unhideWhenUsed/>
    <w:rsid w:val="00192A52"/>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192A52"/>
    <w:rPr>
      <w:sz w:val="18"/>
      <w:szCs w:val="18"/>
    </w:rPr>
  </w:style>
  <w:style w:type="character" w:customStyle="1" w:styleId="3Char">
    <w:name w:val="标题 3 Char"/>
    <w:basedOn w:val="a0"/>
    <w:link w:val="3"/>
    <w:uiPriority w:val="9"/>
    <w:rsid w:val="00192A52"/>
    <w:rPr>
      <w:rFonts w:ascii="宋体" w:eastAsia="宋体" w:hAnsi="宋体" w:cs="宋体"/>
      <w:b/>
      <w:bCs/>
      <w:kern w:val="0"/>
      <w:sz w:val="27"/>
      <w:szCs w:val="27"/>
    </w:rPr>
  </w:style>
</w:styles>
</file>

<file path=word/webSettings.xml><?xml version="1.0" encoding="utf-8"?>
<w:webSettings xmlns:r="http://schemas.openxmlformats.org/officeDocument/2006/relationships" xmlns:w="http://schemas.openxmlformats.org/wordprocessingml/2006/main">
  <w:divs>
    <w:div w:id="1667784193">
      <w:bodyDiv w:val="1"/>
      <w:marLeft w:val="0"/>
      <w:marRight w:val="0"/>
      <w:marTop w:val="0"/>
      <w:marBottom w:val="0"/>
      <w:divBdr>
        <w:top w:val="none" w:sz="0" w:space="0" w:color="auto"/>
        <w:left w:val="none" w:sz="0" w:space="0" w:color="auto"/>
        <w:bottom w:val="none" w:sz="0" w:space="0" w:color="auto"/>
        <w:right w:val="none" w:sz="0" w:space="0" w:color="auto"/>
      </w:divBdr>
      <w:divsChild>
        <w:div w:id="1384259008">
          <w:marLeft w:val="0"/>
          <w:marRight w:val="0"/>
          <w:marTop w:val="0"/>
          <w:marBottom w:val="0"/>
          <w:divBdr>
            <w:top w:val="none" w:sz="0" w:space="0" w:color="auto"/>
            <w:left w:val="none" w:sz="0" w:space="0" w:color="auto"/>
            <w:bottom w:val="none" w:sz="0" w:space="0" w:color="auto"/>
            <w:right w:val="none" w:sz="0" w:space="0" w:color="auto"/>
          </w:divBdr>
          <w:divsChild>
            <w:div w:id="1183546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12</Pages>
  <Words>1128</Words>
  <Characters>6432</Characters>
  <Application>Microsoft Office Word</Application>
  <DocSecurity>0</DocSecurity>
  <Lines>53</Lines>
  <Paragraphs>15</Paragraphs>
  <ScaleCrop>false</ScaleCrop>
  <Company>Lenovo</Company>
  <LinksUpToDate>false</LinksUpToDate>
  <CharactersWithSpaces>7545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y-l3</dc:creator>
  <cp:keywords/>
  <dc:description/>
  <cp:lastModifiedBy>y-l3</cp:lastModifiedBy>
  <cp:revision>4</cp:revision>
  <dcterms:created xsi:type="dcterms:W3CDTF">2014-02-25T00:51:00Z</dcterms:created>
  <dcterms:modified xsi:type="dcterms:W3CDTF">2014-02-27T05:00:00Z</dcterms:modified>
</cp:coreProperties>
</file>