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00000" w:rsidRDefault="00331CD6">
      <w:pPr>
        <w:jc w:val="left"/>
        <w:rPr>
          <w:rFonts w:ascii="仿宋" w:eastAsia="仿宋" w:hAnsi="仿宋" w:cs="宋体" w:hint="eastAsia"/>
          <w:b/>
          <w:bCs/>
          <w:sz w:val="36"/>
          <w:szCs w:val="36"/>
        </w:rPr>
      </w:pPr>
      <w:bookmarkStart w:id="0" w:name="_Toc445385057"/>
      <w:bookmarkStart w:id="1" w:name="_Toc420486249"/>
      <w:bookmarkStart w:id="2" w:name="_GoBack"/>
      <w:bookmarkEnd w:id="2"/>
      <w:r>
        <w:rPr>
          <w:rFonts w:ascii="仿宋" w:eastAsia="仿宋" w:hAnsi="仿宋" w:cs="宋体" w:hint="eastAsia"/>
          <w:b/>
          <w:bCs/>
          <w:sz w:val="36"/>
          <w:szCs w:val="36"/>
        </w:rPr>
        <w:t>附件</w:t>
      </w:r>
    </w:p>
    <w:p w:rsidR="00000000" w:rsidRDefault="00331CD6">
      <w:pPr>
        <w:jc w:val="center"/>
        <w:rPr>
          <w:rFonts w:ascii="仿宋" w:eastAsia="仿宋" w:hAnsi="仿宋" w:cs="宋体" w:hint="eastAsia"/>
          <w:b/>
          <w:bCs/>
          <w:sz w:val="36"/>
          <w:szCs w:val="36"/>
        </w:rPr>
      </w:pPr>
      <w:r>
        <w:rPr>
          <w:rFonts w:ascii="仿宋" w:eastAsia="仿宋" w:hAnsi="仿宋" w:cs="宋体" w:hint="eastAsia"/>
          <w:b/>
          <w:bCs/>
          <w:sz w:val="36"/>
          <w:szCs w:val="36"/>
        </w:rPr>
        <w:t>城市地下空间开发利用“十三五”规划</w:t>
      </w:r>
      <w:bookmarkEnd w:id="0"/>
      <w:bookmarkEnd w:id="1"/>
    </w:p>
    <w:p w:rsidR="00000000" w:rsidRDefault="00331CD6">
      <w:pPr>
        <w:jc w:val="center"/>
        <w:rPr>
          <w:rFonts w:ascii="仿宋" w:eastAsia="仿宋" w:hAnsi="仿宋" w:cs="宋体" w:hint="eastAsia"/>
          <w:b/>
          <w:bCs/>
          <w:sz w:val="36"/>
          <w:szCs w:val="36"/>
        </w:rPr>
      </w:pPr>
    </w:p>
    <w:p w:rsidR="00000000" w:rsidRDefault="00331CD6">
      <w:pPr>
        <w:spacing w:line="360" w:lineRule="auto"/>
        <w:ind w:firstLineChars="200" w:firstLine="640"/>
        <w:rPr>
          <w:rFonts w:ascii="仿宋" w:eastAsia="仿宋" w:hAnsi="仿宋" w:hint="eastAsia"/>
          <w:sz w:val="32"/>
          <w:szCs w:val="32"/>
        </w:rPr>
      </w:pPr>
      <w:r>
        <w:rPr>
          <w:rFonts w:ascii="仿宋" w:eastAsia="仿宋" w:hAnsi="仿宋" w:hint="eastAsia"/>
          <w:sz w:val="32"/>
        </w:rPr>
        <w:t>合理</w:t>
      </w:r>
      <w:r>
        <w:rPr>
          <w:rFonts w:ascii="仿宋" w:eastAsia="仿宋" w:hAnsi="仿宋" w:hint="eastAsia"/>
          <w:sz w:val="32"/>
        </w:rPr>
        <w:t>开发</w:t>
      </w:r>
      <w:r>
        <w:rPr>
          <w:rFonts w:ascii="仿宋" w:eastAsia="仿宋" w:hAnsi="仿宋" w:hint="eastAsia"/>
          <w:sz w:val="32"/>
        </w:rPr>
        <w:t>利用城市地下空间，</w:t>
      </w:r>
      <w:r>
        <w:rPr>
          <w:rFonts w:ascii="仿宋" w:eastAsia="仿宋" w:hAnsi="仿宋" w:hint="eastAsia"/>
          <w:bCs/>
          <w:sz w:val="32"/>
        </w:rPr>
        <w:t>是</w:t>
      </w:r>
      <w:r>
        <w:rPr>
          <w:rFonts w:ascii="仿宋" w:eastAsia="仿宋" w:hAnsi="仿宋" w:hint="eastAsia"/>
          <w:sz w:val="32"/>
        </w:rPr>
        <w:t>优化城市空间结构和管理格局</w:t>
      </w:r>
      <w:r>
        <w:rPr>
          <w:rFonts w:ascii="仿宋" w:eastAsia="仿宋" w:hAnsi="仿宋" w:hint="eastAsia"/>
          <w:sz w:val="32"/>
        </w:rPr>
        <w:t>，</w:t>
      </w:r>
      <w:r>
        <w:rPr>
          <w:rFonts w:ascii="仿宋" w:eastAsia="仿宋" w:hAnsi="仿宋" w:hint="eastAsia"/>
          <w:bCs/>
          <w:sz w:val="32"/>
        </w:rPr>
        <w:t>增强地下空间之间以及地下空间与地面建设之间有机联系，促进地下空间与城市整体同步发展，缓解城市土地资源紧张的必要措施，</w:t>
      </w:r>
      <w:r>
        <w:rPr>
          <w:rFonts w:ascii="仿宋" w:eastAsia="仿宋" w:hAnsi="仿宋" w:hint="eastAsia"/>
          <w:sz w:val="32"/>
        </w:rPr>
        <w:t>对于</w:t>
      </w:r>
      <w:r>
        <w:rPr>
          <w:rFonts w:ascii="仿宋" w:eastAsia="仿宋" w:hAnsi="仿宋" w:hint="eastAsia"/>
          <w:sz w:val="32"/>
          <w:szCs w:val="32"/>
        </w:rPr>
        <w:t>推动城市由外延扩张式向内涵提升式转变，改善城市环境，建设宜居城市，提高城市综合承载能力</w:t>
      </w:r>
      <w:r>
        <w:rPr>
          <w:rFonts w:ascii="仿宋" w:eastAsia="仿宋" w:hAnsi="仿宋" w:hint="eastAsia"/>
          <w:sz w:val="32"/>
          <w:szCs w:val="32"/>
        </w:rPr>
        <w:t>具有重要意义。</w:t>
      </w:r>
    </w:p>
    <w:p w:rsidR="00000000" w:rsidRDefault="00331CD6">
      <w:pPr>
        <w:ind w:firstLineChars="200" w:firstLine="420"/>
        <w:rPr>
          <w:rFonts w:ascii="仿宋" w:eastAsia="仿宋" w:hAnsi="仿宋" w:hint="eastAsia"/>
          <w:sz w:val="32"/>
          <w:szCs w:val="32"/>
        </w:rPr>
      </w:pPr>
      <w:r>
        <w:rPr>
          <w:rFonts w:ascii="仿宋" w:eastAsia="仿宋" w:hAnsi="仿宋" w:hint="eastAsia"/>
        </w:rPr>
        <w:t xml:space="preserve"> </w:t>
      </w:r>
      <w:r>
        <w:rPr>
          <w:rFonts w:ascii="仿宋" w:eastAsia="仿宋" w:hAnsi="仿宋" w:hint="eastAsia"/>
          <w:sz w:val="32"/>
          <w:szCs w:val="32"/>
        </w:rPr>
        <w:t>为贯彻落实</w:t>
      </w:r>
      <w:r>
        <w:rPr>
          <w:rFonts w:ascii="仿宋" w:eastAsia="仿宋" w:hAnsi="仿宋" w:hint="eastAsia"/>
          <w:sz w:val="32"/>
          <w:szCs w:val="32"/>
        </w:rPr>
        <w:t>《国家新型城镇化规划（</w:t>
      </w:r>
      <w:r>
        <w:rPr>
          <w:rFonts w:ascii="仿宋" w:eastAsia="仿宋" w:hAnsi="仿宋" w:hint="eastAsia"/>
          <w:sz w:val="32"/>
          <w:szCs w:val="32"/>
        </w:rPr>
        <w:t>2014-2020</w:t>
      </w:r>
      <w:r>
        <w:rPr>
          <w:rFonts w:ascii="仿宋" w:eastAsia="仿宋" w:hAnsi="仿宋" w:hint="eastAsia"/>
          <w:sz w:val="32"/>
          <w:szCs w:val="32"/>
        </w:rPr>
        <w:t>年</w:t>
      </w:r>
      <w:r>
        <w:rPr>
          <w:rFonts w:ascii="仿宋" w:eastAsia="仿宋" w:hAnsi="仿宋" w:hint="eastAsia"/>
          <w:sz w:val="32"/>
          <w:szCs w:val="32"/>
        </w:rPr>
        <w:t>）</w:t>
      </w:r>
      <w:r>
        <w:rPr>
          <w:rFonts w:ascii="仿宋" w:eastAsia="仿宋" w:hAnsi="仿宋" w:hint="eastAsia"/>
          <w:sz w:val="32"/>
          <w:szCs w:val="32"/>
        </w:rPr>
        <w:t>》、《中华人民共和国国民经济和社会发展第十三个五年规划纲要》和《中共中央国务院关于进一步加强城市规划建设管理工作的若干意见》，</w:t>
      </w:r>
      <w:r>
        <w:rPr>
          <w:rFonts w:ascii="仿宋" w:eastAsia="仿宋" w:hAnsi="仿宋" w:hint="eastAsia"/>
          <w:sz w:val="32"/>
        </w:rPr>
        <w:t>根据《住</w:t>
      </w:r>
      <w:r>
        <w:rPr>
          <w:rFonts w:ascii="仿宋" w:eastAsia="仿宋" w:hAnsi="仿宋" w:hint="eastAsia"/>
          <w:sz w:val="32"/>
        </w:rPr>
        <w:t>房城乡建设部关于印发〈住房城乡建设事业“十三五”规划编制工作方案〉的通知》（建计函</w:t>
      </w:r>
      <w:r>
        <w:rPr>
          <w:rFonts w:ascii="仿宋" w:eastAsia="仿宋" w:hAnsi="仿宋" w:hint="eastAsia"/>
          <w:sz w:val="30"/>
          <w:szCs w:val="30"/>
        </w:rPr>
        <w:t>〔</w:t>
      </w:r>
      <w:r>
        <w:rPr>
          <w:rFonts w:ascii="仿宋" w:eastAsia="仿宋" w:hAnsi="仿宋" w:hint="eastAsia"/>
          <w:sz w:val="30"/>
          <w:szCs w:val="30"/>
        </w:rPr>
        <w:t>201</w:t>
      </w:r>
      <w:r>
        <w:rPr>
          <w:rFonts w:ascii="仿宋" w:eastAsia="仿宋" w:hAnsi="仿宋" w:hint="eastAsia"/>
          <w:sz w:val="30"/>
          <w:szCs w:val="30"/>
        </w:rPr>
        <w:t>4</w:t>
      </w:r>
      <w:r>
        <w:rPr>
          <w:rFonts w:ascii="仿宋" w:eastAsia="仿宋" w:hAnsi="仿宋" w:hint="eastAsia"/>
          <w:sz w:val="30"/>
          <w:szCs w:val="30"/>
        </w:rPr>
        <w:t>〕</w:t>
      </w:r>
      <w:r>
        <w:rPr>
          <w:rFonts w:ascii="仿宋" w:eastAsia="仿宋" w:hAnsi="仿宋" w:hint="eastAsia"/>
          <w:sz w:val="30"/>
          <w:szCs w:val="30"/>
        </w:rPr>
        <w:t>1</w:t>
      </w:r>
      <w:r>
        <w:rPr>
          <w:rFonts w:ascii="仿宋" w:eastAsia="仿宋" w:hAnsi="仿宋" w:hint="eastAsia"/>
          <w:sz w:val="30"/>
          <w:szCs w:val="30"/>
        </w:rPr>
        <w:t>85</w:t>
      </w:r>
      <w:r>
        <w:rPr>
          <w:rFonts w:ascii="仿宋" w:eastAsia="仿宋" w:hAnsi="仿宋" w:hint="eastAsia"/>
          <w:sz w:val="30"/>
          <w:szCs w:val="30"/>
        </w:rPr>
        <w:t>号），</w:t>
      </w:r>
      <w:r>
        <w:rPr>
          <w:rFonts w:ascii="仿宋" w:eastAsia="仿宋" w:hAnsi="仿宋" w:hint="eastAsia"/>
          <w:sz w:val="32"/>
          <w:szCs w:val="32"/>
        </w:rPr>
        <w:t>住房城乡建设部编制了《城市地下空间开发利用“十三五”规划》（以下简称《规划》）。《规划》以促进城市地下空间科学合理开发利用为总体目标，明确了“十三五”时期的主要任务，提出了保障规划实施的措施，是指导各地开展地下空间开发利用规划、建设和管理的重要依据。</w:t>
      </w:r>
    </w:p>
    <w:p w:rsidR="00000000" w:rsidRDefault="00331CD6">
      <w:pPr>
        <w:ind w:firstLineChars="200" w:firstLine="640"/>
        <w:rPr>
          <w:rFonts w:ascii="仿宋" w:eastAsia="仿宋" w:hAnsi="仿宋" w:hint="eastAsia"/>
          <w:sz w:val="32"/>
          <w:szCs w:val="32"/>
        </w:rPr>
      </w:pPr>
    </w:p>
    <w:p w:rsidR="00000000" w:rsidRDefault="00331CD6">
      <w:pPr>
        <w:ind w:firstLineChars="200" w:firstLine="640"/>
        <w:rPr>
          <w:rFonts w:ascii="仿宋" w:eastAsia="仿宋" w:hAnsi="仿宋" w:hint="eastAsia"/>
          <w:sz w:val="32"/>
          <w:szCs w:val="32"/>
        </w:rPr>
      </w:pPr>
    </w:p>
    <w:p w:rsidR="00000000" w:rsidRDefault="00331CD6">
      <w:pPr>
        <w:rPr>
          <w:rFonts w:ascii="仿宋" w:eastAsia="仿宋" w:hAnsi="仿宋" w:hint="eastAsia"/>
          <w:b/>
          <w:bCs/>
          <w:sz w:val="32"/>
        </w:rPr>
      </w:pPr>
      <w:bookmarkStart w:id="3" w:name="_Toc420486250"/>
      <w:bookmarkStart w:id="4" w:name="_Toc445385058"/>
      <w:r>
        <w:rPr>
          <w:rFonts w:ascii="仿宋" w:eastAsia="仿宋" w:hAnsi="仿宋" w:hint="eastAsia"/>
          <w:b/>
          <w:bCs/>
          <w:sz w:val="32"/>
        </w:rPr>
        <w:t xml:space="preserve">    </w:t>
      </w:r>
      <w:r>
        <w:rPr>
          <w:rFonts w:ascii="仿宋" w:eastAsia="仿宋" w:hAnsi="仿宋" w:hint="eastAsia"/>
          <w:b/>
          <w:bCs/>
          <w:sz w:val="32"/>
        </w:rPr>
        <w:t>一、</w:t>
      </w:r>
      <w:bookmarkEnd w:id="3"/>
      <w:r>
        <w:rPr>
          <w:rFonts w:ascii="仿宋" w:eastAsia="仿宋" w:hAnsi="仿宋" w:hint="eastAsia"/>
          <w:b/>
          <w:bCs/>
          <w:sz w:val="32"/>
        </w:rPr>
        <w:t>发展现状、问题和面临形势</w:t>
      </w:r>
      <w:bookmarkEnd w:id="4"/>
    </w:p>
    <w:p w:rsidR="00000000" w:rsidRDefault="00331CD6">
      <w:pPr>
        <w:rPr>
          <w:rFonts w:ascii="仿宋" w:eastAsia="仿宋" w:hAnsi="仿宋" w:hint="eastAsia"/>
          <w:b/>
          <w:bCs/>
          <w:sz w:val="32"/>
        </w:rPr>
      </w:pPr>
      <w:bookmarkStart w:id="5" w:name="_Toc445385059"/>
      <w:r>
        <w:rPr>
          <w:rFonts w:ascii="仿宋" w:eastAsia="仿宋" w:hAnsi="仿宋" w:hint="eastAsia"/>
          <w:b/>
          <w:bCs/>
          <w:sz w:val="32"/>
        </w:rPr>
        <w:t xml:space="preserve">    </w:t>
      </w:r>
      <w:r>
        <w:rPr>
          <w:rFonts w:ascii="仿宋" w:eastAsia="仿宋" w:hAnsi="仿宋" w:hint="eastAsia"/>
          <w:b/>
          <w:bCs/>
          <w:sz w:val="32"/>
        </w:rPr>
        <w:t>（一）发展现状</w:t>
      </w:r>
      <w:bookmarkEnd w:id="5"/>
      <w:r>
        <w:rPr>
          <w:rFonts w:ascii="仿宋" w:eastAsia="仿宋" w:hAnsi="仿宋" w:hint="eastAsia"/>
          <w:b/>
          <w:bCs/>
          <w:sz w:val="32"/>
        </w:rPr>
        <w:t>。</w:t>
      </w:r>
    </w:p>
    <w:p w:rsidR="00000000" w:rsidRDefault="00331CD6">
      <w:pPr>
        <w:pStyle w:val="4"/>
        <w:spacing w:before="0" w:after="0" w:line="360" w:lineRule="auto"/>
        <w:rPr>
          <w:rFonts w:ascii="仿宋" w:eastAsia="仿宋" w:hAnsi="仿宋" w:hint="eastAsia"/>
          <w:b w:val="0"/>
          <w:sz w:val="32"/>
          <w:szCs w:val="32"/>
        </w:rPr>
      </w:pPr>
      <w:bookmarkStart w:id="6" w:name="_Toc420486251"/>
      <w:r>
        <w:rPr>
          <w:rFonts w:ascii="仿宋" w:eastAsia="仿宋" w:hAnsi="仿宋" w:hint="eastAsia"/>
          <w:sz w:val="32"/>
          <w:szCs w:val="32"/>
        </w:rPr>
        <w:lastRenderedPageBreak/>
        <w:t xml:space="preserve">    </w:t>
      </w:r>
      <w:r>
        <w:rPr>
          <w:rFonts w:ascii="仿宋" w:eastAsia="仿宋" w:hAnsi="仿宋" w:hint="eastAsia"/>
          <w:sz w:val="32"/>
          <w:szCs w:val="32"/>
        </w:rPr>
        <w:t>规模增长迅速</w:t>
      </w:r>
      <w:bookmarkEnd w:id="6"/>
      <w:r>
        <w:rPr>
          <w:rFonts w:ascii="仿宋" w:eastAsia="仿宋" w:hAnsi="仿宋" w:hint="eastAsia"/>
          <w:sz w:val="32"/>
          <w:szCs w:val="32"/>
        </w:rPr>
        <w:t>。</w:t>
      </w:r>
      <w:r>
        <w:rPr>
          <w:rFonts w:ascii="仿宋" w:eastAsia="仿宋" w:hAnsi="仿宋" w:hint="eastAsia"/>
          <w:b w:val="0"/>
          <w:sz w:val="32"/>
          <w:szCs w:val="32"/>
        </w:rPr>
        <w:t>近年来，随着工业化、城市化进程推进，我国城市地下空间开发利用进入</w:t>
      </w:r>
      <w:r>
        <w:rPr>
          <w:rFonts w:ascii="仿宋" w:eastAsia="仿宋" w:hAnsi="仿宋" w:hint="eastAsia"/>
          <w:b w:val="0"/>
          <w:sz w:val="32"/>
          <w:szCs w:val="32"/>
        </w:rPr>
        <w:t>快速增长阶段。“十二五”时期，我国城市地下空间建设量显著增长，年均增速达到</w:t>
      </w:r>
      <w:r>
        <w:rPr>
          <w:rFonts w:ascii="仿宋" w:eastAsia="仿宋" w:hAnsi="仿宋" w:hint="eastAsia"/>
          <w:b w:val="0"/>
          <w:sz w:val="32"/>
          <w:szCs w:val="32"/>
        </w:rPr>
        <w:t>20%</w:t>
      </w:r>
      <w:r>
        <w:rPr>
          <w:rFonts w:ascii="仿宋" w:eastAsia="仿宋" w:hAnsi="仿宋" w:hint="eastAsia"/>
          <w:b w:val="0"/>
          <w:sz w:val="32"/>
          <w:szCs w:val="32"/>
        </w:rPr>
        <w:t>以上，约</w:t>
      </w:r>
      <w:r>
        <w:rPr>
          <w:rFonts w:ascii="仿宋" w:eastAsia="仿宋" w:hAnsi="仿宋" w:hint="eastAsia"/>
          <w:b w:val="0"/>
          <w:sz w:val="32"/>
          <w:szCs w:val="32"/>
        </w:rPr>
        <w:t>60%</w:t>
      </w:r>
      <w:r>
        <w:rPr>
          <w:rFonts w:ascii="仿宋" w:eastAsia="仿宋" w:hAnsi="仿宋" w:hint="eastAsia"/>
          <w:b w:val="0"/>
          <w:sz w:val="32"/>
          <w:szCs w:val="32"/>
        </w:rPr>
        <w:t>的现状地下空间为“十二五”时期建设完成</w:t>
      </w:r>
      <w:r>
        <w:rPr>
          <w:rFonts w:ascii="仿宋" w:eastAsia="仿宋" w:hAnsi="仿宋" w:hint="eastAsia"/>
          <w:b w:val="0"/>
          <w:sz w:val="32"/>
          <w:szCs w:val="32"/>
        </w:rPr>
        <w:t>。据不完全统计，</w:t>
      </w:r>
      <w:r>
        <w:rPr>
          <w:rFonts w:ascii="仿宋" w:eastAsia="仿宋" w:hAnsi="仿宋" w:hint="eastAsia"/>
          <w:b w:val="0"/>
          <w:sz w:val="32"/>
          <w:szCs w:val="32"/>
        </w:rPr>
        <w:t>地下空间与同期地面建筑竣工面积的比例从约</w:t>
      </w:r>
      <w:r>
        <w:rPr>
          <w:rFonts w:ascii="仿宋" w:eastAsia="仿宋" w:hAnsi="仿宋" w:hint="eastAsia"/>
          <w:b w:val="0"/>
          <w:sz w:val="32"/>
          <w:szCs w:val="32"/>
        </w:rPr>
        <w:t>10%</w:t>
      </w:r>
      <w:r>
        <w:rPr>
          <w:rFonts w:ascii="仿宋" w:eastAsia="仿宋" w:hAnsi="仿宋" w:hint="eastAsia"/>
          <w:b w:val="0"/>
          <w:sz w:val="32"/>
          <w:szCs w:val="32"/>
        </w:rPr>
        <w:t>增长到</w:t>
      </w:r>
      <w:r>
        <w:rPr>
          <w:rFonts w:ascii="仿宋" w:eastAsia="仿宋" w:hAnsi="仿宋" w:hint="eastAsia"/>
          <w:b w:val="0"/>
          <w:sz w:val="32"/>
          <w:szCs w:val="32"/>
        </w:rPr>
        <w:t>15%</w:t>
      </w:r>
      <w:r>
        <w:rPr>
          <w:rFonts w:ascii="仿宋" w:eastAsia="仿宋" w:hAnsi="仿宋" w:hint="eastAsia"/>
          <w:b w:val="0"/>
          <w:sz w:val="32"/>
          <w:szCs w:val="32"/>
        </w:rPr>
        <w:t>。尤其在人口和经济活动高度集聚的大城市，在轨道交通和</w:t>
      </w:r>
      <w:r>
        <w:rPr>
          <w:rFonts w:ascii="仿宋" w:eastAsia="仿宋" w:hAnsi="仿宋" w:hint="eastAsia"/>
          <w:b w:val="0"/>
          <w:sz w:val="32"/>
          <w:szCs w:val="32"/>
        </w:rPr>
        <w:t>地上</w:t>
      </w:r>
      <w:r>
        <w:rPr>
          <w:rFonts w:ascii="仿宋" w:eastAsia="仿宋" w:hAnsi="仿宋" w:hint="eastAsia"/>
          <w:b w:val="0"/>
          <w:sz w:val="32"/>
          <w:szCs w:val="32"/>
        </w:rPr>
        <w:t>地下综合建设带动下，城市地下空间开发规模增长迅速</w:t>
      </w:r>
      <w:r>
        <w:rPr>
          <w:rFonts w:ascii="仿宋" w:eastAsia="仿宋" w:hAnsi="仿宋" w:hint="eastAsia"/>
          <w:b w:val="0"/>
          <w:sz w:val="32"/>
          <w:szCs w:val="32"/>
        </w:rPr>
        <w:t>，</w:t>
      </w:r>
      <w:r>
        <w:rPr>
          <w:rFonts w:ascii="仿宋" w:eastAsia="仿宋" w:hAnsi="仿宋" w:hint="eastAsia"/>
          <w:b w:val="0"/>
          <w:sz w:val="32"/>
          <w:szCs w:val="32"/>
        </w:rPr>
        <w:t>需求动力充足。</w:t>
      </w:r>
    </w:p>
    <w:p w:rsidR="00000000" w:rsidRDefault="00331CD6">
      <w:pPr>
        <w:pStyle w:val="4"/>
        <w:spacing w:before="0" w:after="0" w:line="360" w:lineRule="auto"/>
        <w:rPr>
          <w:rFonts w:ascii="仿宋" w:eastAsia="仿宋" w:hAnsi="仿宋" w:hint="eastAsia"/>
          <w:b w:val="0"/>
          <w:sz w:val="32"/>
          <w:szCs w:val="32"/>
        </w:rPr>
      </w:pPr>
      <w:r>
        <w:rPr>
          <w:rFonts w:ascii="仿宋" w:eastAsia="仿宋" w:hAnsi="仿宋" w:hint="eastAsia"/>
          <w:sz w:val="32"/>
          <w:szCs w:val="32"/>
        </w:rPr>
        <w:t xml:space="preserve">    </w:t>
      </w:r>
      <w:r>
        <w:rPr>
          <w:rFonts w:ascii="仿宋" w:eastAsia="仿宋" w:hAnsi="仿宋" w:hint="eastAsia"/>
          <w:sz w:val="32"/>
          <w:szCs w:val="32"/>
        </w:rPr>
        <w:t>利用类型丰富。</w:t>
      </w:r>
      <w:r>
        <w:rPr>
          <w:rFonts w:ascii="仿宋" w:eastAsia="仿宋" w:hAnsi="仿宋" w:hint="eastAsia"/>
          <w:b w:val="0"/>
          <w:sz w:val="32"/>
          <w:szCs w:val="32"/>
        </w:rPr>
        <w:t>城市地下空间开发利用类型呈现多样化、深度化和复杂化的发展趋势。类型上，逐渐从人防工程拓展到交通、市政、商服、仓储等多种类型；开发深度上，由浅层开发延伸至深层开发；</w:t>
      </w:r>
      <w:r>
        <w:rPr>
          <w:rFonts w:ascii="仿宋" w:eastAsia="仿宋" w:hAnsi="仿宋" w:hint="eastAsia"/>
          <w:b w:val="0"/>
          <w:sz w:val="32"/>
          <w:szCs w:val="32"/>
        </w:rPr>
        <w:t>具体项目上，由小规模单一功能的地下工程发展为集商业、娱乐、休闲、交通、停车等功能于一体的地下城市空间。</w:t>
      </w:r>
    </w:p>
    <w:p w:rsidR="00000000" w:rsidRDefault="00331CD6">
      <w:pPr>
        <w:ind w:firstLineChars="200" w:firstLine="643"/>
        <w:rPr>
          <w:rFonts w:ascii="仿宋" w:eastAsia="仿宋" w:hAnsi="仿宋" w:hint="eastAsia"/>
          <w:sz w:val="32"/>
          <w:szCs w:val="32"/>
        </w:rPr>
      </w:pPr>
      <w:r>
        <w:rPr>
          <w:rFonts w:ascii="仿宋" w:eastAsia="仿宋" w:hAnsi="仿宋" w:hint="eastAsia"/>
          <w:b/>
          <w:bCs/>
          <w:sz w:val="32"/>
          <w:szCs w:val="32"/>
        </w:rPr>
        <w:t>综合效益显著。</w:t>
      </w:r>
      <w:r>
        <w:rPr>
          <w:rFonts w:ascii="仿宋" w:eastAsia="仿宋" w:hAnsi="仿宋" w:hint="eastAsia"/>
          <w:sz w:val="32"/>
          <w:szCs w:val="32"/>
        </w:rPr>
        <w:t>城市地下空间开发利用在城市发展中的地位和作用日益提高。一方面，在城镇化发展不断加速与生态环境要求不断提高的双重约束下，地下空间开发利用成为优化城市空间结构、提高城市空间资源利用效率的重要手段；另一方面，城市地下空间开发利用有利于增加城市容量、增强防灾减灾能力、缓解交通拥堵、完善公共服务和基础设施配套，经济、社会、环境综合效益显著，是建设资源节约型、环境友好型社会和践行生态文明的重要举措。</w:t>
      </w:r>
    </w:p>
    <w:p w:rsidR="00000000" w:rsidRDefault="00331CD6">
      <w:pPr>
        <w:rPr>
          <w:rFonts w:ascii="仿宋" w:eastAsia="仿宋" w:hAnsi="仿宋" w:hint="eastAsia"/>
          <w:b/>
          <w:bCs/>
          <w:sz w:val="32"/>
        </w:rPr>
      </w:pPr>
      <w:r>
        <w:rPr>
          <w:rFonts w:ascii="仿宋" w:eastAsia="仿宋" w:hAnsi="仿宋" w:hint="eastAsia"/>
          <w:b/>
          <w:bCs/>
          <w:sz w:val="32"/>
        </w:rPr>
        <w:t xml:space="preserve"> </w:t>
      </w:r>
      <w:r>
        <w:rPr>
          <w:rFonts w:ascii="仿宋" w:eastAsia="仿宋" w:hAnsi="仿宋" w:hint="eastAsia"/>
          <w:b/>
          <w:bCs/>
          <w:sz w:val="32"/>
        </w:rPr>
        <w:t xml:space="preserve">   </w:t>
      </w:r>
      <w:r>
        <w:rPr>
          <w:rFonts w:ascii="仿宋" w:eastAsia="仿宋" w:hAnsi="仿宋" w:hint="eastAsia"/>
          <w:b/>
          <w:bCs/>
          <w:sz w:val="32"/>
        </w:rPr>
        <w:t>（二）主要问题。</w:t>
      </w:r>
    </w:p>
    <w:p w:rsidR="00000000" w:rsidRDefault="00331CD6">
      <w:pPr>
        <w:pStyle w:val="4"/>
        <w:spacing w:before="0" w:after="0" w:line="360" w:lineRule="auto"/>
        <w:ind w:firstLineChars="200" w:firstLine="643"/>
        <w:rPr>
          <w:rFonts w:ascii="仿宋" w:eastAsia="仿宋" w:hAnsi="仿宋" w:hint="eastAsia"/>
          <w:b w:val="0"/>
          <w:sz w:val="32"/>
        </w:rPr>
      </w:pPr>
      <w:r>
        <w:rPr>
          <w:rFonts w:ascii="仿宋" w:eastAsia="仿宋" w:hAnsi="仿宋" w:hint="eastAsia"/>
          <w:sz w:val="32"/>
          <w:szCs w:val="32"/>
        </w:rPr>
        <w:lastRenderedPageBreak/>
        <w:t>系统性不足。</w:t>
      </w:r>
      <w:r>
        <w:rPr>
          <w:rFonts w:ascii="仿宋" w:eastAsia="仿宋" w:hAnsi="仿宋" w:hint="eastAsia"/>
          <w:b w:val="0"/>
          <w:sz w:val="32"/>
        </w:rPr>
        <w:t>城市地下空间作为城市地面空间的重要补充，只有建立有机联系才能发挥其提高城市空间资源利用效率、实现综合效益的作用。目前，我国城市地下空间开发利用普遍存在系统性缺乏问题。一方面，城市地下空间之间连通性较差，同一地区相邻项目之间缺乏联系和贯通，存在零星、分散、孤立开发问题；另一方面，城市地下空间与地面空间协调不足，缺乏衔接，甚至相互矛盾，形成安全隐患。</w:t>
      </w:r>
    </w:p>
    <w:p w:rsidR="00000000" w:rsidRDefault="00331CD6">
      <w:pPr>
        <w:jc w:val="left"/>
        <w:rPr>
          <w:rFonts w:ascii="仿宋" w:eastAsia="仿宋" w:hAnsi="仿宋" w:hint="eastAsia"/>
          <w:b/>
          <w:sz w:val="32"/>
        </w:rPr>
      </w:pPr>
      <w:r>
        <w:rPr>
          <w:rFonts w:ascii="仿宋" w:eastAsia="仿宋" w:hAnsi="仿宋" w:hint="eastAsia"/>
          <w:b/>
          <w:sz w:val="32"/>
          <w:szCs w:val="32"/>
        </w:rPr>
        <w:t xml:space="preserve">    </w:t>
      </w:r>
      <w:r>
        <w:rPr>
          <w:rFonts w:ascii="仿宋" w:eastAsia="仿宋" w:hAnsi="仿宋" w:hint="eastAsia"/>
          <w:b/>
          <w:sz w:val="32"/>
        </w:rPr>
        <w:t>管理体制亟待完善。</w:t>
      </w:r>
      <w:r>
        <w:rPr>
          <w:rFonts w:ascii="仿宋" w:eastAsia="仿宋" w:hAnsi="仿宋" w:hint="eastAsia"/>
          <w:sz w:val="32"/>
          <w:szCs w:val="28"/>
        </w:rPr>
        <w:t>城市地下空间开发利用日趋复杂和综合，需要完善的配套管理制度及有关部门的密切配合。我国城市地下空间开发</w:t>
      </w:r>
      <w:r>
        <w:rPr>
          <w:rFonts w:ascii="仿宋" w:eastAsia="仿宋" w:hAnsi="仿宋" w:hint="eastAsia"/>
          <w:sz w:val="32"/>
          <w:szCs w:val="28"/>
        </w:rPr>
        <w:t>利用管理体制建设尚处于起步阶段，缺乏系统、规范的内容和程序要求，地下空间开发利用在规划建设、权属登记、工程质量和安全使用等方面的制度尚不健全。此外，地下空间开发利用涉及多个管理部门，存在多头管理或管理缺位问题。</w:t>
      </w:r>
      <w:r>
        <w:rPr>
          <w:rFonts w:ascii="仿宋" w:eastAsia="仿宋" w:hAnsi="仿宋" w:hint="eastAsia"/>
          <w:sz w:val="32"/>
          <w:szCs w:val="28"/>
        </w:rPr>
        <w:t xml:space="preserve">                </w:t>
      </w:r>
      <w:r>
        <w:rPr>
          <w:rFonts w:ascii="仿宋" w:eastAsia="仿宋" w:hAnsi="仿宋" w:hint="eastAsia"/>
          <w:sz w:val="32"/>
          <w:szCs w:val="32"/>
        </w:rPr>
        <w:t xml:space="preserve">                </w:t>
      </w:r>
    </w:p>
    <w:p w:rsidR="00000000" w:rsidRDefault="00331CD6">
      <w:pPr>
        <w:jc w:val="left"/>
        <w:rPr>
          <w:rFonts w:ascii="仿宋" w:eastAsia="仿宋" w:hAnsi="仿宋" w:hint="eastAsia"/>
          <w:bCs/>
          <w:sz w:val="32"/>
        </w:rPr>
      </w:pPr>
      <w:r>
        <w:rPr>
          <w:rFonts w:ascii="仿宋" w:eastAsia="仿宋" w:hAnsi="仿宋" w:hint="eastAsia"/>
          <w:b/>
          <w:bCs/>
          <w:sz w:val="32"/>
        </w:rPr>
        <w:t xml:space="preserve">    </w:t>
      </w:r>
      <w:r>
        <w:rPr>
          <w:rFonts w:ascii="仿宋" w:eastAsia="仿宋" w:hAnsi="仿宋" w:hint="eastAsia"/>
          <w:b/>
          <w:bCs/>
          <w:sz w:val="32"/>
        </w:rPr>
        <w:t>规划制定落后于城市建设发展实践。</w:t>
      </w:r>
      <w:r>
        <w:rPr>
          <w:rFonts w:ascii="仿宋" w:eastAsia="仿宋" w:hAnsi="仿宋" w:hint="eastAsia"/>
          <w:bCs/>
          <w:sz w:val="32"/>
        </w:rPr>
        <w:t>我国城市地下空间规划制定尚处于探索阶段，存在规划组织编制主体不明确、规划体系不清晰、缺乏统一规范的规划编制要求等问题，对城市地下空间资源保护和合理开发产生不利影响。多数城市地下空间开发利用缺乏规划</w:t>
      </w:r>
      <w:r>
        <w:rPr>
          <w:rFonts w:ascii="仿宋" w:eastAsia="仿宋" w:hAnsi="仿宋" w:hint="eastAsia"/>
          <w:bCs/>
          <w:sz w:val="32"/>
        </w:rPr>
        <w:t>，城市地下空间规划制定普遍滞后于建设发展实践。</w:t>
      </w:r>
    </w:p>
    <w:p w:rsidR="00000000" w:rsidRDefault="00331CD6">
      <w:pPr>
        <w:pStyle w:val="4"/>
        <w:spacing w:before="0" w:after="0" w:line="360" w:lineRule="auto"/>
        <w:rPr>
          <w:rFonts w:ascii="仿宋" w:eastAsia="仿宋" w:hAnsi="仿宋" w:hint="eastAsia"/>
          <w:b w:val="0"/>
          <w:sz w:val="32"/>
        </w:rPr>
      </w:pPr>
      <w:r>
        <w:rPr>
          <w:rFonts w:ascii="仿宋" w:eastAsia="仿宋" w:hAnsi="仿宋" w:hint="eastAsia"/>
          <w:sz w:val="32"/>
          <w:szCs w:val="32"/>
        </w:rPr>
        <w:lastRenderedPageBreak/>
        <w:t xml:space="preserve">    </w:t>
      </w:r>
      <w:r>
        <w:rPr>
          <w:rFonts w:ascii="仿宋" w:eastAsia="仿宋" w:hAnsi="仿宋" w:hint="eastAsia"/>
          <w:sz w:val="32"/>
        </w:rPr>
        <w:t>基本情况掌握不足。</w:t>
      </w:r>
      <w:r>
        <w:rPr>
          <w:rFonts w:ascii="仿宋" w:eastAsia="仿宋" w:hAnsi="仿宋" w:hint="eastAsia"/>
          <w:b w:val="0"/>
          <w:sz w:val="32"/>
        </w:rPr>
        <w:t>大部分城市对地下空间开发利用基本现状掌握不足。城市规划建设管理部门通过实施规划许可管理，对近期城市地下空间开发建设情况较为了解，但对早期建设的地下空间开发利用情况缺乏掌握。此外，数据共享不足、沟通不畅、统计口径和标准不一致等问题，也导致一些地方地下空间调查进展不顺。</w:t>
      </w:r>
    </w:p>
    <w:p w:rsidR="00000000" w:rsidRDefault="00331CD6">
      <w:pPr>
        <w:rPr>
          <w:rFonts w:ascii="仿宋" w:eastAsia="仿宋" w:hAnsi="仿宋" w:hint="eastAsia"/>
          <w:b/>
          <w:bCs/>
          <w:sz w:val="32"/>
        </w:rPr>
      </w:pPr>
      <w:bookmarkStart w:id="7" w:name="_Toc445385061"/>
      <w:r>
        <w:rPr>
          <w:rFonts w:ascii="仿宋" w:eastAsia="仿宋" w:hAnsi="仿宋" w:hint="eastAsia"/>
          <w:b/>
          <w:bCs/>
          <w:sz w:val="32"/>
        </w:rPr>
        <w:t xml:space="preserve">    </w:t>
      </w:r>
      <w:r>
        <w:rPr>
          <w:rFonts w:ascii="仿宋" w:eastAsia="仿宋" w:hAnsi="仿宋" w:hint="eastAsia"/>
          <w:b/>
          <w:bCs/>
          <w:sz w:val="32"/>
        </w:rPr>
        <w:t>（三）面临形势</w:t>
      </w:r>
      <w:bookmarkEnd w:id="7"/>
      <w:r>
        <w:rPr>
          <w:rFonts w:ascii="仿宋" w:eastAsia="仿宋" w:hAnsi="仿宋" w:hint="eastAsia"/>
          <w:b/>
          <w:bCs/>
          <w:sz w:val="32"/>
        </w:rPr>
        <w:t>。</w:t>
      </w:r>
    </w:p>
    <w:p w:rsidR="00000000" w:rsidRDefault="00331CD6">
      <w:pPr>
        <w:ind w:firstLineChars="200" w:firstLine="640"/>
        <w:rPr>
          <w:rFonts w:ascii="仿宋" w:eastAsia="仿宋" w:hAnsi="仿宋" w:hint="eastAsia"/>
          <w:sz w:val="32"/>
          <w:szCs w:val="28"/>
        </w:rPr>
      </w:pPr>
      <w:r>
        <w:rPr>
          <w:rFonts w:ascii="仿宋" w:eastAsia="仿宋" w:hAnsi="仿宋" w:hint="eastAsia"/>
          <w:sz w:val="32"/>
          <w:szCs w:val="28"/>
        </w:rPr>
        <w:t>城市是经济社会发展和人民生产生活的重要载体，是现代文明的标志，把城市规划好、建设好、管理好，对促进新型城镇化发展，建设美丽中国，实现到</w:t>
      </w:r>
      <w:r>
        <w:rPr>
          <w:rFonts w:ascii="仿宋" w:eastAsia="仿宋" w:hAnsi="仿宋" w:hint="eastAsia"/>
          <w:sz w:val="32"/>
          <w:szCs w:val="28"/>
        </w:rPr>
        <w:t>2020</w:t>
      </w:r>
      <w:r>
        <w:rPr>
          <w:rFonts w:ascii="仿宋" w:eastAsia="仿宋" w:hAnsi="仿宋" w:hint="eastAsia"/>
          <w:sz w:val="32"/>
          <w:szCs w:val="28"/>
        </w:rPr>
        <w:t>年</w:t>
      </w:r>
      <w:r>
        <w:rPr>
          <w:rFonts w:ascii="仿宋" w:eastAsia="仿宋" w:hAnsi="仿宋" w:hint="eastAsia"/>
          <w:sz w:val="32"/>
          <w:szCs w:val="28"/>
        </w:rPr>
        <w:t>全面建成小康社会的奋斗目标，具有重要意义。根据我国城镇化进程和地下空间开发利用发展趋势，“十三五”时期城市地下空间开发利用还将有相当</w:t>
      </w:r>
      <w:r>
        <w:rPr>
          <w:rFonts w:ascii="仿宋" w:eastAsia="仿宋" w:hAnsi="仿宋" w:hint="eastAsia"/>
          <w:sz w:val="32"/>
          <w:szCs w:val="28"/>
        </w:rPr>
        <w:t>大</w:t>
      </w:r>
      <w:r>
        <w:rPr>
          <w:rFonts w:ascii="仿宋" w:eastAsia="仿宋" w:hAnsi="仿宋" w:hint="eastAsia"/>
          <w:sz w:val="32"/>
          <w:szCs w:val="28"/>
        </w:rPr>
        <w:t>的规模。科学合理地开发利用城市地下空间，成为提高城市空间资源利用效率、提高城市综合承载力和保护地下空间资源的重要途径。虽然我国部分城市地下空间开发利用进入迅速发展阶段，但是大多数城市地下空间开发利用仍处于起步阶段，城市地下空间开发利用面临建设发展需求旺盛但系统性不足、有关立法和规划制定相对滞后、现状利用基本情况不清、管理体制和机制有待进一步完善等挑战。</w:t>
      </w:r>
      <w:bookmarkStart w:id="8" w:name="_Toc420486258"/>
      <w:bookmarkStart w:id="9" w:name="_Toc445385062"/>
    </w:p>
    <w:p w:rsidR="00000000" w:rsidRDefault="00331CD6">
      <w:pPr>
        <w:rPr>
          <w:rFonts w:ascii="仿宋" w:eastAsia="仿宋" w:hAnsi="仿宋" w:hint="eastAsia"/>
          <w:b/>
          <w:bCs/>
          <w:sz w:val="32"/>
        </w:rPr>
      </w:pPr>
      <w:r>
        <w:rPr>
          <w:rFonts w:ascii="仿宋" w:eastAsia="仿宋" w:hAnsi="仿宋" w:hint="eastAsia"/>
          <w:b/>
          <w:bCs/>
          <w:sz w:val="32"/>
        </w:rPr>
        <w:t xml:space="preserve">    </w:t>
      </w:r>
      <w:r>
        <w:rPr>
          <w:rFonts w:ascii="仿宋" w:eastAsia="仿宋" w:hAnsi="仿宋" w:hint="eastAsia"/>
          <w:b/>
          <w:bCs/>
          <w:sz w:val="32"/>
        </w:rPr>
        <w:t>二、指导思想、</w:t>
      </w:r>
      <w:r>
        <w:rPr>
          <w:rFonts w:ascii="仿宋" w:eastAsia="仿宋" w:hAnsi="仿宋" w:hint="eastAsia"/>
          <w:b/>
          <w:bCs/>
          <w:sz w:val="32"/>
        </w:rPr>
        <w:t>基本原则和规划目标</w:t>
      </w:r>
      <w:bookmarkStart w:id="10" w:name="_Toc445385063"/>
      <w:bookmarkStart w:id="11" w:name="_Toc420486259"/>
      <w:bookmarkEnd w:id="8"/>
      <w:bookmarkEnd w:id="9"/>
    </w:p>
    <w:p w:rsidR="00000000" w:rsidRDefault="00331CD6">
      <w:pPr>
        <w:rPr>
          <w:rFonts w:ascii="仿宋" w:eastAsia="仿宋" w:hAnsi="仿宋" w:hint="eastAsia"/>
          <w:b/>
          <w:bCs/>
          <w:sz w:val="32"/>
        </w:rPr>
      </w:pPr>
      <w:r>
        <w:rPr>
          <w:rFonts w:ascii="仿宋" w:eastAsia="仿宋" w:hAnsi="仿宋" w:hint="eastAsia"/>
          <w:b/>
          <w:bCs/>
          <w:sz w:val="32"/>
        </w:rPr>
        <w:t xml:space="preserve">    </w:t>
      </w:r>
      <w:r>
        <w:rPr>
          <w:rFonts w:ascii="仿宋" w:eastAsia="仿宋" w:hAnsi="仿宋" w:hint="eastAsia"/>
          <w:b/>
          <w:bCs/>
          <w:sz w:val="32"/>
        </w:rPr>
        <w:t>（一）指导思想</w:t>
      </w:r>
      <w:bookmarkEnd w:id="10"/>
      <w:bookmarkEnd w:id="11"/>
      <w:r>
        <w:rPr>
          <w:rFonts w:ascii="仿宋" w:eastAsia="仿宋" w:hAnsi="仿宋" w:hint="eastAsia"/>
          <w:b/>
          <w:bCs/>
          <w:sz w:val="32"/>
        </w:rPr>
        <w:t>。</w:t>
      </w:r>
    </w:p>
    <w:p w:rsidR="00000000" w:rsidRDefault="00331CD6">
      <w:pPr>
        <w:ind w:firstLineChars="200" w:firstLine="640"/>
        <w:rPr>
          <w:rFonts w:ascii="仿宋" w:eastAsia="仿宋" w:hAnsi="仿宋" w:hint="eastAsia"/>
          <w:sz w:val="32"/>
          <w:szCs w:val="28"/>
        </w:rPr>
      </w:pPr>
      <w:r>
        <w:rPr>
          <w:rFonts w:ascii="仿宋" w:eastAsia="仿宋" w:hAnsi="仿宋" w:hint="eastAsia"/>
          <w:sz w:val="32"/>
          <w:szCs w:val="28"/>
        </w:rPr>
        <w:t>全面贯彻党的十八大和十八届三中、四中、五中全会精神，</w:t>
      </w:r>
      <w:r>
        <w:rPr>
          <w:rFonts w:ascii="仿宋" w:eastAsia="仿宋" w:hAnsi="仿宋" w:hint="eastAsia"/>
          <w:sz w:val="32"/>
          <w:szCs w:val="28"/>
        </w:rPr>
        <w:lastRenderedPageBreak/>
        <w:t>按照“五位一体”总体布局和“四个全面”战略布局，认真贯彻创新、协调、绿色、开放、共享的发展理念，适应新型城镇化需要，把加强城市地下空间规划建设管理作为履行政府职能的重要内容，</w:t>
      </w:r>
      <w:r>
        <w:rPr>
          <w:rFonts w:ascii="仿宋" w:eastAsia="仿宋" w:hAnsi="仿宋" w:hint="eastAsia"/>
          <w:sz w:val="32"/>
          <w:szCs w:val="28"/>
        </w:rPr>
        <w:t>坚持</w:t>
      </w:r>
      <w:r>
        <w:rPr>
          <w:rFonts w:ascii="仿宋" w:eastAsia="仿宋" w:hAnsi="仿宋" w:hint="eastAsia"/>
          <w:sz w:val="32"/>
          <w:szCs w:val="28"/>
        </w:rPr>
        <w:t>开发与保护相结合</w:t>
      </w:r>
      <w:r>
        <w:rPr>
          <w:rFonts w:ascii="仿宋" w:eastAsia="仿宋" w:hAnsi="仿宋" w:hint="eastAsia"/>
          <w:sz w:val="32"/>
          <w:szCs w:val="28"/>
        </w:rPr>
        <w:t>、</w:t>
      </w:r>
      <w:r>
        <w:rPr>
          <w:rFonts w:ascii="仿宋" w:eastAsia="仿宋" w:hAnsi="仿宋" w:hint="eastAsia"/>
          <w:sz w:val="32"/>
          <w:szCs w:val="28"/>
        </w:rPr>
        <w:t>平时与战时相结合，统筹利用地上地下空间资源，着力提高城市综合承载能力，全面加强城市地下空间开发利用管理。</w:t>
      </w:r>
      <w:bookmarkStart w:id="12" w:name="_Toc445385064"/>
      <w:bookmarkStart w:id="13" w:name="_Toc420486260"/>
    </w:p>
    <w:p w:rsidR="00000000" w:rsidRDefault="00331CD6">
      <w:pPr>
        <w:rPr>
          <w:rFonts w:ascii="仿宋" w:eastAsia="仿宋" w:hAnsi="仿宋" w:hint="eastAsia"/>
          <w:b/>
          <w:bCs/>
          <w:sz w:val="32"/>
        </w:rPr>
      </w:pPr>
      <w:r>
        <w:rPr>
          <w:rFonts w:ascii="仿宋" w:eastAsia="仿宋" w:hAnsi="仿宋" w:hint="eastAsia"/>
          <w:b/>
          <w:bCs/>
          <w:sz w:val="32"/>
        </w:rPr>
        <w:t xml:space="preserve">    </w:t>
      </w:r>
      <w:r>
        <w:rPr>
          <w:rFonts w:ascii="仿宋" w:eastAsia="仿宋" w:hAnsi="仿宋" w:hint="eastAsia"/>
          <w:b/>
          <w:bCs/>
          <w:sz w:val="32"/>
        </w:rPr>
        <w:t>（二）基本原则</w:t>
      </w:r>
      <w:bookmarkEnd w:id="12"/>
      <w:bookmarkEnd w:id="13"/>
      <w:r>
        <w:rPr>
          <w:rFonts w:ascii="仿宋" w:eastAsia="仿宋" w:hAnsi="仿宋" w:hint="eastAsia"/>
          <w:b/>
          <w:bCs/>
          <w:sz w:val="32"/>
        </w:rPr>
        <w:t>。</w:t>
      </w:r>
    </w:p>
    <w:p w:rsidR="00000000" w:rsidRDefault="00331CD6">
      <w:pPr>
        <w:ind w:firstLineChars="200" w:firstLine="643"/>
        <w:rPr>
          <w:rFonts w:ascii="仿宋" w:eastAsia="仿宋" w:hAnsi="仿宋" w:hint="eastAsia"/>
          <w:sz w:val="32"/>
          <w:szCs w:val="28"/>
        </w:rPr>
      </w:pPr>
      <w:r>
        <w:rPr>
          <w:rFonts w:ascii="仿宋" w:eastAsia="仿宋" w:hAnsi="仿宋" w:hint="eastAsia"/>
          <w:b/>
          <w:bCs/>
          <w:sz w:val="32"/>
        </w:rPr>
        <w:t>先规划、后建设，科学编制城市地下空间规划。</w:t>
      </w:r>
      <w:r>
        <w:rPr>
          <w:rFonts w:ascii="仿宋" w:eastAsia="仿宋" w:hAnsi="仿宋" w:hint="eastAsia"/>
          <w:sz w:val="32"/>
          <w:szCs w:val="28"/>
        </w:rPr>
        <w:t>地下空间开发利用应与城市发展战略相协调，结合</w:t>
      </w:r>
      <w:r>
        <w:rPr>
          <w:rFonts w:ascii="仿宋" w:eastAsia="仿宋" w:hAnsi="仿宋" w:hint="eastAsia"/>
          <w:sz w:val="32"/>
          <w:szCs w:val="28"/>
        </w:rPr>
        <w:t>城市发展实际，科学规划，合理确定地下空间的规划建设规模、时序和发展模式，稳步推进地下空间建设。城市地下空间开发利用应当以地下空间规划为前提和依据，严格按照规划开展。</w:t>
      </w:r>
    </w:p>
    <w:p w:rsidR="00000000" w:rsidRDefault="00331CD6">
      <w:pPr>
        <w:ind w:firstLineChars="200" w:firstLine="643"/>
        <w:rPr>
          <w:rFonts w:ascii="仿宋" w:eastAsia="仿宋" w:hAnsi="仿宋" w:hint="eastAsia"/>
          <w:sz w:val="32"/>
          <w:szCs w:val="28"/>
        </w:rPr>
      </w:pPr>
      <w:r>
        <w:rPr>
          <w:rFonts w:ascii="仿宋" w:eastAsia="仿宋" w:hAnsi="仿宋" w:hint="eastAsia"/>
          <w:b/>
          <w:bCs/>
          <w:sz w:val="32"/>
        </w:rPr>
        <w:t>统筹开发，有序利用，提高地下空间系统性。</w:t>
      </w:r>
      <w:r>
        <w:rPr>
          <w:rFonts w:ascii="仿宋" w:eastAsia="仿宋" w:hAnsi="仿宋" w:hint="eastAsia"/>
          <w:sz w:val="32"/>
          <w:szCs w:val="28"/>
        </w:rPr>
        <w:t>地下空间开发利用应当坚持统筹安排、综合开发、合理利用的原则。坚持平时与战时相结合、地下与地上相协调的方针，鼓励竖向分层立体综合开发和横向相关空间连通开发，提高城市地下空间开发利用的整体性和系统性。</w:t>
      </w:r>
      <w:r>
        <w:rPr>
          <w:rFonts w:ascii="仿宋" w:eastAsia="仿宋" w:hAnsi="仿宋" w:hint="eastAsia"/>
          <w:sz w:val="32"/>
          <w:szCs w:val="28"/>
        </w:rPr>
        <w:t xml:space="preserve"> </w:t>
      </w:r>
    </w:p>
    <w:p w:rsidR="00000000" w:rsidRDefault="00331CD6">
      <w:pPr>
        <w:ind w:firstLineChars="200" w:firstLine="643"/>
        <w:rPr>
          <w:rFonts w:ascii="仿宋" w:eastAsia="仿宋" w:hAnsi="仿宋" w:hint="eastAsia"/>
          <w:sz w:val="32"/>
          <w:szCs w:val="28"/>
        </w:rPr>
      </w:pPr>
      <w:r>
        <w:rPr>
          <w:rFonts w:ascii="仿宋" w:eastAsia="仿宋" w:hAnsi="仿宋" w:hint="eastAsia"/>
          <w:b/>
          <w:bCs/>
          <w:sz w:val="32"/>
        </w:rPr>
        <w:t>生态优先，公共利益优先，保障公共安全。</w:t>
      </w:r>
      <w:r>
        <w:rPr>
          <w:rFonts w:ascii="仿宋" w:eastAsia="仿宋" w:hAnsi="仿宋" w:hint="eastAsia"/>
          <w:sz w:val="32"/>
          <w:szCs w:val="28"/>
        </w:rPr>
        <w:t>城市地下空间规划建设应当基于生态底线和生态保护的具体要求，进行合理开</w:t>
      </w:r>
      <w:r>
        <w:rPr>
          <w:rFonts w:ascii="仿宋" w:eastAsia="仿宋" w:hAnsi="仿宋" w:hint="eastAsia"/>
          <w:sz w:val="32"/>
          <w:szCs w:val="28"/>
        </w:rPr>
        <w:t>发和利用，严格控制不适宜开发的地下空间；同时，应当优先安排市政基础设施、地下交通、人民防空工程、应急防灾设施，并兼顾城市运行最优化和相邻空间发展的需要，保障人民群众生命财</w:t>
      </w:r>
      <w:r>
        <w:rPr>
          <w:rFonts w:ascii="仿宋" w:eastAsia="仿宋" w:hAnsi="仿宋" w:hint="eastAsia"/>
          <w:sz w:val="32"/>
          <w:szCs w:val="28"/>
        </w:rPr>
        <w:lastRenderedPageBreak/>
        <w:t>产安全和地下空间权利人的合法权益。</w:t>
      </w:r>
    </w:p>
    <w:p w:rsidR="00000000" w:rsidRDefault="00331CD6">
      <w:pPr>
        <w:rPr>
          <w:rFonts w:ascii="仿宋" w:eastAsia="仿宋" w:hAnsi="仿宋" w:hint="eastAsia"/>
          <w:sz w:val="32"/>
          <w:szCs w:val="28"/>
        </w:rPr>
      </w:pPr>
      <w:r>
        <w:rPr>
          <w:rFonts w:ascii="仿宋" w:eastAsia="仿宋" w:hAnsi="仿宋" w:hint="eastAsia"/>
          <w:sz w:val="32"/>
          <w:szCs w:val="28"/>
        </w:rPr>
        <w:t xml:space="preserve">   </w:t>
      </w:r>
      <w:r>
        <w:rPr>
          <w:rFonts w:ascii="仿宋" w:eastAsia="仿宋" w:hAnsi="仿宋" w:hint="eastAsia"/>
          <w:b/>
          <w:bCs/>
          <w:sz w:val="32"/>
        </w:rPr>
        <w:t xml:space="preserve"> </w:t>
      </w:r>
      <w:r>
        <w:rPr>
          <w:rFonts w:ascii="仿宋" w:eastAsia="仿宋" w:hAnsi="仿宋" w:hint="eastAsia"/>
          <w:b/>
          <w:bCs/>
          <w:sz w:val="32"/>
        </w:rPr>
        <w:t>依法行政，依法实施管理，加强监管职责。</w:t>
      </w:r>
      <w:r>
        <w:rPr>
          <w:rFonts w:ascii="仿宋" w:eastAsia="仿宋" w:hAnsi="仿宋" w:hint="eastAsia"/>
          <w:sz w:val="32"/>
          <w:szCs w:val="28"/>
        </w:rPr>
        <w:t>地下空间规划、建设、使用、维护的全过程都应当遵照有关法律法规、标准规范和政策规定，进一步明晰有关部门职责，强化监管，规范行政管理行为，转变政府职能，提高管理和服务水平。</w:t>
      </w:r>
    </w:p>
    <w:p w:rsidR="00000000" w:rsidRDefault="00331CD6">
      <w:pPr>
        <w:rPr>
          <w:rFonts w:ascii="仿宋" w:eastAsia="仿宋" w:hAnsi="仿宋" w:hint="eastAsia"/>
          <w:b/>
          <w:bCs/>
          <w:sz w:val="32"/>
        </w:rPr>
      </w:pPr>
      <w:bookmarkStart w:id="14" w:name="_Toc445385065"/>
      <w:bookmarkStart w:id="15" w:name="_Toc420486261"/>
      <w:r>
        <w:rPr>
          <w:rFonts w:ascii="仿宋" w:eastAsia="仿宋" w:hAnsi="仿宋" w:hint="eastAsia"/>
          <w:b/>
          <w:bCs/>
          <w:sz w:val="32"/>
        </w:rPr>
        <w:t xml:space="preserve">   </w:t>
      </w:r>
      <w:r>
        <w:rPr>
          <w:rFonts w:ascii="仿宋" w:eastAsia="仿宋" w:hAnsi="仿宋" w:hint="eastAsia"/>
          <w:b/>
          <w:bCs/>
          <w:sz w:val="32"/>
        </w:rPr>
        <w:t>（三）规划目标</w:t>
      </w:r>
      <w:bookmarkEnd w:id="14"/>
      <w:bookmarkEnd w:id="15"/>
      <w:r>
        <w:rPr>
          <w:rFonts w:ascii="仿宋" w:eastAsia="仿宋" w:hAnsi="仿宋" w:hint="eastAsia"/>
          <w:b/>
          <w:bCs/>
          <w:sz w:val="32"/>
        </w:rPr>
        <w:t>。</w:t>
      </w:r>
    </w:p>
    <w:p w:rsidR="00000000" w:rsidRDefault="00331CD6">
      <w:pPr>
        <w:rPr>
          <w:rFonts w:ascii="仿宋" w:eastAsia="仿宋" w:hAnsi="仿宋" w:hint="eastAsia"/>
          <w:sz w:val="32"/>
          <w:szCs w:val="28"/>
        </w:rPr>
      </w:pPr>
      <w:r>
        <w:rPr>
          <w:rFonts w:ascii="仿宋" w:eastAsia="仿宋" w:hAnsi="仿宋" w:hint="eastAsia"/>
          <w:sz w:val="32"/>
          <w:szCs w:val="28"/>
        </w:rPr>
        <w:t xml:space="preserve">    </w:t>
      </w:r>
      <w:r>
        <w:rPr>
          <w:rFonts w:ascii="仿宋" w:eastAsia="仿宋" w:hAnsi="仿宋" w:hint="eastAsia"/>
          <w:b/>
          <w:bCs/>
          <w:sz w:val="32"/>
        </w:rPr>
        <w:t>1</w:t>
      </w:r>
      <w:r>
        <w:rPr>
          <w:rFonts w:ascii="仿宋" w:eastAsia="仿宋" w:hAnsi="仿宋" w:hint="eastAsia"/>
          <w:b/>
          <w:bCs/>
          <w:sz w:val="32"/>
        </w:rPr>
        <w:t>．总体目标。</w:t>
      </w:r>
      <w:r>
        <w:rPr>
          <w:rFonts w:ascii="仿宋" w:eastAsia="仿宋" w:hAnsi="仿宋" w:hint="eastAsia"/>
          <w:sz w:val="32"/>
          <w:szCs w:val="28"/>
        </w:rPr>
        <w:t>科学和合理地推进城市地下空间开发利用，大力提</w:t>
      </w:r>
      <w:r>
        <w:rPr>
          <w:rFonts w:ascii="仿宋" w:eastAsia="仿宋" w:hAnsi="仿宋" w:hint="eastAsia"/>
          <w:sz w:val="32"/>
          <w:szCs w:val="28"/>
        </w:rPr>
        <w:t>高城市空间资源利用效率，充分发挥城市地下空间综合效益，切实提高行政管理效能，提高城市地下空间规划建设管理水平，促进城市持续健康发展。</w:t>
      </w:r>
      <w:r>
        <w:rPr>
          <w:rFonts w:ascii="仿宋" w:eastAsia="仿宋" w:hAnsi="仿宋" w:hint="eastAsia"/>
          <w:sz w:val="32"/>
          <w:szCs w:val="28"/>
        </w:rPr>
        <w:t>更好发挥地下资源潜力，形成平战结合、相互连接、四通八达的城市地下空间。</w:t>
      </w:r>
      <w:r>
        <w:rPr>
          <w:rFonts w:ascii="仿宋" w:eastAsia="仿宋" w:hAnsi="仿宋" w:hint="eastAsia"/>
          <w:sz w:val="32"/>
          <w:szCs w:val="28"/>
        </w:rPr>
        <w:t>力争到</w:t>
      </w:r>
      <w:r>
        <w:rPr>
          <w:rFonts w:ascii="仿宋" w:eastAsia="仿宋" w:hAnsi="仿宋" w:hint="eastAsia"/>
          <w:sz w:val="32"/>
          <w:szCs w:val="28"/>
        </w:rPr>
        <w:t>2020</w:t>
      </w:r>
      <w:r>
        <w:rPr>
          <w:rFonts w:ascii="仿宋" w:eastAsia="仿宋" w:hAnsi="仿宋" w:hint="eastAsia"/>
          <w:sz w:val="32"/>
          <w:szCs w:val="28"/>
        </w:rPr>
        <w:t>年，初步建立较为完善的城市地下空间规划建设管理体系。</w:t>
      </w:r>
    </w:p>
    <w:p w:rsidR="00000000" w:rsidRDefault="00331CD6">
      <w:pPr>
        <w:rPr>
          <w:rFonts w:ascii="仿宋" w:eastAsia="仿宋" w:hAnsi="仿宋" w:hint="eastAsia"/>
          <w:sz w:val="32"/>
          <w:szCs w:val="28"/>
        </w:rPr>
      </w:pPr>
      <w:r>
        <w:rPr>
          <w:rFonts w:ascii="仿宋" w:eastAsia="仿宋" w:hAnsi="仿宋" w:hint="eastAsia"/>
          <w:sz w:val="32"/>
          <w:szCs w:val="28"/>
        </w:rPr>
        <w:t xml:space="preserve">   </w:t>
      </w:r>
      <w:r>
        <w:rPr>
          <w:rFonts w:ascii="仿宋" w:eastAsia="仿宋" w:hAnsi="仿宋" w:hint="eastAsia"/>
          <w:b/>
          <w:bCs/>
          <w:sz w:val="32"/>
        </w:rPr>
        <w:t xml:space="preserve"> 2</w:t>
      </w:r>
      <w:r>
        <w:rPr>
          <w:rFonts w:ascii="仿宋" w:eastAsia="仿宋" w:hAnsi="仿宋" w:hint="eastAsia"/>
          <w:b/>
          <w:bCs/>
          <w:sz w:val="32"/>
        </w:rPr>
        <w:t>．具体目标。</w:t>
      </w:r>
    </w:p>
    <w:p w:rsidR="00000000" w:rsidRDefault="00331CD6">
      <w:pPr>
        <w:ind w:firstLineChars="200" w:firstLine="640"/>
        <w:rPr>
          <w:rFonts w:ascii="仿宋" w:eastAsia="仿宋" w:hAnsi="仿宋" w:hint="eastAsia"/>
          <w:sz w:val="32"/>
          <w:szCs w:val="28"/>
        </w:rPr>
      </w:pPr>
      <w:r>
        <w:rPr>
          <w:rFonts w:ascii="仿宋" w:eastAsia="仿宋" w:hAnsi="仿宋" w:hint="eastAsia"/>
          <w:sz w:val="32"/>
          <w:szCs w:val="28"/>
        </w:rPr>
        <w:t>一是</w:t>
      </w:r>
      <w:r>
        <w:rPr>
          <w:rFonts w:ascii="仿宋" w:eastAsia="仿宋" w:hAnsi="仿宋" w:hint="eastAsia"/>
          <w:sz w:val="32"/>
          <w:szCs w:val="28"/>
        </w:rPr>
        <w:t>建立和完善城市地下空间规划体系，推进城市地下空间规划制定工作。到</w:t>
      </w:r>
      <w:r>
        <w:rPr>
          <w:rFonts w:ascii="仿宋" w:eastAsia="仿宋" w:hAnsi="仿宋" w:hint="eastAsia"/>
          <w:sz w:val="32"/>
          <w:szCs w:val="28"/>
        </w:rPr>
        <w:t>2020</w:t>
      </w:r>
      <w:r>
        <w:rPr>
          <w:rFonts w:ascii="仿宋" w:eastAsia="仿宋" w:hAnsi="仿宋" w:hint="eastAsia"/>
          <w:sz w:val="32"/>
          <w:szCs w:val="28"/>
        </w:rPr>
        <w:t>年，不低于</w:t>
      </w:r>
      <w:r>
        <w:rPr>
          <w:rFonts w:ascii="仿宋" w:eastAsia="仿宋" w:hAnsi="仿宋" w:hint="eastAsia"/>
          <w:sz w:val="32"/>
          <w:szCs w:val="28"/>
        </w:rPr>
        <w:t>50%</w:t>
      </w:r>
      <w:r>
        <w:rPr>
          <w:rFonts w:ascii="仿宋" w:eastAsia="仿宋" w:hAnsi="仿宋" w:hint="eastAsia"/>
          <w:sz w:val="32"/>
          <w:szCs w:val="28"/>
        </w:rPr>
        <w:t>的城市完成地下空间开发利用规划编制和审批工作，补充完善城市重点地区控制性详细规划中涉及地下空间开发利用的内容。</w:t>
      </w:r>
    </w:p>
    <w:p w:rsidR="00000000" w:rsidRDefault="00331CD6">
      <w:pPr>
        <w:ind w:firstLineChars="200" w:firstLine="640"/>
        <w:rPr>
          <w:rFonts w:ascii="仿宋" w:eastAsia="仿宋" w:hAnsi="仿宋" w:hint="eastAsia"/>
          <w:sz w:val="32"/>
          <w:szCs w:val="28"/>
        </w:rPr>
      </w:pPr>
      <w:r>
        <w:rPr>
          <w:rFonts w:ascii="仿宋" w:eastAsia="仿宋" w:hAnsi="仿宋" w:hint="eastAsia"/>
          <w:sz w:val="32"/>
          <w:szCs w:val="28"/>
        </w:rPr>
        <w:t>二是</w:t>
      </w:r>
      <w:r>
        <w:rPr>
          <w:rFonts w:ascii="仿宋" w:eastAsia="仿宋" w:hAnsi="仿宋" w:hint="eastAsia"/>
          <w:sz w:val="32"/>
          <w:szCs w:val="28"/>
        </w:rPr>
        <w:t>开展地下空</w:t>
      </w:r>
      <w:r>
        <w:rPr>
          <w:rFonts w:ascii="仿宋" w:eastAsia="仿宋" w:hAnsi="仿宋" w:hint="eastAsia"/>
          <w:sz w:val="32"/>
          <w:szCs w:val="28"/>
        </w:rPr>
        <w:t>间普查，推进城市地下空间综合管理信息系统建设。到</w:t>
      </w:r>
      <w:r>
        <w:rPr>
          <w:rFonts w:ascii="仿宋" w:eastAsia="仿宋" w:hAnsi="仿宋" w:hint="eastAsia"/>
          <w:sz w:val="32"/>
          <w:szCs w:val="28"/>
        </w:rPr>
        <w:t>2020</w:t>
      </w:r>
      <w:r>
        <w:rPr>
          <w:rFonts w:ascii="仿宋" w:eastAsia="仿宋" w:hAnsi="仿宋" w:hint="eastAsia"/>
          <w:sz w:val="32"/>
          <w:szCs w:val="28"/>
        </w:rPr>
        <w:t>年，不低于</w:t>
      </w:r>
      <w:r>
        <w:rPr>
          <w:rFonts w:ascii="仿宋" w:eastAsia="仿宋" w:hAnsi="仿宋" w:hint="eastAsia"/>
          <w:sz w:val="32"/>
          <w:szCs w:val="28"/>
        </w:rPr>
        <w:t>50%</w:t>
      </w:r>
      <w:r>
        <w:rPr>
          <w:rFonts w:ascii="仿宋" w:eastAsia="仿宋" w:hAnsi="仿宋" w:hint="eastAsia"/>
          <w:sz w:val="32"/>
          <w:szCs w:val="28"/>
        </w:rPr>
        <w:t>的城市初步建立包括地下空间开发利用现状、规划建设管理、档案管理等的综合管理系统，有效提升城市地下空间信息化管理能力。</w:t>
      </w:r>
    </w:p>
    <w:p w:rsidR="00000000" w:rsidRDefault="00331CD6">
      <w:pPr>
        <w:ind w:firstLineChars="200" w:firstLine="640"/>
        <w:rPr>
          <w:rFonts w:ascii="仿宋" w:eastAsia="仿宋" w:hAnsi="仿宋" w:hint="eastAsia"/>
          <w:sz w:val="32"/>
          <w:szCs w:val="28"/>
        </w:rPr>
      </w:pPr>
      <w:r>
        <w:rPr>
          <w:rFonts w:ascii="仿宋" w:eastAsia="仿宋" w:hAnsi="仿宋" w:hint="eastAsia"/>
          <w:sz w:val="32"/>
          <w:szCs w:val="28"/>
        </w:rPr>
        <w:t>三是</w:t>
      </w:r>
      <w:r>
        <w:rPr>
          <w:rFonts w:ascii="仿宋" w:eastAsia="仿宋" w:hAnsi="仿宋" w:hint="eastAsia"/>
          <w:sz w:val="32"/>
          <w:szCs w:val="28"/>
        </w:rPr>
        <w:t>健全地下空间开发利用各项管理制度，完善有关法律法</w:t>
      </w:r>
      <w:r>
        <w:rPr>
          <w:rFonts w:ascii="仿宋" w:eastAsia="仿宋" w:hAnsi="仿宋" w:hint="eastAsia"/>
          <w:sz w:val="32"/>
          <w:szCs w:val="28"/>
        </w:rPr>
        <w:lastRenderedPageBreak/>
        <w:t>规、标准规范的制定，地下空间开发利用依法管理工作取得较大进展，使管理水平能够适应经济社会发展需要。</w:t>
      </w:r>
    </w:p>
    <w:p w:rsidR="00000000" w:rsidRDefault="00331CD6">
      <w:pPr>
        <w:rPr>
          <w:rFonts w:ascii="仿宋" w:eastAsia="仿宋" w:hAnsi="仿宋" w:hint="eastAsia"/>
          <w:b/>
          <w:bCs/>
          <w:sz w:val="32"/>
        </w:rPr>
      </w:pPr>
      <w:bookmarkStart w:id="16" w:name="_Toc445385066"/>
      <w:bookmarkStart w:id="17" w:name="_Toc420486262"/>
      <w:r>
        <w:rPr>
          <w:rFonts w:ascii="仿宋" w:eastAsia="仿宋" w:hAnsi="仿宋" w:hint="eastAsia"/>
          <w:b/>
          <w:bCs/>
          <w:sz w:val="32"/>
        </w:rPr>
        <w:t xml:space="preserve">    </w:t>
      </w:r>
      <w:r>
        <w:rPr>
          <w:rFonts w:ascii="仿宋" w:eastAsia="仿宋" w:hAnsi="仿宋" w:hint="eastAsia"/>
          <w:b/>
          <w:bCs/>
          <w:sz w:val="32"/>
        </w:rPr>
        <w:t>三、主要任务</w:t>
      </w:r>
      <w:bookmarkEnd w:id="16"/>
      <w:bookmarkEnd w:id="17"/>
    </w:p>
    <w:p w:rsidR="00000000" w:rsidRDefault="00331CD6">
      <w:pPr>
        <w:rPr>
          <w:rFonts w:ascii="仿宋" w:eastAsia="仿宋" w:hAnsi="仿宋" w:hint="eastAsia"/>
          <w:b/>
          <w:bCs/>
          <w:sz w:val="32"/>
        </w:rPr>
      </w:pPr>
      <w:bookmarkStart w:id="18" w:name="_Toc445385067"/>
      <w:bookmarkStart w:id="19" w:name="_Toc420486263"/>
      <w:r>
        <w:rPr>
          <w:rFonts w:ascii="仿宋" w:eastAsia="仿宋" w:hAnsi="仿宋" w:hint="eastAsia"/>
          <w:b/>
          <w:bCs/>
          <w:sz w:val="32"/>
        </w:rPr>
        <w:t xml:space="preserve">    </w:t>
      </w:r>
      <w:r>
        <w:rPr>
          <w:rFonts w:ascii="仿宋" w:eastAsia="仿宋" w:hAnsi="仿宋" w:hint="eastAsia"/>
          <w:b/>
          <w:bCs/>
          <w:sz w:val="32"/>
        </w:rPr>
        <w:t>（一）完善地下空间开发利用规划体系</w:t>
      </w:r>
      <w:bookmarkEnd w:id="18"/>
      <w:r>
        <w:rPr>
          <w:rFonts w:ascii="仿宋" w:eastAsia="仿宋" w:hAnsi="仿宋" w:hint="eastAsia"/>
          <w:b/>
          <w:bCs/>
          <w:sz w:val="32"/>
        </w:rPr>
        <w:t>。</w:t>
      </w:r>
    </w:p>
    <w:p w:rsidR="00000000" w:rsidRDefault="00331CD6">
      <w:pPr>
        <w:rPr>
          <w:rFonts w:ascii="仿宋" w:eastAsia="仿宋" w:hAnsi="仿宋" w:hint="eastAsia"/>
          <w:sz w:val="32"/>
          <w:szCs w:val="28"/>
        </w:rPr>
      </w:pPr>
      <w:r>
        <w:rPr>
          <w:rFonts w:ascii="仿宋" w:eastAsia="仿宋" w:hAnsi="仿宋" w:hint="eastAsia"/>
          <w:b/>
          <w:bCs/>
          <w:sz w:val="32"/>
        </w:rPr>
        <w:t xml:space="preserve">    1</w:t>
      </w:r>
      <w:r>
        <w:rPr>
          <w:rFonts w:ascii="仿宋" w:eastAsia="仿宋" w:hAnsi="仿宋" w:hint="eastAsia"/>
          <w:b/>
          <w:bCs/>
          <w:sz w:val="32"/>
        </w:rPr>
        <w:t>．推进城市地下空间开发利用规划编制。</w:t>
      </w:r>
      <w:r>
        <w:rPr>
          <w:rFonts w:ascii="仿宋" w:eastAsia="仿宋" w:hAnsi="仿宋" w:hint="eastAsia"/>
          <w:sz w:val="32"/>
          <w:szCs w:val="28"/>
        </w:rPr>
        <w:t>城市地下空间开发利用规划作为城市总体规划的专项规划，应当</w:t>
      </w:r>
      <w:r>
        <w:rPr>
          <w:rFonts w:ascii="仿宋" w:eastAsia="仿宋" w:hAnsi="仿宋" w:hint="eastAsia"/>
          <w:sz w:val="32"/>
          <w:szCs w:val="28"/>
        </w:rPr>
        <w:t>与城市总体规划同步编制，将其主要内容纳入城市总体规划</w:t>
      </w:r>
      <w:r>
        <w:rPr>
          <w:rFonts w:ascii="仿宋" w:eastAsia="仿宋" w:hAnsi="仿宋" w:hint="eastAsia"/>
          <w:sz w:val="32"/>
          <w:szCs w:val="28"/>
        </w:rPr>
        <w:t>，并做好与土地利用总体规划衔接</w:t>
      </w:r>
      <w:r>
        <w:rPr>
          <w:rFonts w:ascii="仿宋" w:eastAsia="仿宋" w:hAnsi="仿宋" w:hint="eastAsia"/>
          <w:sz w:val="32"/>
          <w:szCs w:val="28"/>
        </w:rPr>
        <w:t>。城市总体规划已经审批、尚未组织编制城市地下空间开发利用规划的城市，应当补充编制。城市地下空间开发利用规划应当对规划期内城市地下空间开发战略、规划目标、平面布局和分区管控、竖向分层划分、重点地区建设范围、</w:t>
      </w:r>
      <w:r>
        <w:rPr>
          <w:rFonts w:ascii="仿宋" w:eastAsia="仿宋" w:hAnsi="仿宋" w:hint="eastAsia"/>
          <w:sz w:val="32"/>
          <w:szCs w:val="28"/>
        </w:rPr>
        <w:t>地下地上空间一体化安排、</w:t>
      </w:r>
      <w:r>
        <w:rPr>
          <w:rFonts w:ascii="仿宋" w:eastAsia="仿宋" w:hAnsi="仿宋" w:hint="eastAsia"/>
          <w:sz w:val="32"/>
          <w:szCs w:val="28"/>
        </w:rPr>
        <w:t>开发步骤等做出安排部署，并提出人民防空、环境保护和安全保障措施等方面的要求。</w:t>
      </w:r>
    </w:p>
    <w:p w:rsidR="00000000" w:rsidRDefault="00331CD6">
      <w:pPr>
        <w:ind w:firstLineChars="200" w:firstLine="643"/>
        <w:rPr>
          <w:rFonts w:ascii="仿宋" w:eastAsia="仿宋" w:hAnsi="仿宋" w:hint="eastAsia"/>
          <w:sz w:val="32"/>
          <w:szCs w:val="28"/>
        </w:rPr>
      </w:pPr>
      <w:r>
        <w:rPr>
          <w:rFonts w:ascii="仿宋" w:eastAsia="仿宋" w:hAnsi="仿宋" w:hint="eastAsia"/>
          <w:b/>
          <w:bCs/>
          <w:sz w:val="32"/>
        </w:rPr>
        <w:t>2</w:t>
      </w:r>
      <w:r>
        <w:rPr>
          <w:rFonts w:ascii="仿宋" w:eastAsia="仿宋" w:hAnsi="仿宋" w:hint="eastAsia"/>
          <w:b/>
          <w:bCs/>
          <w:sz w:val="32"/>
        </w:rPr>
        <w:t>．完善城市控制性详细规划中涉及地下空间的内容。</w:t>
      </w:r>
      <w:r>
        <w:rPr>
          <w:rFonts w:ascii="仿宋" w:eastAsia="仿宋" w:hAnsi="仿宋" w:hint="eastAsia"/>
          <w:sz w:val="32"/>
          <w:szCs w:val="28"/>
        </w:rPr>
        <w:t>城市人民政府城乡规划主管部门应完善涉及地下空间安排的控制性详细规划，依据地下</w:t>
      </w:r>
      <w:r>
        <w:rPr>
          <w:rFonts w:ascii="仿宋" w:eastAsia="仿宋" w:hAnsi="仿宋" w:hint="eastAsia"/>
          <w:sz w:val="32"/>
          <w:szCs w:val="28"/>
        </w:rPr>
        <w:t>空间开发利用规划要求，补充有关地下空间相关控制要求，并按照法定程序报批。涉及地下空间安排的控制性详细规划，应当对地下空间开发利用各项控制指标提出规划控制和引导要求，包括开发范围、深度、强度、使用性质、出入口位置、互连互通要求、人防建设要求、大型地下市政基础设施的安全保护区范围等。控制性详细规划应当注重做好地下空间开发利用与地面建设之间的协调，加强地下交通设施之间、地下交通</w:t>
      </w:r>
      <w:r>
        <w:rPr>
          <w:rFonts w:ascii="仿宋" w:eastAsia="仿宋" w:hAnsi="仿宋" w:hint="eastAsia"/>
          <w:sz w:val="32"/>
          <w:szCs w:val="28"/>
        </w:rPr>
        <w:lastRenderedPageBreak/>
        <w:t>设施与相邻地下公共活动场所之间的互连互通。鼓励重点地区开展地上地下一体化城市设计，并将主要控制要求纳入控制性详细规划。</w:t>
      </w:r>
    </w:p>
    <w:p w:rsidR="00000000" w:rsidRDefault="00331CD6">
      <w:pPr>
        <w:ind w:firstLineChars="200" w:firstLine="643"/>
        <w:rPr>
          <w:rFonts w:ascii="仿宋" w:eastAsia="仿宋" w:hAnsi="仿宋" w:hint="eastAsia"/>
          <w:sz w:val="32"/>
          <w:szCs w:val="28"/>
        </w:rPr>
      </w:pPr>
      <w:r>
        <w:rPr>
          <w:rFonts w:ascii="仿宋" w:eastAsia="仿宋" w:hAnsi="仿宋" w:hint="eastAsia"/>
          <w:b/>
          <w:bCs/>
          <w:sz w:val="32"/>
        </w:rPr>
        <w:t>3</w:t>
      </w:r>
      <w:r>
        <w:rPr>
          <w:rFonts w:ascii="仿宋" w:eastAsia="仿宋" w:hAnsi="仿宋" w:hint="eastAsia"/>
          <w:b/>
          <w:bCs/>
          <w:sz w:val="32"/>
        </w:rPr>
        <w:t>．协调地下空间规</w:t>
      </w:r>
      <w:r>
        <w:rPr>
          <w:rFonts w:ascii="仿宋" w:eastAsia="仿宋" w:hAnsi="仿宋" w:hint="eastAsia"/>
          <w:b/>
          <w:bCs/>
          <w:sz w:val="32"/>
        </w:rPr>
        <w:t>划与有关规划的关系。</w:t>
      </w:r>
      <w:r>
        <w:rPr>
          <w:rFonts w:ascii="仿宋" w:eastAsia="仿宋" w:hAnsi="仿宋" w:hint="eastAsia"/>
          <w:sz w:val="32"/>
          <w:szCs w:val="28"/>
        </w:rPr>
        <w:t>涉及地下空间开发利用的地下管线、地下综合管廊、地下交通等规划，应当与城市地下空间开发利用规划相协调，鼓励城市地下空间开发利用规划与人防工程规划的整合。涉及地下空间内容的控制性详细规划在制定过程中应与其他有关专项规划充分衔接。</w:t>
      </w:r>
    </w:p>
    <w:p w:rsidR="00000000" w:rsidRDefault="00331CD6">
      <w:pPr>
        <w:rPr>
          <w:rFonts w:ascii="仿宋" w:eastAsia="仿宋" w:hAnsi="仿宋" w:hint="eastAsia"/>
          <w:sz w:val="32"/>
          <w:szCs w:val="28"/>
        </w:rPr>
      </w:pPr>
      <w:r>
        <w:rPr>
          <w:rFonts w:ascii="仿宋" w:eastAsia="仿宋" w:hAnsi="仿宋" w:hint="eastAsia"/>
          <w:b/>
          <w:bCs/>
          <w:sz w:val="32"/>
        </w:rPr>
        <w:t xml:space="preserve">    4</w:t>
      </w:r>
      <w:r>
        <w:rPr>
          <w:rFonts w:ascii="仿宋" w:eastAsia="仿宋" w:hAnsi="仿宋" w:hint="eastAsia"/>
          <w:b/>
          <w:bCs/>
          <w:sz w:val="32"/>
        </w:rPr>
        <w:t>．完善地下空间规划管理制度。</w:t>
      </w:r>
      <w:r>
        <w:rPr>
          <w:rFonts w:ascii="仿宋" w:eastAsia="仿宋" w:hAnsi="仿宋" w:hint="eastAsia"/>
          <w:sz w:val="32"/>
          <w:szCs w:val="28"/>
        </w:rPr>
        <w:t>各城市完善地下空间规划管理制度。涉及地下空间的建设项目的规划条件、规划许可、规划核实，应当依据控制性详细规划提出地下空间开发利用的控制要求。</w:t>
      </w:r>
    </w:p>
    <w:p w:rsidR="00000000" w:rsidRDefault="00331CD6">
      <w:pPr>
        <w:rPr>
          <w:rFonts w:ascii="仿宋" w:eastAsia="仿宋" w:hAnsi="仿宋" w:hint="eastAsia"/>
          <w:b/>
          <w:bCs/>
          <w:sz w:val="32"/>
        </w:rPr>
      </w:pPr>
      <w:r>
        <w:rPr>
          <w:rFonts w:ascii="仿宋" w:eastAsia="仿宋" w:hAnsi="仿宋" w:hint="eastAsia"/>
          <w:b/>
          <w:bCs/>
          <w:sz w:val="32"/>
        </w:rPr>
        <w:t xml:space="preserve">    </w:t>
      </w:r>
      <w:r>
        <w:rPr>
          <w:rFonts w:ascii="仿宋" w:eastAsia="仿宋" w:hAnsi="仿宋" w:hint="eastAsia"/>
          <w:b/>
          <w:bCs/>
          <w:sz w:val="32"/>
        </w:rPr>
        <w:t>（二）推进地下空间规划建设标准体系建设。</w:t>
      </w:r>
    </w:p>
    <w:p w:rsidR="00000000" w:rsidRDefault="00331CD6">
      <w:pPr>
        <w:ind w:firstLineChars="200" w:firstLine="643"/>
        <w:rPr>
          <w:rFonts w:ascii="仿宋" w:eastAsia="仿宋" w:hAnsi="仿宋" w:hint="eastAsia"/>
          <w:sz w:val="32"/>
          <w:szCs w:val="28"/>
        </w:rPr>
      </w:pPr>
      <w:r>
        <w:rPr>
          <w:rFonts w:ascii="仿宋" w:eastAsia="仿宋" w:hAnsi="仿宋" w:hint="eastAsia"/>
          <w:b/>
          <w:bCs/>
          <w:sz w:val="32"/>
        </w:rPr>
        <w:t>1</w:t>
      </w:r>
      <w:r>
        <w:rPr>
          <w:rFonts w:ascii="仿宋" w:eastAsia="仿宋" w:hAnsi="仿宋" w:hint="eastAsia"/>
          <w:b/>
          <w:bCs/>
          <w:sz w:val="32"/>
        </w:rPr>
        <w:t>．完善地下空间规划设计标准规范。</w:t>
      </w:r>
      <w:r>
        <w:rPr>
          <w:rFonts w:ascii="仿宋" w:eastAsia="仿宋" w:hAnsi="仿宋" w:hint="eastAsia"/>
          <w:sz w:val="32"/>
          <w:szCs w:val="28"/>
        </w:rPr>
        <w:t>研</w:t>
      </w:r>
      <w:r>
        <w:rPr>
          <w:rFonts w:ascii="仿宋" w:eastAsia="仿宋" w:hAnsi="仿宋" w:hint="eastAsia"/>
          <w:sz w:val="32"/>
          <w:szCs w:val="28"/>
        </w:rPr>
        <w:t>究建立城市地下空间规划设计标准体系框架，补充和完善各层次城乡规划中有关地下空间规划设计的标准。研究制定《城市地下空间规划规范》，明确地下空间开发利用的概念术语、功能与设施分类、规划编制要求等，形成统一的规划标准，促进地下空间开发利用标准化设计和管理。研究制定地下空间平面和竖向规划、地下综合管廊设计、地下交通工程设计、地下停车场设计、地下步行街道设计等规划标准和导则。</w:t>
      </w:r>
    </w:p>
    <w:p w:rsidR="00000000" w:rsidRDefault="00331CD6">
      <w:pPr>
        <w:rPr>
          <w:rFonts w:ascii="仿宋" w:eastAsia="仿宋" w:hAnsi="仿宋" w:hint="eastAsia"/>
          <w:sz w:val="32"/>
          <w:szCs w:val="28"/>
        </w:rPr>
      </w:pPr>
      <w:r>
        <w:rPr>
          <w:rFonts w:ascii="仿宋" w:eastAsia="仿宋" w:hAnsi="仿宋" w:hint="eastAsia"/>
          <w:b/>
          <w:bCs/>
          <w:sz w:val="32"/>
        </w:rPr>
        <w:t xml:space="preserve">    2</w:t>
      </w:r>
      <w:r>
        <w:rPr>
          <w:rFonts w:ascii="仿宋" w:eastAsia="仿宋" w:hAnsi="仿宋" w:hint="eastAsia"/>
          <w:b/>
          <w:bCs/>
          <w:sz w:val="32"/>
        </w:rPr>
        <w:t>．修订完善地下空间施工建设标准规范。</w:t>
      </w:r>
      <w:r>
        <w:rPr>
          <w:rFonts w:ascii="仿宋" w:eastAsia="仿宋" w:hAnsi="仿宋" w:hint="eastAsia"/>
          <w:sz w:val="32"/>
          <w:szCs w:val="28"/>
        </w:rPr>
        <w:t>梳理研究已有涉</w:t>
      </w:r>
      <w:r>
        <w:rPr>
          <w:rFonts w:ascii="仿宋" w:eastAsia="仿宋" w:hAnsi="仿宋" w:hint="eastAsia"/>
          <w:sz w:val="32"/>
          <w:szCs w:val="28"/>
        </w:rPr>
        <w:lastRenderedPageBreak/>
        <w:t>及地下空间开发利用的施工建设标准和规范，包括工程勘察测量、建筑设计、结构设计、土建</w:t>
      </w:r>
      <w:r>
        <w:rPr>
          <w:rFonts w:ascii="仿宋" w:eastAsia="仿宋" w:hAnsi="仿宋" w:hint="eastAsia"/>
          <w:sz w:val="32"/>
          <w:szCs w:val="28"/>
        </w:rPr>
        <w:t>施工、设备工程、环境安全、防灾减灾等标准规范，对已有标准规范进行修订和完善，充实有关地下空间开发利用的规定，体现地下空间利用的自身特点，满足地下空间开发利用需要。</w:t>
      </w:r>
    </w:p>
    <w:p w:rsidR="00000000" w:rsidRDefault="00331CD6">
      <w:pPr>
        <w:rPr>
          <w:rFonts w:ascii="仿宋" w:eastAsia="仿宋" w:hAnsi="仿宋" w:hint="eastAsia"/>
          <w:b/>
          <w:bCs/>
          <w:sz w:val="32"/>
        </w:rPr>
      </w:pPr>
      <w:bookmarkStart w:id="20" w:name="_Toc445385070"/>
      <w:r>
        <w:rPr>
          <w:rFonts w:ascii="仿宋" w:eastAsia="仿宋" w:hAnsi="仿宋" w:hint="eastAsia"/>
          <w:b/>
          <w:bCs/>
          <w:sz w:val="32"/>
        </w:rPr>
        <w:t xml:space="preserve">    </w:t>
      </w:r>
      <w:r>
        <w:rPr>
          <w:rFonts w:ascii="仿宋" w:eastAsia="仿宋" w:hAnsi="仿宋" w:hint="eastAsia"/>
          <w:b/>
          <w:bCs/>
          <w:sz w:val="32"/>
        </w:rPr>
        <w:t>（三）推进地下空间普查和地下空间信息系统建设</w:t>
      </w:r>
      <w:bookmarkEnd w:id="20"/>
      <w:r>
        <w:rPr>
          <w:rFonts w:ascii="仿宋" w:eastAsia="仿宋" w:hAnsi="仿宋" w:hint="eastAsia"/>
          <w:b/>
          <w:bCs/>
          <w:sz w:val="32"/>
        </w:rPr>
        <w:t>。</w:t>
      </w:r>
    </w:p>
    <w:p w:rsidR="00000000" w:rsidRDefault="00331CD6">
      <w:pPr>
        <w:rPr>
          <w:rFonts w:ascii="仿宋" w:eastAsia="仿宋" w:hAnsi="仿宋" w:hint="eastAsia"/>
          <w:sz w:val="32"/>
          <w:szCs w:val="28"/>
        </w:rPr>
      </w:pPr>
      <w:r>
        <w:rPr>
          <w:rFonts w:ascii="仿宋" w:eastAsia="仿宋" w:hAnsi="仿宋" w:hint="eastAsia"/>
          <w:b/>
          <w:bCs/>
          <w:sz w:val="32"/>
        </w:rPr>
        <w:t xml:space="preserve">    1</w:t>
      </w:r>
      <w:r>
        <w:rPr>
          <w:rFonts w:ascii="仿宋" w:eastAsia="仿宋" w:hAnsi="仿宋" w:hint="eastAsia"/>
          <w:b/>
          <w:bCs/>
          <w:sz w:val="32"/>
        </w:rPr>
        <w:t>．开展地下空间普查。</w:t>
      </w:r>
      <w:r>
        <w:rPr>
          <w:rFonts w:ascii="仿宋" w:eastAsia="仿宋" w:hAnsi="仿宋" w:hint="eastAsia"/>
          <w:sz w:val="32"/>
          <w:szCs w:val="28"/>
        </w:rPr>
        <w:t>推进城市地下空间现状普查。对已有和在建地下空间进行分类和信息收集，并纳入不动产统一登记管理。建立地下空间资源的普查制度、补（修）测制度、汇交制度。建立地下空间档案管理系统。按照相关保密要求，妥善</w:t>
      </w:r>
      <w:r>
        <w:rPr>
          <w:rFonts w:ascii="仿宋" w:eastAsia="仿宋" w:hAnsi="仿宋" w:hint="eastAsia"/>
          <w:sz w:val="32"/>
          <w:szCs w:val="28"/>
        </w:rPr>
        <w:t>做好地下空间信息保密管理工作。编制城市地下空间规划，应当具备国家规定</w:t>
      </w:r>
      <w:r>
        <w:rPr>
          <w:rFonts w:ascii="仿宋" w:eastAsia="仿宋" w:hAnsi="仿宋" w:hint="eastAsia"/>
          <w:sz w:val="32"/>
          <w:szCs w:val="28"/>
        </w:rPr>
        <w:t>的勘察、测绘、气象、地震、水文、环境等基础资料。</w:t>
      </w:r>
    </w:p>
    <w:p w:rsidR="00000000" w:rsidRDefault="00331CD6">
      <w:pPr>
        <w:rPr>
          <w:rFonts w:ascii="仿宋" w:eastAsia="仿宋" w:hAnsi="仿宋" w:hint="eastAsia"/>
          <w:sz w:val="32"/>
          <w:szCs w:val="28"/>
        </w:rPr>
      </w:pPr>
      <w:r>
        <w:rPr>
          <w:rFonts w:ascii="仿宋" w:eastAsia="仿宋" w:hAnsi="仿宋" w:hint="eastAsia"/>
          <w:b/>
          <w:bCs/>
          <w:sz w:val="32"/>
        </w:rPr>
        <w:t xml:space="preserve">    2</w:t>
      </w:r>
      <w:r>
        <w:rPr>
          <w:rFonts w:ascii="仿宋" w:eastAsia="仿宋" w:hAnsi="仿宋" w:hint="eastAsia"/>
          <w:b/>
          <w:bCs/>
          <w:sz w:val="32"/>
        </w:rPr>
        <w:t>．建立地下空间信息系统。</w:t>
      </w:r>
      <w:r>
        <w:rPr>
          <w:rFonts w:ascii="仿宋" w:eastAsia="仿宋" w:hAnsi="仿宋" w:hint="eastAsia"/>
          <w:sz w:val="32"/>
          <w:szCs w:val="28"/>
        </w:rPr>
        <w:t>结合智慧城市建设，推进城市地下空间综合管理信息系统建设。将普查成果纳入系统，动态维护地下空间开发利用信息，为城市地下空间规划管理提供支撑。逐步将地下空间规划、规划许可、权属管理、档案管理等纳入统一管理平台，建立地下空间管理信息共享机制，促进实现城市地下空间数字化管理，提升城市地下空间管理标准化、信息化、精细化水平</w:t>
      </w:r>
      <w:r>
        <w:rPr>
          <w:rFonts w:ascii="仿宋" w:eastAsia="仿宋" w:hAnsi="仿宋" w:hint="eastAsia"/>
          <w:sz w:val="32"/>
          <w:szCs w:val="28"/>
        </w:rPr>
        <w:t>。</w:t>
      </w:r>
    </w:p>
    <w:p w:rsidR="00000000" w:rsidRDefault="00331CD6">
      <w:pPr>
        <w:rPr>
          <w:rFonts w:ascii="仿宋" w:eastAsia="仿宋" w:hAnsi="仿宋" w:hint="eastAsia"/>
          <w:b/>
          <w:bCs/>
          <w:sz w:val="32"/>
        </w:rPr>
      </w:pPr>
      <w:bookmarkStart w:id="21" w:name="_Toc445385071"/>
      <w:r>
        <w:rPr>
          <w:rFonts w:ascii="仿宋" w:eastAsia="仿宋" w:hAnsi="仿宋" w:hint="eastAsia"/>
          <w:b/>
          <w:bCs/>
          <w:sz w:val="32"/>
        </w:rPr>
        <w:t xml:space="preserve">    </w:t>
      </w:r>
      <w:r>
        <w:rPr>
          <w:rFonts w:ascii="仿宋" w:eastAsia="仿宋" w:hAnsi="仿宋" w:hint="eastAsia"/>
          <w:b/>
          <w:bCs/>
          <w:sz w:val="32"/>
        </w:rPr>
        <w:t>（四）完善地下空间开发利用立法</w:t>
      </w:r>
      <w:bookmarkEnd w:id="19"/>
      <w:bookmarkEnd w:id="21"/>
      <w:r>
        <w:rPr>
          <w:rFonts w:ascii="仿宋" w:eastAsia="仿宋" w:hAnsi="仿宋" w:hint="eastAsia"/>
          <w:b/>
          <w:bCs/>
          <w:sz w:val="32"/>
        </w:rPr>
        <w:t>体系。</w:t>
      </w:r>
    </w:p>
    <w:p w:rsidR="00000000" w:rsidRDefault="00331CD6">
      <w:pPr>
        <w:rPr>
          <w:rFonts w:ascii="仿宋" w:eastAsia="仿宋" w:hAnsi="仿宋" w:hint="eastAsia"/>
          <w:sz w:val="32"/>
          <w:szCs w:val="28"/>
        </w:rPr>
      </w:pPr>
      <w:r>
        <w:rPr>
          <w:rFonts w:ascii="仿宋" w:eastAsia="仿宋" w:hAnsi="仿宋" w:hint="eastAsia"/>
          <w:b/>
          <w:bCs/>
          <w:sz w:val="32"/>
        </w:rPr>
        <w:t xml:space="preserve">    1</w:t>
      </w:r>
      <w:r>
        <w:rPr>
          <w:rFonts w:ascii="仿宋" w:eastAsia="仿宋" w:hAnsi="仿宋" w:hint="eastAsia"/>
          <w:b/>
          <w:bCs/>
          <w:sz w:val="32"/>
        </w:rPr>
        <w:t>．开展立法前期研究。</w:t>
      </w:r>
      <w:r>
        <w:rPr>
          <w:rFonts w:ascii="仿宋" w:eastAsia="仿宋" w:hAnsi="仿宋" w:hint="eastAsia"/>
          <w:sz w:val="32"/>
          <w:szCs w:val="28"/>
        </w:rPr>
        <w:t>开展加强城市地下空间规划建设管理的</w:t>
      </w:r>
      <w:r>
        <w:rPr>
          <w:rFonts w:ascii="仿宋" w:eastAsia="仿宋" w:hAnsi="仿宋" w:hint="eastAsia"/>
          <w:sz w:val="32"/>
          <w:szCs w:val="28"/>
        </w:rPr>
        <w:t>有关立法研究，组织做好调研、论证、咨询、起草等基础性</w:t>
      </w:r>
      <w:r>
        <w:rPr>
          <w:rFonts w:ascii="仿宋" w:eastAsia="仿宋" w:hAnsi="仿宋" w:hint="eastAsia"/>
          <w:sz w:val="32"/>
          <w:szCs w:val="28"/>
        </w:rPr>
        <w:lastRenderedPageBreak/>
        <w:t>工作，听取省级政府部门、地方政府、相关管理部门、相关利益群体和社会公众的意见和建议，加大</w:t>
      </w:r>
      <w:r>
        <w:rPr>
          <w:rFonts w:ascii="仿宋" w:eastAsia="仿宋" w:hAnsi="仿宋" w:hint="eastAsia"/>
          <w:sz w:val="32"/>
          <w:szCs w:val="28"/>
        </w:rPr>
        <w:t>与</w:t>
      </w:r>
      <w:r>
        <w:rPr>
          <w:rFonts w:ascii="仿宋" w:eastAsia="仿宋" w:hAnsi="仿宋" w:hint="eastAsia"/>
          <w:sz w:val="32"/>
          <w:szCs w:val="28"/>
        </w:rPr>
        <w:t>相关部门的沟通协调力度，协调相关法律法规与地下空间开发利用法律法规的关系，减少和避免法律法规冲突和矛盾，实现合理衔接。</w:t>
      </w:r>
    </w:p>
    <w:p w:rsidR="00000000" w:rsidRDefault="00331CD6">
      <w:pPr>
        <w:ind w:firstLine="660"/>
        <w:rPr>
          <w:rFonts w:ascii="仿宋" w:eastAsia="仿宋" w:hAnsi="仿宋" w:hint="eastAsia"/>
          <w:sz w:val="32"/>
          <w:szCs w:val="28"/>
        </w:rPr>
      </w:pPr>
      <w:r>
        <w:rPr>
          <w:rFonts w:ascii="仿宋" w:eastAsia="仿宋" w:hAnsi="仿宋" w:hint="eastAsia"/>
          <w:b/>
          <w:bCs/>
          <w:sz w:val="32"/>
        </w:rPr>
        <w:t>2</w:t>
      </w:r>
      <w:r>
        <w:rPr>
          <w:rFonts w:ascii="仿宋" w:eastAsia="仿宋" w:hAnsi="仿宋" w:hint="eastAsia"/>
          <w:b/>
          <w:bCs/>
          <w:sz w:val="32"/>
        </w:rPr>
        <w:t>．鼓励地方加强立法。</w:t>
      </w:r>
      <w:r>
        <w:rPr>
          <w:rFonts w:ascii="仿宋" w:eastAsia="仿宋" w:hAnsi="仿宋" w:hint="eastAsia"/>
          <w:sz w:val="32"/>
          <w:szCs w:val="28"/>
        </w:rPr>
        <w:t>推动地方立法和技术管理规范工作。各省（区、市）根据自身情况，因地制宜推动地方立法工作，研究制定城市地下空间规划编制、规划建设管理、权属登记、使用管理等方面的法规、规章，界定地下空间开发利用管理有关主体及其职责、职权，明确地下空间</w:t>
      </w:r>
      <w:r>
        <w:rPr>
          <w:rFonts w:ascii="仿宋" w:eastAsia="仿宋" w:hAnsi="仿宋" w:hint="eastAsia"/>
          <w:sz w:val="32"/>
          <w:szCs w:val="28"/>
        </w:rPr>
        <w:t>开发利用管理有关制度及其内容和程序要求，推进依法行政。</w:t>
      </w:r>
    </w:p>
    <w:p w:rsidR="00000000" w:rsidRDefault="00331CD6">
      <w:pPr>
        <w:ind w:firstLine="660"/>
        <w:rPr>
          <w:rFonts w:ascii="仿宋" w:eastAsia="仿宋" w:hAnsi="仿宋" w:hint="eastAsia"/>
          <w:sz w:val="32"/>
          <w:szCs w:val="28"/>
        </w:rPr>
      </w:pPr>
      <w:r>
        <w:rPr>
          <w:rFonts w:ascii="仿宋" w:eastAsia="仿宋" w:hAnsi="仿宋" w:hint="eastAsia"/>
          <w:b/>
          <w:bCs/>
          <w:sz w:val="32"/>
        </w:rPr>
        <w:t>3</w:t>
      </w:r>
      <w:r>
        <w:rPr>
          <w:rFonts w:ascii="仿宋" w:eastAsia="仿宋" w:hAnsi="仿宋" w:hint="eastAsia"/>
          <w:b/>
          <w:bCs/>
          <w:sz w:val="32"/>
        </w:rPr>
        <w:t>．加强制度建设。</w:t>
      </w:r>
      <w:r>
        <w:rPr>
          <w:rFonts w:ascii="仿宋" w:eastAsia="仿宋" w:hAnsi="仿宋" w:hint="eastAsia"/>
          <w:sz w:val="32"/>
          <w:szCs w:val="28"/>
        </w:rPr>
        <w:t>开展城市地下空间规划管理有关制度研究工作，作为城市地下空间开发利用规划制定、规划许可管理等方面的基础。各省（区、市）应当在全面梳理规划管理制度的基础上，建立和完善城市地下空间规划制定和实施管理有关制度。</w:t>
      </w:r>
    </w:p>
    <w:p w:rsidR="00000000" w:rsidRDefault="00331CD6">
      <w:pPr>
        <w:rPr>
          <w:rFonts w:ascii="仿宋" w:eastAsia="仿宋" w:hAnsi="仿宋" w:hint="eastAsia"/>
          <w:b/>
          <w:bCs/>
          <w:sz w:val="32"/>
        </w:rPr>
      </w:pPr>
      <w:bookmarkStart w:id="22" w:name="_Toc445385072"/>
      <w:bookmarkStart w:id="23" w:name="_Toc420486273"/>
      <w:r>
        <w:rPr>
          <w:rFonts w:ascii="仿宋" w:eastAsia="仿宋" w:hAnsi="仿宋" w:hint="eastAsia"/>
          <w:b/>
          <w:bCs/>
          <w:sz w:val="32"/>
        </w:rPr>
        <w:t xml:space="preserve">    </w:t>
      </w:r>
      <w:r>
        <w:rPr>
          <w:rFonts w:ascii="仿宋" w:eastAsia="仿宋" w:hAnsi="仿宋" w:hint="eastAsia"/>
          <w:b/>
          <w:bCs/>
          <w:sz w:val="32"/>
        </w:rPr>
        <w:t>四、保障措施</w:t>
      </w:r>
      <w:bookmarkEnd w:id="22"/>
      <w:bookmarkEnd w:id="23"/>
    </w:p>
    <w:p w:rsidR="00000000" w:rsidRDefault="00331CD6">
      <w:pPr>
        <w:rPr>
          <w:rFonts w:ascii="仿宋" w:eastAsia="仿宋" w:hAnsi="仿宋" w:hint="eastAsia"/>
          <w:b/>
          <w:bCs/>
          <w:sz w:val="32"/>
        </w:rPr>
      </w:pPr>
      <w:bookmarkStart w:id="24" w:name="_Toc420486274"/>
      <w:bookmarkStart w:id="25" w:name="_Toc445385073"/>
      <w:r>
        <w:rPr>
          <w:rFonts w:ascii="仿宋" w:eastAsia="仿宋" w:hAnsi="仿宋" w:hint="eastAsia"/>
          <w:b/>
          <w:bCs/>
          <w:sz w:val="32"/>
        </w:rPr>
        <w:t xml:space="preserve">    </w:t>
      </w:r>
      <w:r>
        <w:rPr>
          <w:rFonts w:ascii="仿宋" w:eastAsia="仿宋" w:hAnsi="仿宋" w:hint="eastAsia"/>
          <w:b/>
          <w:bCs/>
          <w:sz w:val="32"/>
        </w:rPr>
        <w:t>（一）明确责任主体</w:t>
      </w:r>
      <w:bookmarkEnd w:id="24"/>
      <w:bookmarkEnd w:id="25"/>
      <w:r>
        <w:rPr>
          <w:rFonts w:ascii="仿宋" w:eastAsia="仿宋" w:hAnsi="仿宋" w:hint="eastAsia"/>
          <w:b/>
          <w:bCs/>
          <w:sz w:val="32"/>
        </w:rPr>
        <w:t>。</w:t>
      </w:r>
    </w:p>
    <w:p w:rsidR="00000000" w:rsidRDefault="00331CD6">
      <w:pPr>
        <w:ind w:firstLineChars="200" w:firstLine="640"/>
        <w:rPr>
          <w:rFonts w:ascii="仿宋" w:eastAsia="仿宋" w:hAnsi="仿宋" w:hint="eastAsia"/>
          <w:sz w:val="32"/>
          <w:szCs w:val="28"/>
        </w:rPr>
      </w:pPr>
      <w:r>
        <w:rPr>
          <w:rFonts w:ascii="仿宋" w:eastAsia="仿宋" w:hAnsi="仿宋" w:hint="eastAsia"/>
          <w:sz w:val="32"/>
          <w:szCs w:val="28"/>
        </w:rPr>
        <w:t>城市人民政府是地下空间开发利用管理工作的责任主体，要加强组织领导，明确主管部门，制定和完善城市地下空间有关规划，建立健全城市地下空间规划建设管理制度，推进地下空间普查和综合管理信息系</w:t>
      </w:r>
      <w:r>
        <w:rPr>
          <w:rFonts w:ascii="仿宋" w:eastAsia="仿宋" w:hAnsi="仿宋" w:hint="eastAsia"/>
          <w:sz w:val="32"/>
          <w:szCs w:val="28"/>
        </w:rPr>
        <w:t>统建设，加强管理和监督。</w:t>
      </w:r>
    </w:p>
    <w:p w:rsidR="00000000" w:rsidRDefault="00331CD6">
      <w:pPr>
        <w:ind w:firstLineChars="200" w:firstLine="640"/>
        <w:rPr>
          <w:rFonts w:ascii="仿宋" w:eastAsia="仿宋" w:hAnsi="仿宋" w:hint="eastAsia"/>
          <w:sz w:val="32"/>
          <w:szCs w:val="28"/>
        </w:rPr>
      </w:pPr>
      <w:r>
        <w:rPr>
          <w:rFonts w:ascii="仿宋" w:eastAsia="仿宋" w:hAnsi="仿宋" w:hint="eastAsia"/>
          <w:sz w:val="32"/>
          <w:szCs w:val="28"/>
        </w:rPr>
        <w:t>省级人民政府要把城市地下空间开发利用和管理纳入重要议事日程，加大监督、指导和协调力度，结合已有规划和各地实</w:t>
      </w:r>
      <w:r>
        <w:rPr>
          <w:rFonts w:ascii="仿宋" w:eastAsia="仿宋" w:hAnsi="仿宋" w:hint="eastAsia"/>
          <w:sz w:val="32"/>
          <w:szCs w:val="28"/>
        </w:rPr>
        <w:lastRenderedPageBreak/>
        <w:t>际，出台具体政策措施并抓好落实。</w:t>
      </w:r>
    </w:p>
    <w:p w:rsidR="00000000" w:rsidRDefault="00331CD6">
      <w:pPr>
        <w:tabs>
          <w:tab w:val="left" w:pos="7980"/>
        </w:tabs>
        <w:ind w:firstLineChars="200" w:firstLine="640"/>
        <w:rPr>
          <w:rFonts w:ascii="仿宋" w:eastAsia="仿宋" w:hAnsi="仿宋" w:hint="eastAsia"/>
          <w:sz w:val="32"/>
          <w:szCs w:val="28"/>
        </w:rPr>
      </w:pPr>
      <w:r>
        <w:rPr>
          <w:rFonts w:ascii="仿宋" w:eastAsia="仿宋" w:hAnsi="仿宋" w:hint="eastAsia"/>
          <w:sz w:val="32"/>
          <w:szCs w:val="28"/>
        </w:rPr>
        <w:t>国务院城乡规划建设主管部门会同有关部门加强对全国城市地下空间规划建设管理工作，加强规划制定和管理的指导监督，开展立法研究，完善相关制度和标准规范。</w:t>
      </w:r>
    </w:p>
    <w:p w:rsidR="00000000" w:rsidRDefault="00331CD6">
      <w:pPr>
        <w:rPr>
          <w:rFonts w:ascii="仿宋" w:eastAsia="仿宋" w:hAnsi="仿宋" w:hint="eastAsia"/>
          <w:b/>
          <w:bCs/>
          <w:sz w:val="32"/>
        </w:rPr>
      </w:pPr>
      <w:bookmarkStart w:id="26" w:name="_Toc420486276"/>
      <w:bookmarkStart w:id="27" w:name="_Toc445385074"/>
      <w:r>
        <w:rPr>
          <w:rFonts w:ascii="仿宋" w:eastAsia="仿宋" w:hAnsi="仿宋" w:hint="eastAsia"/>
          <w:b/>
          <w:bCs/>
          <w:sz w:val="32"/>
        </w:rPr>
        <w:t xml:space="preserve">    </w:t>
      </w:r>
      <w:r>
        <w:rPr>
          <w:rFonts w:ascii="仿宋" w:eastAsia="仿宋" w:hAnsi="仿宋" w:hint="eastAsia"/>
          <w:b/>
          <w:bCs/>
          <w:sz w:val="32"/>
        </w:rPr>
        <w:t>（二）提升管理</w:t>
      </w:r>
      <w:bookmarkEnd w:id="26"/>
      <w:r>
        <w:rPr>
          <w:rFonts w:ascii="仿宋" w:eastAsia="仿宋" w:hAnsi="仿宋" w:hint="eastAsia"/>
          <w:b/>
          <w:bCs/>
          <w:sz w:val="32"/>
        </w:rPr>
        <w:t>水平</w:t>
      </w:r>
      <w:bookmarkEnd w:id="27"/>
      <w:r>
        <w:rPr>
          <w:rFonts w:ascii="仿宋" w:eastAsia="仿宋" w:hAnsi="仿宋" w:hint="eastAsia"/>
          <w:b/>
          <w:bCs/>
          <w:sz w:val="32"/>
        </w:rPr>
        <w:t>。</w:t>
      </w:r>
    </w:p>
    <w:p w:rsidR="00000000" w:rsidRDefault="00331CD6">
      <w:pPr>
        <w:ind w:firstLineChars="200" w:firstLine="640"/>
        <w:rPr>
          <w:rFonts w:ascii="仿宋" w:eastAsia="仿宋" w:hAnsi="仿宋" w:hint="eastAsia"/>
          <w:sz w:val="32"/>
          <w:szCs w:val="28"/>
        </w:rPr>
      </w:pPr>
      <w:r>
        <w:rPr>
          <w:rFonts w:ascii="仿宋" w:eastAsia="仿宋" w:hAnsi="仿宋" w:hint="eastAsia"/>
          <w:sz w:val="32"/>
          <w:szCs w:val="28"/>
        </w:rPr>
        <w:t>建立部门协调机制。建立城市地下空间开发利用相关部门之间的协同管理机制，维护城市地下空间的整体性、系统性，避免条块分割、多头管理。</w:t>
      </w:r>
    </w:p>
    <w:p w:rsidR="00000000" w:rsidRDefault="00331CD6">
      <w:pPr>
        <w:ind w:firstLineChars="200" w:firstLine="640"/>
        <w:rPr>
          <w:rFonts w:ascii="仿宋" w:eastAsia="仿宋" w:hAnsi="仿宋" w:hint="eastAsia"/>
          <w:sz w:val="32"/>
          <w:szCs w:val="28"/>
        </w:rPr>
      </w:pPr>
      <w:r>
        <w:rPr>
          <w:rFonts w:ascii="仿宋" w:eastAsia="仿宋" w:hAnsi="仿宋" w:hint="eastAsia"/>
          <w:sz w:val="32"/>
          <w:szCs w:val="28"/>
        </w:rPr>
        <w:t>建立重大问题专家咨询机制。充分发挥专家</w:t>
      </w:r>
      <w:r>
        <w:rPr>
          <w:rFonts w:ascii="仿宋" w:eastAsia="仿宋" w:hAnsi="仿宋" w:hint="eastAsia"/>
          <w:sz w:val="32"/>
          <w:szCs w:val="28"/>
        </w:rPr>
        <w:t>顾问作用，为城市地下空间规划建设管理提供技术支撑，避免地下空间开发利用由于地质条件的复杂性、地下情况的不确定性等带来的高风险。</w:t>
      </w:r>
    </w:p>
    <w:p w:rsidR="00000000" w:rsidRDefault="00331CD6">
      <w:pPr>
        <w:ind w:firstLineChars="200" w:firstLine="640"/>
        <w:rPr>
          <w:rFonts w:ascii="仿宋" w:eastAsia="仿宋" w:hAnsi="仿宋" w:hint="eastAsia"/>
          <w:sz w:val="32"/>
          <w:szCs w:val="28"/>
        </w:rPr>
      </w:pPr>
      <w:r>
        <w:rPr>
          <w:rFonts w:ascii="仿宋" w:eastAsia="仿宋" w:hAnsi="仿宋" w:hint="eastAsia"/>
          <w:sz w:val="32"/>
          <w:szCs w:val="28"/>
        </w:rPr>
        <w:t>建立监督检查机制。加强对城市地下空间建设和使用的跟踪监测和监督检查，建立地下空间开发利用质量监管机制、安全使用监管机制、应急管理机制等，落实监管人员，提高地下空间开发利用建设质量，保障安全。</w:t>
      </w:r>
    </w:p>
    <w:p w:rsidR="00000000" w:rsidRDefault="00331CD6">
      <w:pPr>
        <w:ind w:firstLineChars="200" w:firstLine="640"/>
        <w:rPr>
          <w:rFonts w:ascii="仿宋" w:eastAsia="仿宋" w:hAnsi="仿宋" w:hint="eastAsia"/>
          <w:sz w:val="32"/>
          <w:szCs w:val="28"/>
        </w:rPr>
      </w:pPr>
      <w:r>
        <w:rPr>
          <w:rFonts w:ascii="仿宋" w:eastAsia="仿宋" w:hAnsi="仿宋" w:hint="eastAsia"/>
          <w:sz w:val="32"/>
          <w:szCs w:val="28"/>
        </w:rPr>
        <w:t>建立评估机制。对规划实施情况和有关配套政策机制实施情况进行跟踪分析和总结评估，及时发现问题并作出调整。</w:t>
      </w:r>
    </w:p>
    <w:p w:rsidR="00000000" w:rsidRDefault="00331CD6">
      <w:pPr>
        <w:rPr>
          <w:rFonts w:ascii="仿宋" w:eastAsia="仿宋" w:hAnsi="仿宋" w:hint="eastAsia"/>
          <w:b/>
          <w:bCs/>
          <w:sz w:val="32"/>
        </w:rPr>
      </w:pPr>
      <w:bookmarkStart w:id="28" w:name="_Toc445385075"/>
      <w:r>
        <w:rPr>
          <w:rFonts w:ascii="仿宋" w:eastAsia="仿宋" w:hAnsi="仿宋" w:hint="eastAsia"/>
          <w:b/>
          <w:bCs/>
          <w:sz w:val="32"/>
        </w:rPr>
        <w:t xml:space="preserve">    </w:t>
      </w:r>
      <w:r>
        <w:rPr>
          <w:rFonts w:ascii="仿宋" w:eastAsia="仿宋" w:hAnsi="仿宋" w:hint="eastAsia"/>
          <w:b/>
          <w:bCs/>
          <w:sz w:val="32"/>
        </w:rPr>
        <w:t>（三）</w:t>
      </w:r>
      <w:bookmarkStart w:id="29" w:name="_Toc420486277"/>
      <w:r>
        <w:rPr>
          <w:rFonts w:ascii="仿宋" w:eastAsia="仿宋" w:hAnsi="仿宋" w:hint="eastAsia"/>
          <w:b/>
          <w:bCs/>
          <w:sz w:val="32"/>
        </w:rPr>
        <w:t>加大资金支持</w:t>
      </w:r>
      <w:bookmarkEnd w:id="28"/>
      <w:bookmarkEnd w:id="29"/>
      <w:r>
        <w:rPr>
          <w:rFonts w:ascii="仿宋" w:eastAsia="仿宋" w:hAnsi="仿宋" w:hint="eastAsia"/>
          <w:b/>
          <w:bCs/>
          <w:sz w:val="32"/>
        </w:rPr>
        <w:t>。</w:t>
      </w:r>
    </w:p>
    <w:p w:rsidR="00000000" w:rsidRDefault="00331CD6">
      <w:pPr>
        <w:ind w:firstLineChars="200" w:firstLine="640"/>
        <w:rPr>
          <w:rFonts w:ascii="仿宋" w:eastAsia="仿宋" w:hAnsi="仿宋" w:hint="eastAsia"/>
          <w:sz w:val="32"/>
          <w:szCs w:val="28"/>
        </w:rPr>
      </w:pPr>
      <w:r>
        <w:rPr>
          <w:rFonts w:ascii="仿宋" w:eastAsia="仿宋" w:hAnsi="仿宋" w:hint="eastAsia"/>
          <w:sz w:val="32"/>
          <w:szCs w:val="28"/>
        </w:rPr>
        <w:t>积极争取中央财政资金支持地下空间开发建设。地方各级人民政府</w:t>
      </w:r>
      <w:r>
        <w:rPr>
          <w:rFonts w:ascii="仿宋" w:eastAsia="仿宋" w:hAnsi="仿宋" w:hint="eastAsia"/>
          <w:sz w:val="32"/>
          <w:szCs w:val="28"/>
        </w:rPr>
        <w:t>要切实加大投入力度，确保对城市地下空间规划制定、现状普查、综合管理信息系统建设等方面任务的资金投入。优化政府投资结构，安排专项资金重点支持地下空间开发建设。</w:t>
      </w:r>
    </w:p>
    <w:p w:rsidR="00000000" w:rsidRDefault="00331CD6">
      <w:pPr>
        <w:ind w:firstLineChars="200" w:firstLine="640"/>
        <w:rPr>
          <w:rFonts w:ascii="仿宋" w:eastAsia="仿宋" w:hAnsi="仿宋" w:hint="eastAsia"/>
          <w:sz w:val="32"/>
          <w:szCs w:val="28"/>
        </w:rPr>
      </w:pPr>
      <w:r>
        <w:rPr>
          <w:rFonts w:ascii="仿宋" w:eastAsia="仿宋" w:hAnsi="仿宋" w:hint="eastAsia"/>
          <w:sz w:val="32"/>
          <w:szCs w:val="28"/>
        </w:rPr>
        <w:lastRenderedPageBreak/>
        <w:t>积极探索地下综合管廊、公共服务设施等的有偿使用，建立合理的收费机制。规范和鼓励社会资本对地下空间开发建设运营的投资。按照产业化发展、企业化经营、社会化服务的思路，拓宽私营企业、民营资本进入地下空间开发建设及运营领域的渠道和途径，为民营企业平等参与竞争创造良好环境。</w:t>
      </w:r>
    </w:p>
    <w:p w:rsidR="00000000" w:rsidRDefault="00331CD6">
      <w:pPr>
        <w:rPr>
          <w:rFonts w:ascii="仿宋" w:eastAsia="仿宋" w:hAnsi="仿宋" w:hint="eastAsia"/>
          <w:b/>
          <w:bCs/>
          <w:sz w:val="32"/>
        </w:rPr>
      </w:pPr>
      <w:r>
        <w:rPr>
          <w:rFonts w:ascii="仿宋" w:eastAsia="仿宋" w:hAnsi="仿宋" w:hint="eastAsia"/>
          <w:b/>
          <w:bCs/>
          <w:sz w:val="32"/>
        </w:rPr>
        <w:t xml:space="preserve">    </w:t>
      </w:r>
      <w:r>
        <w:rPr>
          <w:rFonts w:ascii="仿宋" w:eastAsia="仿宋" w:hAnsi="仿宋" w:hint="eastAsia"/>
          <w:b/>
          <w:bCs/>
          <w:sz w:val="32"/>
        </w:rPr>
        <w:t>（四）建立激励机制。</w:t>
      </w:r>
    </w:p>
    <w:p w:rsidR="00000000" w:rsidRDefault="00331CD6">
      <w:pPr>
        <w:ind w:firstLineChars="200" w:firstLine="640"/>
        <w:rPr>
          <w:rFonts w:ascii="仿宋" w:eastAsia="仿宋" w:hAnsi="仿宋" w:hint="eastAsia"/>
          <w:sz w:val="32"/>
          <w:szCs w:val="28"/>
        </w:rPr>
      </w:pPr>
      <w:r>
        <w:rPr>
          <w:rFonts w:ascii="仿宋" w:eastAsia="仿宋" w:hAnsi="仿宋" w:hint="eastAsia"/>
          <w:sz w:val="32"/>
          <w:szCs w:val="28"/>
        </w:rPr>
        <w:t>制定优惠扶持政策，</w:t>
      </w:r>
      <w:r>
        <w:rPr>
          <w:rFonts w:ascii="仿宋" w:eastAsia="仿宋" w:hAnsi="仿宋" w:hint="eastAsia"/>
          <w:sz w:val="32"/>
          <w:szCs w:val="28"/>
        </w:rPr>
        <w:t>鼓励社会资本积极参与中心城区地下停车场设</w:t>
      </w:r>
      <w:r>
        <w:rPr>
          <w:rFonts w:ascii="仿宋" w:eastAsia="仿宋" w:hAnsi="仿宋" w:hint="eastAsia"/>
          <w:sz w:val="32"/>
          <w:szCs w:val="28"/>
        </w:rPr>
        <w:t>施建设运营，</w:t>
      </w:r>
      <w:r>
        <w:rPr>
          <w:rFonts w:ascii="仿宋" w:eastAsia="仿宋" w:hAnsi="仿宋" w:hint="eastAsia"/>
          <w:sz w:val="32"/>
          <w:szCs w:val="28"/>
        </w:rPr>
        <w:t>提升城市地下空间开发利用的质量和水平。通过合理确定地下空间建设用地土地出让金等形式，制定鼓励地下空间互连互通的相关政策，鼓励开发商提供地下商业空间和地下公共交通设施、出入口和通道等。</w:t>
      </w:r>
      <w:r>
        <w:rPr>
          <w:rFonts w:ascii="仿宋" w:eastAsia="仿宋" w:hAnsi="仿宋" w:hint="eastAsia"/>
          <w:sz w:val="32"/>
          <w:szCs w:val="28"/>
        </w:rPr>
        <w:t xml:space="preserve">  </w:t>
      </w:r>
    </w:p>
    <w:p w:rsidR="00000000" w:rsidRDefault="00331CD6">
      <w:pPr>
        <w:rPr>
          <w:rFonts w:ascii="仿宋" w:eastAsia="仿宋" w:hAnsi="仿宋" w:hint="eastAsia"/>
          <w:b/>
          <w:bCs/>
          <w:sz w:val="32"/>
        </w:rPr>
      </w:pPr>
      <w:r>
        <w:rPr>
          <w:rFonts w:ascii="仿宋" w:eastAsia="仿宋" w:hAnsi="仿宋" w:hint="eastAsia"/>
          <w:b/>
          <w:bCs/>
          <w:sz w:val="32"/>
        </w:rPr>
        <w:t xml:space="preserve">   </w:t>
      </w:r>
      <w:r>
        <w:rPr>
          <w:rFonts w:ascii="仿宋" w:eastAsia="仿宋" w:hAnsi="仿宋" w:hint="eastAsia"/>
          <w:b/>
          <w:bCs/>
          <w:sz w:val="32"/>
        </w:rPr>
        <w:t>（五）加强队伍建设。</w:t>
      </w:r>
    </w:p>
    <w:p w:rsidR="00000000" w:rsidRDefault="00331CD6">
      <w:pPr>
        <w:ind w:firstLineChars="200" w:firstLine="640"/>
        <w:rPr>
          <w:rFonts w:ascii="仿宋" w:eastAsia="仿宋" w:hAnsi="仿宋" w:hint="eastAsia"/>
          <w:sz w:val="32"/>
          <w:szCs w:val="28"/>
        </w:rPr>
      </w:pPr>
      <w:r>
        <w:rPr>
          <w:rFonts w:ascii="仿宋" w:eastAsia="仿宋" w:hAnsi="仿宋" w:hint="eastAsia"/>
          <w:sz w:val="32"/>
          <w:szCs w:val="28"/>
        </w:rPr>
        <w:t>加强教育培训。依托大专院校、科研院所等机构，加强对地下空间规划设计、施工建设和管理人员的培养，注重理论和实践相结合，建立具有行业发展前瞻性的产学研相结合的人才培养体系。</w:t>
      </w:r>
    </w:p>
    <w:p w:rsidR="00000000" w:rsidRDefault="00331CD6">
      <w:pPr>
        <w:ind w:firstLineChars="200" w:firstLine="640"/>
        <w:rPr>
          <w:rFonts w:ascii="仿宋" w:eastAsia="仿宋" w:hAnsi="仿宋" w:hint="eastAsia"/>
          <w:sz w:val="32"/>
          <w:szCs w:val="28"/>
        </w:rPr>
      </w:pPr>
      <w:r>
        <w:rPr>
          <w:rFonts w:ascii="仿宋" w:eastAsia="仿宋" w:hAnsi="仿宋" w:hint="eastAsia"/>
          <w:sz w:val="32"/>
          <w:szCs w:val="28"/>
        </w:rPr>
        <w:t>加强设计和施工专业人员队伍建设。制定发布地下建设工程、市政工程、地下交通工程等专业工程设计和施工专业人员职业标准，</w:t>
      </w:r>
      <w:r>
        <w:rPr>
          <w:rFonts w:ascii="仿宋" w:eastAsia="仿宋" w:hAnsi="仿宋" w:hint="eastAsia"/>
          <w:sz w:val="32"/>
          <w:szCs w:val="28"/>
        </w:rPr>
        <w:t>明确职位要求，建立健全人才培养、引进和使用的激励机制，提升专业人员素质和业务能力。</w:t>
      </w:r>
    </w:p>
    <w:p w:rsidR="00000000" w:rsidRDefault="00331CD6">
      <w:pPr>
        <w:ind w:firstLineChars="200" w:firstLine="640"/>
        <w:rPr>
          <w:rFonts w:ascii="仿宋" w:eastAsia="仿宋" w:hAnsi="仿宋" w:hint="eastAsia"/>
          <w:sz w:val="32"/>
          <w:szCs w:val="28"/>
        </w:rPr>
      </w:pPr>
      <w:r>
        <w:rPr>
          <w:rFonts w:ascii="仿宋" w:eastAsia="仿宋" w:hAnsi="仿宋" w:hint="eastAsia"/>
          <w:sz w:val="32"/>
          <w:szCs w:val="28"/>
        </w:rPr>
        <w:t>加强国内外技术和管理经验交流。搭建交流合作平台，通过考察、座谈、交流研讨会等形式，进一步汲取借鉴先进技术和经</w:t>
      </w:r>
      <w:r>
        <w:rPr>
          <w:rFonts w:ascii="仿宋" w:eastAsia="仿宋" w:hAnsi="仿宋" w:hint="eastAsia"/>
          <w:sz w:val="32"/>
          <w:szCs w:val="28"/>
        </w:rPr>
        <w:lastRenderedPageBreak/>
        <w:t>验，提高地下空间从业人员队伍的整体水平，适应地下空间行业的发展要求。</w:t>
      </w:r>
    </w:p>
    <w:sectPr w:rsidR="00000000">
      <w:footerReference w:type="default" r:id="rId6"/>
      <w:pgSz w:w="11906" w:h="16838"/>
      <w:pgMar w:top="1440" w:right="1489" w:bottom="1440" w:left="159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331CD6">
      <w:r>
        <w:separator/>
      </w:r>
    </w:p>
  </w:endnote>
  <w:endnote w:type="continuationSeparator" w:id="0">
    <w:p w:rsidR="00000000" w:rsidRDefault="00331C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31CD6">
    <w:pPr>
      <w:pStyle w:val="ad"/>
      <w:jc w:val="center"/>
    </w:pPr>
    <w:r>
      <w:fldChar w:fldCharType="begin"/>
    </w:r>
    <w:r>
      <w:instrText>PAGE   \* MERGEFORMAT</w:instrText>
    </w:r>
    <w:r>
      <w:fldChar w:fldCharType="separate"/>
    </w:r>
    <w:r>
      <w:rPr>
        <w:noProof/>
      </w:rPr>
      <w:t>13</w:t>
    </w:r>
    <w:r>
      <w:rPr>
        <w:lang w:val="zh-C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331CD6">
      <w:r>
        <w:separator/>
      </w:r>
    </w:p>
  </w:footnote>
  <w:footnote w:type="continuationSeparator" w:id="0">
    <w:p w:rsidR="00000000" w:rsidRDefault="00331CD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331C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1"/>
    </o:shapelayout>
  </w:shapeDefaults>
  <w:decimalSymbol w:val="."/>
  <w:listSeparator w:val=","/>
  <w15:chartTrackingRefBased/>
  <w15:docId w15:val="{F329114E-E8E1-4D5C-BB1B-401175EA8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0"/>
    <w:qFormat/>
    <w:pPr>
      <w:keepNext/>
      <w:keepLines/>
      <w:spacing w:before="340" w:after="330" w:line="576" w:lineRule="auto"/>
      <w:outlineLvl w:val="0"/>
    </w:pPr>
    <w:rPr>
      <w:b/>
      <w:bCs/>
      <w:kern w:val="44"/>
      <w:sz w:val="44"/>
      <w:szCs w:val="44"/>
    </w:rPr>
  </w:style>
  <w:style w:type="paragraph" w:styleId="2">
    <w:name w:val="heading 2"/>
    <w:basedOn w:val="a"/>
    <w:next w:val="a"/>
    <w:link w:val="20"/>
    <w:qFormat/>
    <w:pPr>
      <w:keepNext/>
      <w:keepLines/>
      <w:spacing w:before="260" w:after="260" w:line="413" w:lineRule="auto"/>
      <w:outlineLvl w:val="1"/>
    </w:pPr>
    <w:rPr>
      <w:rFonts w:ascii="Cambria" w:hAnsi="Cambria"/>
      <w:b/>
      <w:bCs/>
      <w:sz w:val="32"/>
      <w:szCs w:val="32"/>
    </w:rPr>
  </w:style>
  <w:style w:type="paragraph" w:styleId="3">
    <w:name w:val="heading 3"/>
    <w:basedOn w:val="a"/>
    <w:next w:val="a"/>
    <w:link w:val="30"/>
    <w:qFormat/>
    <w:pPr>
      <w:keepNext/>
      <w:keepLines/>
      <w:spacing w:before="260" w:after="260" w:line="413" w:lineRule="auto"/>
      <w:outlineLvl w:val="2"/>
    </w:pPr>
    <w:rPr>
      <w:b/>
      <w:bCs/>
      <w:sz w:val="32"/>
      <w:szCs w:val="32"/>
    </w:rPr>
  </w:style>
  <w:style w:type="paragraph" w:styleId="4">
    <w:name w:val="heading 4"/>
    <w:basedOn w:val="a"/>
    <w:next w:val="a"/>
    <w:link w:val="40"/>
    <w:qFormat/>
    <w:pPr>
      <w:keepNext/>
      <w:keepLines/>
      <w:spacing w:before="280" w:after="290" w:line="372" w:lineRule="auto"/>
      <w:outlineLvl w:val="3"/>
    </w:pPr>
    <w:rPr>
      <w:rFonts w:ascii="Cambria" w:hAnsi="Cambria"/>
      <w:b/>
      <w:bCs/>
      <w:sz w:val="28"/>
      <w:szCs w:val="28"/>
    </w:rPr>
  </w:style>
  <w:style w:type="character" w:default="1" w:styleId="a0">
    <w:name w:val="Default Paragraph Font"/>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rPr>
      <w:sz w:val="21"/>
      <w:szCs w:val="21"/>
    </w:rPr>
  </w:style>
  <w:style w:type="character" w:styleId="a4">
    <w:name w:val="page number"/>
    <w:basedOn w:val="a0"/>
  </w:style>
  <w:style w:type="character" w:styleId="a5">
    <w:name w:val="Strong"/>
    <w:basedOn w:val="a0"/>
    <w:qFormat/>
    <w:rPr>
      <w:b/>
      <w:bCs/>
    </w:rPr>
  </w:style>
  <w:style w:type="character" w:styleId="a6">
    <w:name w:val="footnote reference"/>
    <w:basedOn w:val="a0"/>
    <w:rPr>
      <w:vertAlign w:val="superscript"/>
    </w:rPr>
  </w:style>
  <w:style w:type="character" w:styleId="a7">
    <w:name w:val="Hyperlink"/>
    <w:basedOn w:val="a0"/>
    <w:rPr>
      <w:color w:val="0000FF"/>
      <w:u w:val="single"/>
    </w:rPr>
  </w:style>
  <w:style w:type="character" w:styleId="a8">
    <w:name w:val="Emphasis"/>
    <w:basedOn w:val="a0"/>
    <w:qFormat/>
    <w:rPr>
      <w:i w:val="0"/>
      <w:iCs w:val="0"/>
      <w:color w:val="CC0000"/>
    </w:rPr>
  </w:style>
  <w:style w:type="character" w:customStyle="1" w:styleId="10">
    <w:name w:val="标题 1 字符"/>
    <w:basedOn w:val="a0"/>
    <w:link w:val="1"/>
    <w:rPr>
      <w:b/>
      <w:bCs/>
      <w:kern w:val="44"/>
      <w:sz w:val="44"/>
      <w:szCs w:val="44"/>
    </w:rPr>
  </w:style>
  <w:style w:type="character" w:customStyle="1" w:styleId="40">
    <w:name w:val="标题 4 字符"/>
    <w:basedOn w:val="a0"/>
    <w:link w:val="4"/>
    <w:rPr>
      <w:rFonts w:ascii="Cambria" w:eastAsia="宋体" w:hAnsi="Cambria" w:cs="Times New Roman"/>
      <w:b/>
      <w:bCs/>
      <w:sz w:val="28"/>
      <w:szCs w:val="28"/>
    </w:rPr>
  </w:style>
  <w:style w:type="character" w:customStyle="1" w:styleId="a9">
    <w:name w:val="批注主题 字符"/>
    <w:basedOn w:val="aa"/>
    <w:link w:val="ab"/>
    <w:rPr>
      <w:rFonts w:ascii="宋体" w:eastAsia="宋体" w:hAnsi="宋体" w:cs="宋体"/>
      <w:b/>
      <w:bCs/>
      <w:kern w:val="0"/>
      <w:sz w:val="24"/>
      <w:szCs w:val="24"/>
    </w:rPr>
  </w:style>
  <w:style w:type="character" w:customStyle="1" w:styleId="30">
    <w:name w:val="标题 3 字符"/>
    <w:basedOn w:val="a0"/>
    <w:link w:val="3"/>
    <w:rPr>
      <w:b/>
      <w:bCs/>
      <w:sz w:val="32"/>
      <w:szCs w:val="32"/>
    </w:rPr>
  </w:style>
  <w:style w:type="character" w:customStyle="1" w:styleId="ac">
    <w:name w:val="页脚 字符"/>
    <w:basedOn w:val="a0"/>
    <w:link w:val="ad"/>
    <w:rPr>
      <w:sz w:val="18"/>
      <w:szCs w:val="18"/>
    </w:rPr>
  </w:style>
  <w:style w:type="character" w:customStyle="1" w:styleId="ae">
    <w:name w:val="脚注文本 字符"/>
    <w:basedOn w:val="a0"/>
    <w:link w:val="af"/>
    <w:rPr>
      <w:sz w:val="18"/>
      <w:szCs w:val="18"/>
    </w:rPr>
  </w:style>
  <w:style w:type="character" w:customStyle="1" w:styleId="aa">
    <w:name w:val="批注文字 字符"/>
    <w:basedOn w:val="a0"/>
    <w:link w:val="af0"/>
    <w:rPr>
      <w:rFonts w:ascii="宋体" w:eastAsia="宋体" w:hAnsi="宋体" w:cs="宋体"/>
      <w:kern w:val="0"/>
      <w:sz w:val="24"/>
      <w:szCs w:val="24"/>
    </w:rPr>
  </w:style>
  <w:style w:type="character" w:customStyle="1" w:styleId="20">
    <w:name w:val="标题 2 字符"/>
    <w:basedOn w:val="a0"/>
    <w:link w:val="2"/>
    <w:rPr>
      <w:rFonts w:ascii="Cambria" w:eastAsia="宋体" w:hAnsi="Cambria" w:cs="Times New Roman"/>
      <w:b/>
      <w:bCs/>
      <w:sz w:val="32"/>
      <w:szCs w:val="32"/>
    </w:rPr>
  </w:style>
  <w:style w:type="character" w:customStyle="1" w:styleId="af1">
    <w:name w:val="页眉 字符"/>
    <w:basedOn w:val="a0"/>
    <w:link w:val="af2"/>
    <w:rPr>
      <w:sz w:val="18"/>
      <w:szCs w:val="18"/>
    </w:rPr>
  </w:style>
  <w:style w:type="character" w:customStyle="1" w:styleId="af3">
    <w:name w:val="批注框文本 字符"/>
    <w:basedOn w:val="a0"/>
    <w:link w:val="af4"/>
    <w:rPr>
      <w:sz w:val="18"/>
      <w:szCs w:val="18"/>
    </w:rPr>
  </w:style>
  <w:style w:type="character" w:customStyle="1" w:styleId="af5">
    <w:name w:val="文档结构图 字符"/>
    <w:basedOn w:val="a0"/>
    <w:link w:val="af6"/>
    <w:rPr>
      <w:rFonts w:ascii="宋体" w:eastAsia="宋体"/>
      <w:sz w:val="18"/>
      <w:szCs w:val="18"/>
    </w:rPr>
  </w:style>
  <w:style w:type="paragraph" w:styleId="af2">
    <w:name w:val="header"/>
    <w:basedOn w:val="a"/>
    <w:link w:val="af1"/>
    <w:pPr>
      <w:pBdr>
        <w:bottom w:val="single" w:sz="6" w:space="1" w:color="auto"/>
      </w:pBdr>
      <w:tabs>
        <w:tab w:val="center" w:pos="4153"/>
        <w:tab w:val="right" w:pos="8306"/>
      </w:tabs>
      <w:snapToGrid w:val="0"/>
      <w:jc w:val="center"/>
    </w:pPr>
    <w:rPr>
      <w:sz w:val="18"/>
      <w:szCs w:val="18"/>
    </w:rPr>
  </w:style>
  <w:style w:type="paragraph" w:styleId="af6">
    <w:name w:val="Document Map"/>
    <w:basedOn w:val="a"/>
    <w:link w:val="af5"/>
    <w:rPr>
      <w:rFonts w:ascii="宋体"/>
      <w:sz w:val="18"/>
      <w:szCs w:val="18"/>
    </w:rPr>
  </w:style>
  <w:style w:type="paragraph" w:styleId="21">
    <w:name w:val="toc 2"/>
    <w:basedOn w:val="a"/>
    <w:next w:val="a"/>
    <w:pPr>
      <w:ind w:leftChars="200" w:left="420"/>
    </w:pPr>
  </w:style>
  <w:style w:type="paragraph" w:styleId="af0">
    <w:name w:val="annotation text"/>
    <w:basedOn w:val="a"/>
    <w:link w:val="aa"/>
    <w:pPr>
      <w:widowControl/>
      <w:jc w:val="left"/>
    </w:pPr>
    <w:rPr>
      <w:rFonts w:ascii="宋体" w:hAnsi="宋体" w:cs="宋体"/>
      <w:kern w:val="0"/>
      <w:sz w:val="24"/>
      <w:szCs w:val="24"/>
    </w:rPr>
  </w:style>
  <w:style w:type="paragraph" w:styleId="11">
    <w:name w:val="toc 1"/>
    <w:basedOn w:val="a"/>
    <w:next w:val="a"/>
  </w:style>
  <w:style w:type="paragraph" w:styleId="31">
    <w:name w:val="toc 3"/>
    <w:basedOn w:val="a"/>
    <w:next w:val="a"/>
    <w:pPr>
      <w:ind w:leftChars="400" w:left="840"/>
    </w:pPr>
  </w:style>
  <w:style w:type="paragraph" w:styleId="ab">
    <w:name w:val="annotation subject"/>
    <w:basedOn w:val="af0"/>
    <w:next w:val="af0"/>
    <w:link w:val="a9"/>
    <w:rPr>
      <w:b/>
      <w:bCs/>
    </w:rPr>
  </w:style>
  <w:style w:type="paragraph" w:styleId="af7">
    <w:name w:val="Normal (Web)"/>
    <w:basedOn w:val="a"/>
    <w:pPr>
      <w:widowControl/>
      <w:spacing w:before="100" w:beforeAutospacing="1" w:after="100" w:afterAutospacing="1"/>
      <w:jc w:val="left"/>
    </w:pPr>
    <w:rPr>
      <w:rFonts w:ascii="宋体" w:hAnsi="宋体" w:cs="宋体"/>
      <w:kern w:val="0"/>
      <w:sz w:val="24"/>
      <w:szCs w:val="24"/>
    </w:rPr>
  </w:style>
  <w:style w:type="paragraph" w:styleId="ad">
    <w:name w:val="footer"/>
    <w:basedOn w:val="a"/>
    <w:link w:val="ac"/>
    <w:pPr>
      <w:tabs>
        <w:tab w:val="center" w:pos="4153"/>
        <w:tab w:val="right" w:pos="8306"/>
      </w:tabs>
      <w:snapToGrid w:val="0"/>
      <w:jc w:val="left"/>
    </w:pPr>
    <w:rPr>
      <w:sz w:val="18"/>
      <w:szCs w:val="18"/>
    </w:rPr>
  </w:style>
  <w:style w:type="paragraph" w:styleId="af4">
    <w:name w:val="Balloon Text"/>
    <w:basedOn w:val="a"/>
    <w:link w:val="af3"/>
    <w:rPr>
      <w:sz w:val="18"/>
      <w:szCs w:val="18"/>
    </w:rPr>
  </w:style>
  <w:style w:type="paragraph" w:styleId="af">
    <w:name w:val="footnote text"/>
    <w:basedOn w:val="a"/>
    <w:link w:val="ae"/>
    <w:pPr>
      <w:snapToGrid w:val="0"/>
      <w:jc w:val="left"/>
    </w:pPr>
    <w:rPr>
      <w:sz w:val="18"/>
      <w:szCs w:val="18"/>
    </w:rPr>
  </w:style>
  <w:style w:type="paragraph" w:customStyle="1" w:styleId="12">
    <w:name w:val="列出段落1"/>
    <w:basedOn w:val="a"/>
    <w:pPr>
      <w:ind w:firstLineChars="200" w:firstLine="420"/>
    </w:pPr>
    <w:rPr>
      <w:rFonts w:cs="黑体"/>
    </w:rPr>
  </w:style>
  <w:style w:type="paragraph" w:customStyle="1" w:styleId="ListParagraph">
    <w:name w:val="List Paragraph"/>
    <w:basedOn w:val="a"/>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6260</Words>
  <Characters>271</Characters>
  <Application>Microsoft Office Word</Application>
  <DocSecurity>0</DocSecurity>
  <PresentationFormat/>
  <Lines>2</Lines>
  <Paragraphs>13</Paragraphs>
  <Slides>0</Slides>
  <Notes>0</Notes>
  <HiddenSlides>0</HiddenSlides>
  <MMClips>0</MMClips>
  <ScaleCrop>false</ScaleCrop>
  <Manager/>
  <Company>微软中国</Company>
  <LinksUpToDate>false</LinksUpToDate>
  <CharactersWithSpaces>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住房城乡建设部关于印发城市地下空间</dc:title>
  <dc:subject/>
  <dc:creator>微软用户</dc:creator>
  <cp:keywords/>
  <dc:description/>
  <cp:lastModifiedBy>张艳坤</cp:lastModifiedBy>
  <cp:revision>2</cp:revision>
  <cp:lastPrinted>2016-03-14T09:29:00Z</cp:lastPrinted>
  <dcterms:created xsi:type="dcterms:W3CDTF">2017-07-10T06:17:00Z</dcterms:created>
  <dcterms:modified xsi:type="dcterms:W3CDTF">2017-07-10T06:17:00Z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2052-6.6.0.2671</vt:lpwstr>
  </property>
</Properties>
</file>