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43AA" w:rsidRDefault="009A43AA" w:rsidP="009A43AA"/>
    <w:p w:rsidR="009A43AA" w:rsidRPr="00993BBC" w:rsidRDefault="008A07F7" w:rsidP="009A43AA">
      <w:pPr>
        <w:jc w:val="center"/>
        <w:rPr>
          <w:b/>
          <w:sz w:val="30"/>
          <w:szCs w:val="30"/>
        </w:rPr>
      </w:pPr>
      <w:r>
        <w:rPr>
          <w:rFonts w:hint="eastAsia"/>
          <w:b/>
          <w:sz w:val="30"/>
          <w:szCs w:val="30"/>
        </w:rPr>
        <w:t>第一章</w:t>
      </w:r>
      <w:r w:rsidR="009A43AA">
        <w:rPr>
          <w:rFonts w:hint="eastAsia"/>
          <w:b/>
          <w:sz w:val="30"/>
          <w:szCs w:val="30"/>
        </w:rPr>
        <w:t xml:space="preserve"> </w:t>
      </w:r>
      <w:r w:rsidR="009A43AA" w:rsidRPr="00993BBC">
        <w:rPr>
          <w:rFonts w:hint="eastAsia"/>
          <w:b/>
          <w:sz w:val="30"/>
          <w:szCs w:val="30"/>
        </w:rPr>
        <w:t>会计分析</w:t>
      </w:r>
    </w:p>
    <w:p w:rsidR="009A43AA" w:rsidRDefault="009A43AA" w:rsidP="009A43AA">
      <w:pPr>
        <w:ind w:firstLineChars="300" w:firstLine="630"/>
      </w:pPr>
      <w:r>
        <w:rPr>
          <w:rFonts w:hint="eastAsia"/>
        </w:rPr>
        <w:t>对青岛海尔进行会计分析的主要目的在于评估会计信息对公司基本经营状况的反映程度。本章所进行的会计分析是一个广义概念，即通过分析青岛海尔会计政策和会计估计的稳健性、适当性和灵活性，判断关联方交易的合理性、公允性和真实性，关注信息披露的充分性、完整性和准确性，在此基础上评价青岛海尔会计信息的真实质量程度，提高财务分析结论的可靠性和相关性。</w:t>
      </w:r>
    </w:p>
    <w:p w:rsidR="009A43AA" w:rsidRDefault="009A43AA" w:rsidP="009A43AA">
      <w:pPr>
        <w:ind w:firstLineChars="300" w:firstLine="630"/>
      </w:pPr>
      <w:r>
        <w:rPr>
          <w:rFonts w:hint="eastAsia"/>
        </w:rPr>
        <w:t>本章选取</w:t>
      </w:r>
      <w:r>
        <w:rPr>
          <w:rFonts w:hint="eastAsia"/>
        </w:rPr>
        <w:t>2008</w:t>
      </w:r>
      <w:r>
        <w:rPr>
          <w:rFonts w:hint="eastAsia"/>
        </w:rPr>
        <w:t>—</w:t>
      </w:r>
      <w:r>
        <w:rPr>
          <w:rFonts w:hint="eastAsia"/>
        </w:rPr>
        <w:t>2012</w:t>
      </w:r>
      <w:r>
        <w:rPr>
          <w:rFonts w:hint="eastAsia"/>
        </w:rPr>
        <w:t>年青岛海尔合并财务报告作为分析基础，以企业会计准则及其相关解释作为分析框架，按以下四个步骤进行流程分析：（一）确认关键政策和会计估计；（二）分析关键会计政策和会计估计；（三）关注信息披露质量；（四）会计分析简要结论。</w:t>
      </w:r>
    </w:p>
    <w:p w:rsidR="009A43AA" w:rsidRDefault="009A43AA" w:rsidP="009A43AA">
      <w:pPr>
        <w:ind w:firstLineChars="300" w:firstLine="630"/>
      </w:pPr>
      <w:r>
        <w:rPr>
          <w:rFonts w:hint="eastAsia"/>
        </w:rPr>
        <w:t>需要说明的是，由于会计分析的绝大部分资料来源于青岛海尔的财务报告，可以相互佐证的资料较少，因此我们的分析结果只是基于资料范围的受限而做出的合理推断，其中涉及到对其财务报告真实性和公允性的怀疑，也只是我们基于此所做出的合理猜测，并不必然表明青岛海尔确实存在此种操纵行为。此外，基于重要性的考虑，我们只选择关键项目进行分析。</w:t>
      </w:r>
    </w:p>
    <w:p w:rsidR="009A43AA" w:rsidRPr="00501B6B" w:rsidRDefault="009A43AA" w:rsidP="009A43AA">
      <w:pPr>
        <w:rPr>
          <w:b/>
          <w:sz w:val="30"/>
          <w:szCs w:val="30"/>
        </w:rPr>
      </w:pPr>
      <w:r w:rsidRPr="00501B6B">
        <w:rPr>
          <w:rFonts w:hint="eastAsia"/>
          <w:b/>
          <w:sz w:val="30"/>
          <w:szCs w:val="30"/>
        </w:rPr>
        <w:t>一</w:t>
      </w:r>
      <w:r w:rsidRPr="00501B6B">
        <w:rPr>
          <w:rFonts w:hint="eastAsia"/>
          <w:b/>
          <w:sz w:val="30"/>
          <w:szCs w:val="30"/>
        </w:rPr>
        <w:t xml:space="preserve">  </w:t>
      </w:r>
      <w:r w:rsidRPr="00501B6B">
        <w:rPr>
          <w:rFonts w:hint="eastAsia"/>
          <w:b/>
          <w:sz w:val="30"/>
          <w:szCs w:val="30"/>
        </w:rPr>
        <w:t>确认关键政策和会计估计</w:t>
      </w:r>
    </w:p>
    <w:p w:rsidR="009A43AA" w:rsidRDefault="009A43AA" w:rsidP="009A43AA">
      <w:pPr>
        <w:ind w:firstLineChars="200" w:firstLine="420"/>
      </w:pPr>
      <w:r w:rsidRPr="00993BBC">
        <w:rPr>
          <w:rFonts w:hint="eastAsia"/>
        </w:rPr>
        <w:t>青岛海尔</w:t>
      </w:r>
      <w:r>
        <w:rPr>
          <w:rFonts w:hint="eastAsia"/>
        </w:rPr>
        <w:t>属于家电制造企业，存货管理是其生产经营的关键，因此需要重点关注青岛海尔的存货计价政策，存货减值准备估计，应收账款坏账准备估计，收入确认政策；同时由于青岛海尔为上市企业，股权结构相对复杂，关联方较多，因此需要重点关注其长期股权投资后续计量政策、关联方交易及其披露状况；此外，由于青岛海尔目前执行差异化战略，技术研发对于其拓展市场份额具有举足轻重的作用，因此需要重点关注其研发支出资本化政策。</w:t>
      </w:r>
    </w:p>
    <w:p w:rsidR="009A43AA" w:rsidRPr="003957DA" w:rsidRDefault="009A43AA" w:rsidP="009A43AA">
      <w:pPr>
        <w:ind w:firstLineChars="200" w:firstLine="422"/>
        <w:rPr>
          <w:b/>
        </w:rPr>
      </w:pPr>
      <w:r w:rsidRPr="003957DA">
        <w:rPr>
          <w:rFonts w:hint="eastAsia"/>
          <w:b/>
        </w:rPr>
        <w:t>1</w:t>
      </w:r>
      <w:r w:rsidRPr="003957DA">
        <w:rPr>
          <w:rFonts w:hint="eastAsia"/>
          <w:b/>
        </w:rPr>
        <w:t>存货会计政策和减值准备估计</w:t>
      </w:r>
    </w:p>
    <w:p w:rsidR="009A43AA" w:rsidRPr="00A02F10" w:rsidRDefault="009A43AA" w:rsidP="009A43AA">
      <w:pPr>
        <w:spacing w:line="240" w:lineRule="atLeast"/>
        <w:ind w:firstLineChars="200" w:firstLine="420"/>
        <w:rPr>
          <w:szCs w:val="21"/>
        </w:rPr>
      </w:pPr>
      <w:r>
        <w:rPr>
          <w:rFonts w:hint="eastAsia"/>
        </w:rPr>
        <w:t>青岛海尔的存货主要包括生产经营过程中为销售或者耗用而持有的原材料、在途物资、低值易耗品、在产品和库存商品。存货日常以标准成本核算，对存货的标准成本和实际成本</w:t>
      </w:r>
      <w:r>
        <w:rPr>
          <w:rFonts w:hint="eastAsia"/>
        </w:rPr>
        <w:t xml:space="preserve"> </w:t>
      </w:r>
      <w:r>
        <w:rPr>
          <w:rFonts w:hint="eastAsia"/>
        </w:rPr>
        <w:t>之间的差异，通过成本差异科目核算，并按月结转发出存货应负担的成本差异，将标准成本</w:t>
      </w:r>
      <w:r>
        <w:rPr>
          <w:rFonts w:hint="eastAsia"/>
        </w:rPr>
        <w:t xml:space="preserve">  </w:t>
      </w:r>
      <w:r>
        <w:rPr>
          <w:rFonts w:hint="eastAsia"/>
        </w:rPr>
        <w:t>调整为实际成本。存货跌价准备按单个存货项目的成本与可变现净值计量，但如果某些存货</w:t>
      </w:r>
      <w:r>
        <w:rPr>
          <w:rFonts w:hint="eastAsia"/>
        </w:rPr>
        <w:t xml:space="preserve">  </w:t>
      </w:r>
      <w:r w:rsidRPr="00A02F10">
        <w:rPr>
          <w:rFonts w:hint="eastAsia"/>
          <w:szCs w:val="21"/>
        </w:rPr>
        <w:t>与在同一地区生产和销售的产品系列相关、具有相同或类似最终用途或目的，且难以与其他</w:t>
      </w:r>
      <w:r w:rsidRPr="00A02F10">
        <w:rPr>
          <w:rFonts w:hint="eastAsia"/>
          <w:szCs w:val="21"/>
        </w:rPr>
        <w:t xml:space="preserve">  </w:t>
      </w:r>
      <w:r w:rsidRPr="00A02F10">
        <w:rPr>
          <w:rFonts w:hint="eastAsia"/>
          <w:szCs w:val="21"/>
        </w:rPr>
        <w:t>项目分开计量，可以合并计量成本与可变现净值；对于数量繁多、单价较低的存货，可以按照存货类别计量成本</w:t>
      </w:r>
      <w:r w:rsidRPr="00A02F10">
        <w:rPr>
          <w:rFonts w:hint="eastAsia"/>
          <w:szCs w:val="21"/>
        </w:rPr>
        <w:t xml:space="preserve"> </w:t>
      </w:r>
      <w:r w:rsidRPr="00A02F10">
        <w:rPr>
          <w:rFonts w:hint="eastAsia"/>
          <w:szCs w:val="21"/>
        </w:rPr>
        <w:t>与可变现净值。产成品</w:t>
      </w:r>
      <w:r>
        <w:rPr>
          <w:rFonts w:hint="eastAsia"/>
          <w:szCs w:val="21"/>
        </w:rPr>
        <w:t xml:space="preserve"> </w:t>
      </w:r>
      <w:r w:rsidRPr="00A02F10">
        <w:rPr>
          <w:rFonts w:hint="eastAsia"/>
          <w:szCs w:val="21"/>
        </w:rPr>
        <w:t>、商品和用于出售的材料等可直接用于出售的存货</w:t>
      </w:r>
      <w:r>
        <w:rPr>
          <w:rFonts w:hint="eastAsia"/>
          <w:szCs w:val="21"/>
        </w:rPr>
        <w:t>，</w:t>
      </w:r>
      <w:r w:rsidRPr="00A02F10">
        <w:rPr>
          <w:rFonts w:hint="eastAsia"/>
          <w:szCs w:val="21"/>
        </w:rPr>
        <w:t>其可变现净值按该等存货的估计售价减去估计的销售费用和相关税费后的金额确定；用于生产而持有的材料等存货，其可变现净值按所生产的产成品的估计售价减去至完工时估</w:t>
      </w:r>
      <w:r w:rsidRPr="00A02F10">
        <w:rPr>
          <w:rFonts w:hint="eastAsia"/>
          <w:szCs w:val="21"/>
        </w:rPr>
        <w:t xml:space="preserve"> </w:t>
      </w:r>
      <w:r w:rsidRPr="00A02F10">
        <w:rPr>
          <w:rFonts w:hint="eastAsia"/>
          <w:szCs w:val="21"/>
        </w:rPr>
        <w:t>计将要发生的成本</w:t>
      </w:r>
      <w:r>
        <w:rPr>
          <w:rFonts w:hint="eastAsia"/>
          <w:szCs w:val="21"/>
        </w:rPr>
        <w:t>、</w:t>
      </w:r>
      <w:r w:rsidRPr="00A02F10">
        <w:rPr>
          <w:rFonts w:hint="eastAsia"/>
          <w:szCs w:val="21"/>
        </w:rPr>
        <w:t>估计的销售费用和相关税费后的金额确定</w:t>
      </w:r>
      <w:r>
        <w:rPr>
          <w:rFonts w:hint="eastAsia"/>
          <w:szCs w:val="21"/>
        </w:rPr>
        <w:t>；</w:t>
      </w:r>
      <w:r w:rsidRPr="00A02F10">
        <w:rPr>
          <w:rFonts w:hint="eastAsia"/>
          <w:szCs w:val="21"/>
        </w:rPr>
        <w:t>为执行销售合同或者劳务</w:t>
      </w:r>
      <w:r w:rsidRPr="00A02F10">
        <w:rPr>
          <w:rFonts w:hint="eastAsia"/>
          <w:szCs w:val="21"/>
        </w:rPr>
        <w:t xml:space="preserve">  </w:t>
      </w:r>
      <w:r w:rsidRPr="00A02F10">
        <w:rPr>
          <w:rFonts w:hint="eastAsia"/>
          <w:szCs w:val="21"/>
        </w:rPr>
        <w:t>合同而持有的存货，其可变现净值以合同价格为基础计算；企业持有存货的数量多于销售合</w:t>
      </w:r>
      <w:r w:rsidRPr="00A02F10">
        <w:rPr>
          <w:rFonts w:hint="eastAsia"/>
          <w:szCs w:val="21"/>
        </w:rPr>
        <w:t xml:space="preserve"> </w:t>
      </w:r>
      <w:r w:rsidRPr="00A02F10">
        <w:rPr>
          <w:rFonts w:hint="eastAsia"/>
          <w:szCs w:val="21"/>
        </w:rPr>
        <w:t>同订购数量的</w:t>
      </w:r>
      <w:r w:rsidRPr="00A02F10">
        <w:rPr>
          <w:rFonts w:hint="eastAsia"/>
          <w:szCs w:val="21"/>
        </w:rPr>
        <w:t xml:space="preserve"> </w:t>
      </w:r>
      <w:r w:rsidRPr="00A02F10">
        <w:rPr>
          <w:rFonts w:hint="eastAsia"/>
          <w:szCs w:val="21"/>
        </w:rPr>
        <w:t>，超出部分的存货可变现净值以一般销售价格为基础计算。对于存货因遭受</w:t>
      </w:r>
      <w:r w:rsidRPr="00A02F10">
        <w:rPr>
          <w:rFonts w:hint="eastAsia"/>
          <w:szCs w:val="21"/>
        </w:rPr>
        <w:t xml:space="preserve">  </w:t>
      </w:r>
      <w:r w:rsidRPr="00A02F10">
        <w:rPr>
          <w:rFonts w:hint="eastAsia"/>
          <w:szCs w:val="21"/>
        </w:rPr>
        <w:t>毁损、全部或部分陈旧过时或销售价格低于成本等原因，预计其成本不可收回的部分，</w:t>
      </w:r>
      <w:r w:rsidRPr="00A02F10">
        <w:rPr>
          <w:rFonts w:hint="eastAsia"/>
          <w:szCs w:val="21"/>
        </w:rPr>
        <w:t xml:space="preserve"> </w:t>
      </w:r>
      <w:r w:rsidRPr="00A02F10">
        <w:rPr>
          <w:rFonts w:hint="eastAsia"/>
          <w:szCs w:val="21"/>
        </w:rPr>
        <w:t>提</w:t>
      </w:r>
      <w:r w:rsidRPr="00A02F10">
        <w:rPr>
          <w:rFonts w:hint="eastAsia"/>
          <w:szCs w:val="21"/>
        </w:rPr>
        <w:t xml:space="preserve"> </w:t>
      </w:r>
      <w:r w:rsidRPr="00A02F10">
        <w:rPr>
          <w:rFonts w:hint="eastAsia"/>
          <w:szCs w:val="21"/>
        </w:rPr>
        <w:t>取存货跌价准备</w:t>
      </w:r>
      <w:r w:rsidRPr="00A02F10">
        <w:rPr>
          <w:rFonts w:hint="eastAsia"/>
          <w:szCs w:val="21"/>
        </w:rPr>
        <w:t xml:space="preserve"> </w:t>
      </w:r>
      <w:r w:rsidRPr="00A02F10">
        <w:rPr>
          <w:rFonts w:hint="eastAsia"/>
          <w:szCs w:val="21"/>
        </w:rPr>
        <w:t>。</w:t>
      </w:r>
      <w:r w:rsidRPr="00A02F10">
        <w:rPr>
          <w:rFonts w:hint="eastAsia"/>
          <w:szCs w:val="21"/>
        </w:rPr>
        <w:t xml:space="preserve"> </w:t>
      </w:r>
    </w:p>
    <w:p w:rsidR="009A43AA" w:rsidRPr="003957DA" w:rsidRDefault="009A43AA" w:rsidP="009A43AA">
      <w:pPr>
        <w:ind w:firstLineChars="196" w:firstLine="413"/>
        <w:rPr>
          <w:b/>
          <w:szCs w:val="21"/>
        </w:rPr>
      </w:pPr>
      <w:r w:rsidRPr="003957DA">
        <w:rPr>
          <w:rFonts w:hint="eastAsia"/>
          <w:b/>
          <w:szCs w:val="21"/>
        </w:rPr>
        <w:t>2</w:t>
      </w:r>
      <w:r w:rsidRPr="003957DA">
        <w:rPr>
          <w:rFonts w:hint="eastAsia"/>
          <w:b/>
          <w:szCs w:val="21"/>
        </w:rPr>
        <w:t>应收账款坏账准备估计</w:t>
      </w:r>
    </w:p>
    <w:p w:rsidR="009A43AA" w:rsidRPr="00A134CA" w:rsidRDefault="009A43AA" w:rsidP="009A43AA">
      <w:pPr>
        <w:ind w:firstLineChars="300" w:firstLine="630"/>
        <w:rPr>
          <w:szCs w:val="21"/>
        </w:rPr>
      </w:pPr>
      <w:r>
        <w:rPr>
          <w:rFonts w:hint="eastAsia"/>
          <w:szCs w:val="21"/>
        </w:rPr>
        <w:t>青岛海尔将应收账款区分为三大类：（一）单项金额重大并单项计提坏账准备的应收账款，其中“单项金额重大”是指占年末余额</w:t>
      </w:r>
      <w:r>
        <w:rPr>
          <w:rFonts w:hint="eastAsia"/>
          <w:szCs w:val="21"/>
        </w:rPr>
        <w:t>5%</w:t>
      </w:r>
      <w:r>
        <w:rPr>
          <w:rFonts w:hint="eastAsia"/>
          <w:szCs w:val="21"/>
        </w:rPr>
        <w:t>的应收账款；（二）按组合计提坏账准备的应收账款；（三）</w:t>
      </w:r>
      <w:r w:rsidRPr="00AD70FC">
        <w:rPr>
          <w:rFonts w:hint="eastAsia"/>
          <w:szCs w:val="21"/>
        </w:rPr>
        <w:t>单项金额虽不重大但单项计提坏账准备的应收款项</w:t>
      </w:r>
      <w:r>
        <w:rPr>
          <w:rFonts w:hint="eastAsia"/>
          <w:szCs w:val="21"/>
        </w:rPr>
        <w:t>。相应的坏账准备计提方法是：（一）在资产负债表日，对单项金额重大的应收账款单独进行减值测试，根据其未来现金流量现值低于其账面价值的差额计提减值准备；（二）</w:t>
      </w:r>
      <w:r w:rsidRPr="00A134CA">
        <w:rPr>
          <w:rFonts w:hint="eastAsia"/>
          <w:szCs w:val="21"/>
        </w:rPr>
        <w:t>对单项测试未减值的应收款</w:t>
      </w:r>
      <w:r w:rsidRPr="00A134CA">
        <w:rPr>
          <w:rFonts w:hint="eastAsia"/>
          <w:szCs w:val="21"/>
        </w:rPr>
        <w:t xml:space="preserve"> </w:t>
      </w:r>
      <w:r w:rsidRPr="00A134CA">
        <w:rPr>
          <w:rFonts w:hint="eastAsia"/>
          <w:szCs w:val="21"/>
        </w:rPr>
        <w:t>项，</w:t>
      </w:r>
      <w:r w:rsidRPr="00A134CA">
        <w:rPr>
          <w:rFonts w:hint="eastAsia"/>
          <w:szCs w:val="21"/>
        </w:rPr>
        <w:lastRenderedPageBreak/>
        <w:t>按类似的信用风险特征划分为若干组合</w:t>
      </w:r>
      <w:r>
        <w:rPr>
          <w:rFonts w:hint="eastAsia"/>
          <w:szCs w:val="21"/>
        </w:rPr>
        <w:t>，</w:t>
      </w:r>
      <w:r w:rsidRPr="00A134CA">
        <w:rPr>
          <w:rFonts w:hint="eastAsia"/>
          <w:szCs w:val="21"/>
        </w:rPr>
        <w:t>再按这些应收款项组合在</w:t>
      </w:r>
      <w:r>
        <w:rPr>
          <w:rFonts w:hint="eastAsia"/>
          <w:szCs w:val="21"/>
        </w:rPr>
        <w:t>资产负债表日余额的</w:t>
      </w:r>
    </w:p>
    <w:p w:rsidR="009A43AA" w:rsidRPr="00E41A7C" w:rsidRDefault="009A43AA" w:rsidP="009A43AA">
      <w:pPr>
        <w:rPr>
          <w:szCs w:val="21"/>
        </w:rPr>
      </w:pPr>
      <w:r>
        <w:rPr>
          <w:szCs w:val="21"/>
        </w:rPr>
        <w:t xml:space="preserve">5% </w:t>
      </w:r>
      <w:r w:rsidRPr="00A134CA">
        <w:rPr>
          <w:rFonts w:hint="eastAsia"/>
          <w:szCs w:val="21"/>
        </w:rPr>
        <w:t>计算确定减值损失，计提坏账准备。</w:t>
      </w:r>
      <w:r>
        <w:rPr>
          <w:rFonts w:hint="eastAsia"/>
          <w:szCs w:val="21"/>
        </w:rPr>
        <w:t>（三）有确凿证据表明可收回性存在明显差异，单独进行减值测试，根据其未来现金流量现值低于其账面价值的差额计提减值准备。</w:t>
      </w:r>
    </w:p>
    <w:p w:rsidR="009A43AA" w:rsidRDefault="009A43AA" w:rsidP="009A43AA">
      <w:pPr>
        <w:ind w:firstLineChars="294" w:firstLine="620"/>
        <w:rPr>
          <w:b/>
          <w:szCs w:val="21"/>
        </w:rPr>
      </w:pPr>
      <w:r w:rsidRPr="003957DA">
        <w:rPr>
          <w:rFonts w:hint="eastAsia"/>
          <w:b/>
          <w:szCs w:val="21"/>
        </w:rPr>
        <w:t>3</w:t>
      </w:r>
      <w:r w:rsidRPr="003957DA">
        <w:rPr>
          <w:rFonts w:hint="eastAsia"/>
          <w:b/>
          <w:szCs w:val="21"/>
        </w:rPr>
        <w:t>收入确认政策</w:t>
      </w:r>
    </w:p>
    <w:p w:rsidR="009A43AA" w:rsidRDefault="009A43AA" w:rsidP="009A43AA">
      <w:pPr>
        <w:ind w:firstLineChars="300" w:firstLine="630"/>
        <w:rPr>
          <w:szCs w:val="21"/>
        </w:rPr>
      </w:pPr>
      <w:r w:rsidRPr="003957DA">
        <w:rPr>
          <w:rFonts w:hint="eastAsia"/>
          <w:szCs w:val="21"/>
        </w:rPr>
        <w:t>青岛海尔选择的销售商品的收入确认政策是</w:t>
      </w:r>
      <w:r>
        <w:rPr>
          <w:rFonts w:hint="eastAsia"/>
          <w:szCs w:val="21"/>
        </w:rPr>
        <w:t>：将商品所有权上的主要风险和报酬转移给买方，并且不再对该商品实施继续管理权和实际控制权，与交易相关的经济利益能够流入公司，并且与销售该商品相关的成本能够可靠得计量。</w:t>
      </w:r>
    </w:p>
    <w:p w:rsidR="009A43AA" w:rsidRPr="00B330E3" w:rsidRDefault="009A43AA" w:rsidP="009A43AA">
      <w:pPr>
        <w:ind w:firstLineChars="294" w:firstLine="620"/>
        <w:rPr>
          <w:b/>
          <w:szCs w:val="21"/>
        </w:rPr>
      </w:pPr>
      <w:r>
        <w:rPr>
          <w:rFonts w:hint="eastAsia"/>
          <w:b/>
          <w:szCs w:val="21"/>
        </w:rPr>
        <w:t>4</w:t>
      </w:r>
      <w:r w:rsidRPr="00B330E3">
        <w:rPr>
          <w:rFonts w:hint="eastAsia"/>
          <w:b/>
          <w:szCs w:val="21"/>
        </w:rPr>
        <w:t>研发支出资本化政策</w:t>
      </w:r>
    </w:p>
    <w:p w:rsidR="009A43AA" w:rsidRPr="0033676B" w:rsidRDefault="009A43AA" w:rsidP="009A43AA">
      <w:pPr>
        <w:ind w:firstLineChars="300" w:firstLine="630"/>
        <w:rPr>
          <w:szCs w:val="21"/>
        </w:rPr>
      </w:pPr>
      <w:r>
        <w:rPr>
          <w:rFonts w:hint="eastAsia"/>
          <w:szCs w:val="21"/>
        </w:rPr>
        <w:t>青岛海尔选择的研发支出政策是：</w:t>
      </w:r>
      <w:r w:rsidRPr="00B330E3">
        <w:rPr>
          <w:rFonts w:hint="eastAsia"/>
          <w:szCs w:val="21"/>
        </w:rPr>
        <w:t>自行研究开发的无形资产，其研究阶段的支出，应当于发生时计入当期损益；其开发阶段的支出，</w:t>
      </w:r>
      <w:r w:rsidRPr="0033676B">
        <w:rPr>
          <w:rFonts w:hint="eastAsia"/>
          <w:szCs w:val="21"/>
        </w:rPr>
        <w:t>同时满足下列条件的，确认为无形资产：</w:t>
      </w:r>
    </w:p>
    <w:p w:rsidR="009A43AA" w:rsidRPr="0033676B" w:rsidRDefault="009A43AA" w:rsidP="009A43AA">
      <w:pPr>
        <w:ind w:firstLineChars="200" w:firstLine="420"/>
        <w:rPr>
          <w:szCs w:val="21"/>
        </w:rPr>
      </w:pPr>
      <w:r w:rsidRPr="0033676B">
        <w:rPr>
          <w:rFonts w:hint="eastAsia"/>
          <w:szCs w:val="21"/>
        </w:rPr>
        <w:t>（一）完成该无形资产以使其能够使用或出售在技术上具有可行性；</w:t>
      </w:r>
    </w:p>
    <w:p w:rsidR="009A43AA" w:rsidRPr="0033676B" w:rsidRDefault="009A43AA" w:rsidP="009A43AA">
      <w:pPr>
        <w:ind w:firstLineChars="200" w:firstLine="420"/>
        <w:rPr>
          <w:szCs w:val="21"/>
        </w:rPr>
      </w:pPr>
      <w:r w:rsidRPr="0033676B">
        <w:rPr>
          <w:rFonts w:hint="eastAsia"/>
          <w:szCs w:val="21"/>
        </w:rPr>
        <w:t>（二）具有完成该无形资产并使用或出售的意图；</w:t>
      </w:r>
    </w:p>
    <w:p w:rsidR="009A43AA" w:rsidRPr="0033676B" w:rsidRDefault="009A43AA" w:rsidP="009A43AA">
      <w:pPr>
        <w:ind w:firstLineChars="200" w:firstLine="420"/>
        <w:rPr>
          <w:szCs w:val="21"/>
        </w:rPr>
      </w:pPr>
      <w:r w:rsidRPr="0033676B">
        <w:rPr>
          <w:rFonts w:hint="eastAsia"/>
          <w:szCs w:val="21"/>
        </w:rPr>
        <w:t>（三）无形资产产生经济利益的方式，包括能够证明运用该无形资产生产的产品存在市场或无形资产自身存在市场，无形资产将在内部使用的，应当证明其有用性；</w:t>
      </w:r>
    </w:p>
    <w:p w:rsidR="009A43AA" w:rsidRPr="0033676B" w:rsidRDefault="009A43AA" w:rsidP="009A43AA">
      <w:pPr>
        <w:ind w:firstLineChars="200" w:firstLine="420"/>
        <w:rPr>
          <w:szCs w:val="21"/>
        </w:rPr>
      </w:pPr>
      <w:r w:rsidRPr="0033676B">
        <w:rPr>
          <w:rFonts w:hint="eastAsia"/>
          <w:szCs w:val="21"/>
        </w:rPr>
        <w:t>（四）有足够的技术、财务资源和其他资源支持，以完成该无形资产的开发，并有能力使用或出售该无形资产；</w:t>
      </w:r>
    </w:p>
    <w:p w:rsidR="009A43AA" w:rsidRPr="0033676B" w:rsidRDefault="009A43AA" w:rsidP="009A43AA">
      <w:pPr>
        <w:ind w:firstLineChars="200" w:firstLine="420"/>
        <w:rPr>
          <w:szCs w:val="21"/>
        </w:rPr>
      </w:pPr>
      <w:r w:rsidRPr="0033676B">
        <w:rPr>
          <w:rFonts w:hint="eastAsia"/>
          <w:szCs w:val="21"/>
        </w:rPr>
        <w:t>（五）归属于该无形资产开发阶段的支出能够可靠地计量。</w:t>
      </w:r>
    </w:p>
    <w:p w:rsidR="009A43AA" w:rsidRDefault="009A43AA" w:rsidP="009A43AA">
      <w:pPr>
        <w:rPr>
          <w:b/>
          <w:sz w:val="30"/>
          <w:szCs w:val="30"/>
        </w:rPr>
      </w:pPr>
      <w:r w:rsidRPr="00501B6B">
        <w:rPr>
          <w:rFonts w:hint="eastAsia"/>
          <w:b/>
          <w:sz w:val="30"/>
          <w:szCs w:val="30"/>
        </w:rPr>
        <w:t>二分析关键会计政策和会计估计</w:t>
      </w:r>
    </w:p>
    <w:p w:rsidR="009A43AA" w:rsidRDefault="009A43AA" w:rsidP="009A43AA">
      <w:pPr>
        <w:rPr>
          <w:b/>
          <w:sz w:val="24"/>
        </w:rPr>
      </w:pPr>
      <w:r w:rsidRPr="00501B6B">
        <w:rPr>
          <w:rFonts w:hint="eastAsia"/>
          <w:b/>
          <w:sz w:val="24"/>
        </w:rPr>
        <w:t>1</w:t>
      </w:r>
      <w:r w:rsidRPr="00501B6B">
        <w:rPr>
          <w:rFonts w:hint="eastAsia"/>
          <w:b/>
          <w:sz w:val="24"/>
        </w:rPr>
        <w:t>存货质量分析</w:t>
      </w:r>
    </w:p>
    <w:p w:rsidR="009A43AA" w:rsidRDefault="009A43AA" w:rsidP="009A43AA">
      <w:pPr>
        <w:ind w:firstLineChars="150" w:firstLine="315"/>
        <w:rPr>
          <w:szCs w:val="21"/>
        </w:rPr>
      </w:pPr>
      <w:r w:rsidRPr="00501B6B">
        <w:rPr>
          <w:rFonts w:hint="eastAsia"/>
          <w:szCs w:val="21"/>
        </w:rPr>
        <w:t>作为一家典型的制造企业，</w:t>
      </w:r>
      <w:r>
        <w:rPr>
          <w:rFonts w:hint="eastAsia"/>
          <w:szCs w:val="21"/>
        </w:rPr>
        <w:t>青岛海尔采用的是大规模生产、低成本、差异化的竞争战略，因此存货的有效管理成为影响其生产经营的重要因素。由于资产中存货比率较高，因此与存货相关的会计政策和会计估计是否合理，直接影响到青岛海尔财务信息的质量。与此同时，这些会计政策和会计估计灵活性较高，需要管理层综合各方面因素进行判断，因此将分析重点聚焦于管理层是否利于会计弹性隐瞒或歪曲公司的真实情况。</w:t>
      </w:r>
    </w:p>
    <w:p w:rsidR="009A43AA" w:rsidRDefault="009A43AA" w:rsidP="009A43AA">
      <w:pPr>
        <w:ind w:firstLineChars="150" w:firstLine="316"/>
        <w:jc w:val="center"/>
        <w:rPr>
          <w:b/>
          <w:szCs w:val="21"/>
        </w:rPr>
      </w:pPr>
      <w:r w:rsidRPr="006D5829">
        <w:rPr>
          <w:rFonts w:hint="eastAsia"/>
          <w:b/>
          <w:szCs w:val="21"/>
        </w:rPr>
        <w:t>表</w:t>
      </w:r>
      <w:r w:rsidRPr="006D5829">
        <w:rPr>
          <w:rFonts w:hint="eastAsia"/>
          <w:b/>
          <w:szCs w:val="21"/>
        </w:rPr>
        <w:t xml:space="preserve">1 </w:t>
      </w:r>
      <w:r>
        <w:rPr>
          <w:rFonts w:hint="eastAsia"/>
          <w:b/>
          <w:szCs w:val="21"/>
        </w:rPr>
        <w:t>青岛海尔的存货情况（单位：</w:t>
      </w:r>
      <w:r w:rsidRPr="006D5829">
        <w:rPr>
          <w:rFonts w:hint="eastAsia"/>
          <w:b/>
          <w:szCs w:val="21"/>
        </w:rPr>
        <w:t>元）</w:t>
      </w:r>
    </w:p>
    <w:tbl>
      <w:tblPr>
        <w:tblStyle w:val="a3"/>
        <w:tblW w:w="0" w:type="auto"/>
        <w:tblLook w:val="01E0" w:firstRow="1" w:lastRow="1" w:firstColumn="1" w:lastColumn="1" w:noHBand="0" w:noVBand="0"/>
      </w:tblPr>
      <w:tblGrid>
        <w:gridCol w:w="1072"/>
        <w:gridCol w:w="1424"/>
        <w:gridCol w:w="1476"/>
        <w:gridCol w:w="1476"/>
        <w:gridCol w:w="1424"/>
        <w:gridCol w:w="1424"/>
      </w:tblGrid>
      <w:tr w:rsidR="009A43AA" w:rsidRPr="006C1F9A">
        <w:tc>
          <w:tcPr>
            <w:tcW w:w="1548" w:type="dxa"/>
          </w:tcPr>
          <w:p w:rsidR="009A43AA" w:rsidRPr="006C1F9A" w:rsidRDefault="009A43AA" w:rsidP="009A43AA">
            <w:pPr>
              <w:jc w:val="center"/>
              <w:rPr>
                <w:b/>
                <w:szCs w:val="21"/>
              </w:rPr>
            </w:pPr>
            <w:r w:rsidRPr="006C1F9A">
              <w:rPr>
                <w:rFonts w:hint="eastAsia"/>
                <w:b/>
                <w:szCs w:val="21"/>
              </w:rPr>
              <w:t>项目</w:t>
            </w:r>
          </w:p>
        </w:tc>
        <w:tc>
          <w:tcPr>
            <w:tcW w:w="1292" w:type="dxa"/>
          </w:tcPr>
          <w:p w:rsidR="009A43AA" w:rsidRPr="006C1F9A" w:rsidRDefault="009A43AA" w:rsidP="009A43AA">
            <w:pPr>
              <w:jc w:val="center"/>
              <w:rPr>
                <w:b/>
                <w:szCs w:val="21"/>
              </w:rPr>
            </w:pPr>
            <w:r w:rsidRPr="006C1F9A">
              <w:rPr>
                <w:rFonts w:hint="eastAsia"/>
                <w:b/>
                <w:szCs w:val="21"/>
              </w:rPr>
              <w:t>2008</w:t>
            </w:r>
            <w:r w:rsidRPr="006C1F9A">
              <w:rPr>
                <w:rFonts w:hint="eastAsia"/>
                <w:b/>
                <w:szCs w:val="21"/>
              </w:rPr>
              <w:t>年</w:t>
            </w:r>
          </w:p>
        </w:tc>
        <w:tc>
          <w:tcPr>
            <w:tcW w:w="1420" w:type="dxa"/>
          </w:tcPr>
          <w:p w:rsidR="009A43AA" w:rsidRPr="006C1F9A" w:rsidRDefault="009A43AA" w:rsidP="009A43AA">
            <w:pPr>
              <w:jc w:val="center"/>
              <w:rPr>
                <w:b/>
                <w:szCs w:val="21"/>
              </w:rPr>
            </w:pPr>
            <w:r w:rsidRPr="006C1F9A">
              <w:rPr>
                <w:rFonts w:hint="eastAsia"/>
                <w:b/>
                <w:szCs w:val="21"/>
              </w:rPr>
              <w:t>2009</w:t>
            </w:r>
            <w:r w:rsidRPr="006C1F9A">
              <w:rPr>
                <w:rFonts w:hint="eastAsia"/>
                <w:b/>
                <w:szCs w:val="21"/>
              </w:rPr>
              <w:t>年</w:t>
            </w:r>
          </w:p>
        </w:tc>
        <w:tc>
          <w:tcPr>
            <w:tcW w:w="1420" w:type="dxa"/>
          </w:tcPr>
          <w:p w:rsidR="009A43AA" w:rsidRPr="006C1F9A" w:rsidRDefault="009A43AA" w:rsidP="009A43AA">
            <w:pPr>
              <w:jc w:val="center"/>
              <w:rPr>
                <w:b/>
                <w:szCs w:val="21"/>
              </w:rPr>
            </w:pPr>
            <w:r w:rsidRPr="006C1F9A">
              <w:rPr>
                <w:rFonts w:hint="eastAsia"/>
                <w:b/>
                <w:szCs w:val="21"/>
              </w:rPr>
              <w:t>2010</w:t>
            </w:r>
            <w:r w:rsidRPr="006C1F9A">
              <w:rPr>
                <w:rFonts w:hint="eastAsia"/>
                <w:b/>
                <w:szCs w:val="21"/>
              </w:rPr>
              <w:t>年</w:t>
            </w:r>
          </w:p>
        </w:tc>
        <w:tc>
          <w:tcPr>
            <w:tcW w:w="1421" w:type="dxa"/>
          </w:tcPr>
          <w:p w:rsidR="009A43AA" w:rsidRPr="006C1F9A" w:rsidRDefault="009A43AA" w:rsidP="009A43AA">
            <w:pPr>
              <w:jc w:val="center"/>
              <w:rPr>
                <w:b/>
                <w:szCs w:val="21"/>
              </w:rPr>
            </w:pPr>
            <w:r w:rsidRPr="006C1F9A">
              <w:rPr>
                <w:rFonts w:hint="eastAsia"/>
                <w:b/>
                <w:szCs w:val="21"/>
              </w:rPr>
              <w:t>2011</w:t>
            </w:r>
            <w:r w:rsidRPr="006C1F9A">
              <w:rPr>
                <w:rFonts w:hint="eastAsia"/>
                <w:b/>
                <w:szCs w:val="21"/>
              </w:rPr>
              <w:t>年</w:t>
            </w:r>
          </w:p>
        </w:tc>
        <w:tc>
          <w:tcPr>
            <w:tcW w:w="1421" w:type="dxa"/>
          </w:tcPr>
          <w:p w:rsidR="009A43AA" w:rsidRPr="006C1F9A" w:rsidRDefault="009A43AA" w:rsidP="009A43AA">
            <w:pPr>
              <w:jc w:val="center"/>
              <w:rPr>
                <w:b/>
                <w:szCs w:val="21"/>
              </w:rPr>
            </w:pPr>
            <w:r w:rsidRPr="006C1F9A">
              <w:rPr>
                <w:rFonts w:hint="eastAsia"/>
                <w:b/>
                <w:szCs w:val="21"/>
              </w:rPr>
              <w:t>2012</w:t>
            </w:r>
            <w:r w:rsidRPr="006C1F9A">
              <w:rPr>
                <w:rFonts w:hint="eastAsia"/>
                <w:b/>
                <w:szCs w:val="21"/>
              </w:rPr>
              <w:t>年</w:t>
            </w:r>
          </w:p>
        </w:tc>
      </w:tr>
      <w:tr w:rsidR="009A43AA" w:rsidRPr="006C1F9A">
        <w:trPr>
          <w:trHeight w:val="442"/>
        </w:trPr>
        <w:tc>
          <w:tcPr>
            <w:tcW w:w="1548" w:type="dxa"/>
          </w:tcPr>
          <w:p w:rsidR="009A43AA" w:rsidRPr="006C1F9A" w:rsidRDefault="009A43AA" w:rsidP="009A43AA">
            <w:pPr>
              <w:jc w:val="center"/>
              <w:rPr>
                <w:b/>
                <w:szCs w:val="21"/>
              </w:rPr>
            </w:pPr>
            <w:r w:rsidRPr="006C1F9A">
              <w:rPr>
                <w:rFonts w:hint="eastAsia"/>
                <w:b/>
                <w:szCs w:val="21"/>
              </w:rPr>
              <w:t>存货余额</w:t>
            </w:r>
          </w:p>
        </w:tc>
        <w:tc>
          <w:tcPr>
            <w:tcW w:w="1292" w:type="dxa"/>
          </w:tcPr>
          <w:p w:rsidR="009A43AA" w:rsidRPr="006C1F9A" w:rsidRDefault="009A43AA" w:rsidP="009A43AA">
            <w:pPr>
              <w:jc w:val="center"/>
              <w:rPr>
                <w:rFonts w:ascii="宋体" w:hAnsi="宋体" w:cs="宋体"/>
                <w:b/>
                <w:sz w:val="24"/>
              </w:rPr>
            </w:pPr>
            <w:r w:rsidRPr="006C1F9A">
              <w:rPr>
                <w:rFonts w:hint="eastAsia"/>
                <w:b/>
              </w:rPr>
              <w:t>1,887,469,950</w:t>
            </w:r>
          </w:p>
        </w:tc>
        <w:tc>
          <w:tcPr>
            <w:tcW w:w="1420" w:type="dxa"/>
          </w:tcPr>
          <w:p w:rsidR="009A43AA" w:rsidRPr="006C1F9A" w:rsidRDefault="009A43AA" w:rsidP="009A43AA">
            <w:pPr>
              <w:jc w:val="center"/>
              <w:rPr>
                <w:rFonts w:ascii="宋体" w:hAnsi="宋体" w:cs="宋体"/>
                <w:b/>
                <w:sz w:val="24"/>
              </w:rPr>
            </w:pPr>
            <w:r w:rsidRPr="006C1F9A">
              <w:rPr>
                <w:rFonts w:hint="eastAsia"/>
                <w:b/>
              </w:rPr>
              <w:t>1,779,513,503</w:t>
            </w:r>
          </w:p>
        </w:tc>
        <w:tc>
          <w:tcPr>
            <w:tcW w:w="1420" w:type="dxa"/>
          </w:tcPr>
          <w:p w:rsidR="009A43AA" w:rsidRPr="006C1F9A" w:rsidRDefault="009A43AA" w:rsidP="009A43AA">
            <w:pPr>
              <w:jc w:val="center"/>
              <w:rPr>
                <w:rFonts w:ascii="宋体" w:hAnsi="宋体" w:cs="宋体"/>
                <w:b/>
                <w:sz w:val="24"/>
              </w:rPr>
            </w:pPr>
            <w:r w:rsidRPr="006C1F9A">
              <w:rPr>
                <w:rFonts w:hint="eastAsia"/>
                <w:b/>
              </w:rPr>
              <w:t>3,630,538,065</w:t>
            </w:r>
          </w:p>
        </w:tc>
        <w:tc>
          <w:tcPr>
            <w:tcW w:w="1421" w:type="dxa"/>
          </w:tcPr>
          <w:p w:rsidR="009A43AA" w:rsidRPr="006C1F9A" w:rsidRDefault="009A43AA" w:rsidP="009A43AA">
            <w:pPr>
              <w:jc w:val="center"/>
              <w:rPr>
                <w:rFonts w:ascii="宋体" w:hAnsi="宋体" w:cs="宋体"/>
                <w:b/>
                <w:sz w:val="24"/>
              </w:rPr>
            </w:pPr>
            <w:r w:rsidRPr="006C1F9A">
              <w:rPr>
                <w:rFonts w:hint="eastAsia"/>
                <w:b/>
              </w:rPr>
              <w:t>6,120,489,987</w:t>
            </w:r>
          </w:p>
        </w:tc>
        <w:tc>
          <w:tcPr>
            <w:tcW w:w="1421" w:type="dxa"/>
          </w:tcPr>
          <w:p w:rsidR="009A43AA" w:rsidRPr="006C1F9A" w:rsidRDefault="009A43AA" w:rsidP="009A43AA">
            <w:pPr>
              <w:jc w:val="center"/>
              <w:rPr>
                <w:rFonts w:ascii="宋体" w:hAnsi="宋体" w:cs="宋体"/>
                <w:b/>
                <w:sz w:val="24"/>
              </w:rPr>
            </w:pPr>
            <w:r w:rsidRPr="006C1F9A">
              <w:rPr>
                <w:rFonts w:hint="eastAsia"/>
                <w:b/>
              </w:rPr>
              <w:t>7,334,530,489</w:t>
            </w:r>
          </w:p>
        </w:tc>
      </w:tr>
      <w:tr w:rsidR="009A43AA" w:rsidRPr="006C1F9A">
        <w:tc>
          <w:tcPr>
            <w:tcW w:w="1548" w:type="dxa"/>
          </w:tcPr>
          <w:p w:rsidR="009A43AA" w:rsidRPr="006C1F9A" w:rsidRDefault="009A43AA" w:rsidP="009A43AA">
            <w:pPr>
              <w:rPr>
                <w:b/>
                <w:szCs w:val="21"/>
              </w:rPr>
            </w:pPr>
            <w:r w:rsidRPr="006C1F9A">
              <w:rPr>
                <w:rFonts w:hint="eastAsia"/>
                <w:b/>
                <w:szCs w:val="21"/>
              </w:rPr>
              <w:t>跌价</w:t>
            </w:r>
            <w:r>
              <w:rPr>
                <w:rFonts w:hint="eastAsia"/>
                <w:b/>
                <w:szCs w:val="21"/>
              </w:rPr>
              <w:t>准</w:t>
            </w:r>
            <w:r w:rsidRPr="006C1F9A">
              <w:rPr>
                <w:rFonts w:hint="eastAsia"/>
                <w:b/>
                <w:szCs w:val="21"/>
              </w:rPr>
              <w:t>备</w:t>
            </w:r>
          </w:p>
        </w:tc>
        <w:tc>
          <w:tcPr>
            <w:tcW w:w="1292" w:type="dxa"/>
          </w:tcPr>
          <w:p w:rsidR="009A43AA" w:rsidRPr="006C1F9A" w:rsidRDefault="009A43AA" w:rsidP="009A43AA">
            <w:pPr>
              <w:jc w:val="center"/>
              <w:rPr>
                <w:rFonts w:ascii="宋体" w:hAnsi="宋体" w:cs="宋体"/>
                <w:b/>
                <w:sz w:val="24"/>
              </w:rPr>
            </w:pPr>
            <w:r w:rsidRPr="006C1F9A">
              <w:rPr>
                <w:rFonts w:hint="eastAsia"/>
                <w:b/>
              </w:rPr>
              <w:t>34,552,713</w:t>
            </w:r>
          </w:p>
        </w:tc>
        <w:tc>
          <w:tcPr>
            <w:tcW w:w="1420" w:type="dxa"/>
          </w:tcPr>
          <w:p w:rsidR="009A43AA" w:rsidRPr="006C1F9A" w:rsidRDefault="009A43AA" w:rsidP="009A43AA">
            <w:pPr>
              <w:jc w:val="center"/>
              <w:rPr>
                <w:rFonts w:ascii="宋体" w:hAnsi="宋体" w:cs="宋体"/>
                <w:b/>
                <w:sz w:val="24"/>
              </w:rPr>
            </w:pPr>
            <w:r w:rsidRPr="006C1F9A">
              <w:rPr>
                <w:rFonts w:hint="eastAsia"/>
                <w:b/>
              </w:rPr>
              <w:t>36,970,969</w:t>
            </w:r>
          </w:p>
        </w:tc>
        <w:tc>
          <w:tcPr>
            <w:tcW w:w="1420" w:type="dxa"/>
          </w:tcPr>
          <w:p w:rsidR="009A43AA" w:rsidRPr="006C1F9A" w:rsidRDefault="009A43AA" w:rsidP="009A43AA">
            <w:pPr>
              <w:jc w:val="center"/>
              <w:rPr>
                <w:rFonts w:ascii="宋体" w:hAnsi="宋体" w:cs="宋体"/>
                <w:b/>
                <w:sz w:val="24"/>
              </w:rPr>
            </w:pPr>
            <w:r w:rsidRPr="006C1F9A">
              <w:rPr>
                <w:rFonts w:hint="eastAsia"/>
                <w:b/>
              </w:rPr>
              <w:t xml:space="preserve">73,470,415 </w:t>
            </w:r>
          </w:p>
        </w:tc>
        <w:tc>
          <w:tcPr>
            <w:tcW w:w="1421" w:type="dxa"/>
          </w:tcPr>
          <w:p w:rsidR="009A43AA" w:rsidRPr="006C1F9A" w:rsidRDefault="009A43AA" w:rsidP="009A43AA">
            <w:pPr>
              <w:jc w:val="center"/>
              <w:rPr>
                <w:rFonts w:ascii="宋体" w:hAnsi="宋体" w:cs="宋体"/>
                <w:b/>
                <w:sz w:val="24"/>
              </w:rPr>
            </w:pPr>
            <w:r w:rsidRPr="006C1F9A">
              <w:rPr>
                <w:rFonts w:hint="eastAsia"/>
                <w:b/>
              </w:rPr>
              <w:t>151,378,870</w:t>
            </w:r>
          </w:p>
        </w:tc>
        <w:tc>
          <w:tcPr>
            <w:tcW w:w="1421" w:type="dxa"/>
          </w:tcPr>
          <w:p w:rsidR="009A43AA" w:rsidRPr="006C1F9A" w:rsidRDefault="009A43AA" w:rsidP="009A43AA">
            <w:pPr>
              <w:jc w:val="center"/>
              <w:rPr>
                <w:rFonts w:ascii="宋体" w:hAnsi="宋体" w:cs="宋体"/>
                <w:b/>
                <w:sz w:val="24"/>
              </w:rPr>
            </w:pPr>
            <w:r w:rsidRPr="006C1F9A">
              <w:rPr>
                <w:rFonts w:hint="eastAsia"/>
                <w:b/>
              </w:rPr>
              <w:t>235,885,294</w:t>
            </w:r>
          </w:p>
        </w:tc>
      </w:tr>
      <w:tr w:rsidR="009A43AA" w:rsidRPr="006C1F9A">
        <w:tc>
          <w:tcPr>
            <w:tcW w:w="1548" w:type="dxa"/>
          </w:tcPr>
          <w:p w:rsidR="009A43AA" w:rsidRPr="006C1F9A" w:rsidRDefault="009A43AA" w:rsidP="009A43AA">
            <w:pPr>
              <w:jc w:val="center"/>
              <w:rPr>
                <w:b/>
                <w:szCs w:val="21"/>
              </w:rPr>
            </w:pPr>
            <w:r w:rsidRPr="006C1F9A">
              <w:rPr>
                <w:rFonts w:hint="eastAsia"/>
                <w:b/>
                <w:szCs w:val="21"/>
              </w:rPr>
              <w:t>存货净值</w:t>
            </w:r>
          </w:p>
        </w:tc>
        <w:tc>
          <w:tcPr>
            <w:tcW w:w="1292" w:type="dxa"/>
          </w:tcPr>
          <w:p w:rsidR="009A43AA" w:rsidRPr="006C1F9A" w:rsidRDefault="009A43AA" w:rsidP="009A43AA">
            <w:pPr>
              <w:jc w:val="center"/>
              <w:rPr>
                <w:rFonts w:ascii="宋体" w:hAnsi="宋体" w:cs="宋体"/>
                <w:b/>
                <w:sz w:val="24"/>
              </w:rPr>
            </w:pPr>
            <w:r w:rsidRPr="006C1F9A">
              <w:rPr>
                <w:rFonts w:hint="eastAsia"/>
                <w:b/>
              </w:rPr>
              <w:t>1,852,917,23</w:t>
            </w:r>
          </w:p>
        </w:tc>
        <w:tc>
          <w:tcPr>
            <w:tcW w:w="1420" w:type="dxa"/>
          </w:tcPr>
          <w:p w:rsidR="009A43AA" w:rsidRPr="006C1F9A" w:rsidRDefault="009A43AA" w:rsidP="009A43AA">
            <w:pPr>
              <w:jc w:val="center"/>
              <w:rPr>
                <w:rFonts w:ascii="宋体" w:hAnsi="宋体" w:cs="宋体"/>
                <w:b/>
                <w:sz w:val="24"/>
              </w:rPr>
            </w:pPr>
            <w:r w:rsidRPr="006C1F9A">
              <w:rPr>
                <w:rFonts w:hint="eastAsia"/>
                <w:b/>
              </w:rPr>
              <w:t>1,742,542,533.</w:t>
            </w:r>
          </w:p>
        </w:tc>
        <w:tc>
          <w:tcPr>
            <w:tcW w:w="1420" w:type="dxa"/>
          </w:tcPr>
          <w:p w:rsidR="009A43AA" w:rsidRPr="006C1F9A" w:rsidRDefault="009A43AA" w:rsidP="009A43AA">
            <w:pPr>
              <w:jc w:val="center"/>
              <w:rPr>
                <w:rFonts w:ascii="宋体" w:hAnsi="宋体" w:cs="宋体"/>
                <w:b/>
                <w:sz w:val="24"/>
              </w:rPr>
            </w:pPr>
            <w:r w:rsidRPr="006C1F9A">
              <w:rPr>
                <w:rFonts w:hint="eastAsia"/>
                <w:b/>
              </w:rPr>
              <w:t>3,557,067,650.</w:t>
            </w:r>
          </w:p>
        </w:tc>
        <w:tc>
          <w:tcPr>
            <w:tcW w:w="1421" w:type="dxa"/>
          </w:tcPr>
          <w:p w:rsidR="009A43AA" w:rsidRPr="006C1F9A" w:rsidRDefault="009A43AA" w:rsidP="009A43AA">
            <w:pPr>
              <w:jc w:val="center"/>
              <w:rPr>
                <w:rFonts w:ascii="宋体" w:hAnsi="宋体" w:cs="宋体"/>
                <w:b/>
                <w:sz w:val="24"/>
              </w:rPr>
            </w:pPr>
            <w:r w:rsidRPr="006C1F9A">
              <w:rPr>
                <w:rFonts w:hint="eastAsia"/>
                <w:b/>
              </w:rPr>
              <w:t>5,969,111,117</w:t>
            </w:r>
          </w:p>
        </w:tc>
        <w:tc>
          <w:tcPr>
            <w:tcW w:w="1421" w:type="dxa"/>
          </w:tcPr>
          <w:p w:rsidR="009A43AA" w:rsidRPr="006C1F9A" w:rsidRDefault="009A43AA" w:rsidP="009A43AA">
            <w:pPr>
              <w:jc w:val="center"/>
              <w:rPr>
                <w:rFonts w:ascii="宋体" w:hAnsi="宋体" w:cs="宋体"/>
                <w:b/>
                <w:sz w:val="24"/>
              </w:rPr>
            </w:pPr>
            <w:r w:rsidRPr="006C1F9A">
              <w:rPr>
                <w:rFonts w:hint="eastAsia"/>
                <w:b/>
              </w:rPr>
              <w:t>7,098,645,195</w:t>
            </w:r>
          </w:p>
        </w:tc>
      </w:tr>
      <w:tr w:rsidR="009A43AA" w:rsidRPr="006C1F9A">
        <w:trPr>
          <w:trHeight w:val="409"/>
        </w:trPr>
        <w:tc>
          <w:tcPr>
            <w:tcW w:w="1548" w:type="dxa"/>
          </w:tcPr>
          <w:p w:rsidR="009A43AA" w:rsidRPr="006C1F9A" w:rsidRDefault="009A43AA" w:rsidP="009A43AA">
            <w:pPr>
              <w:rPr>
                <w:b/>
                <w:szCs w:val="21"/>
              </w:rPr>
            </w:pPr>
            <w:r>
              <w:rPr>
                <w:rFonts w:hint="eastAsia"/>
                <w:b/>
                <w:szCs w:val="21"/>
              </w:rPr>
              <w:t>跌价计提</w:t>
            </w:r>
            <w:r w:rsidRPr="006C1F9A">
              <w:rPr>
                <w:rFonts w:hint="eastAsia"/>
                <w:b/>
                <w:szCs w:val="21"/>
              </w:rPr>
              <w:t>例</w:t>
            </w:r>
          </w:p>
        </w:tc>
        <w:tc>
          <w:tcPr>
            <w:tcW w:w="1292" w:type="dxa"/>
          </w:tcPr>
          <w:p w:rsidR="009A43AA" w:rsidRPr="006C1F9A" w:rsidRDefault="009A43AA" w:rsidP="009A43AA">
            <w:pPr>
              <w:jc w:val="center"/>
              <w:rPr>
                <w:b/>
                <w:szCs w:val="21"/>
              </w:rPr>
            </w:pPr>
            <w:r w:rsidRPr="006C1F9A">
              <w:rPr>
                <w:rFonts w:hint="eastAsia"/>
                <w:b/>
                <w:szCs w:val="21"/>
              </w:rPr>
              <w:t>1.83%</w:t>
            </w:r>
          </w:p>
        </w:tc>
        <w:tc>
          <w:tcPr>
            <w:tcW w:w="1420" w:type="dxa"/>
          </w:tcPr>
          <w:p w:rsidR="009A43AA" w:rsidRPr="006C1F9A" w:rsidRDefault="009A43AA" w:rsidP="009A43AA">
            <w:pPr>
              <w:jc w:val="center"/>
              <w:rPr>
                <w:b/>
                <w:szCs w:val="21"/>
              </w:rPr>
            </w:pPr>
            <w:r w:rsidRPr="006C1F9A">
              <w:rPr>
                <w:rFonts w:hint="eastAsia"/>
                <w:b/>
                <w:szCs w:val="21"/>
              </w:rPr>
              <w:t>2.08%</w:t>
            </w:r>
          </w:p>
        </w:tc>
        <w:tc>
          <w:tcPr>
            <w:tcW w:w="1420" w:type="dxa"/>
          </w:tcPr>
          <w:p w:rsidR="009A43AA" w:rsidRPr="006C1F9A" w:rsidRDefault="009A43AA" w:rsidP="009A43AA">
            <w:pPr>
              <w:jc w:val="center"/>
              <w:rPr>
                <w:b/>
                <w:szCs w:val="21"/>
              </w:rPr>
            </w:pPr>
            <w:r w:rsidRPr="006C1F9A">
              <w:rPr>
                <w:rFonts w:hint="eastAsia"/>
                <w:b/>
                <w:szCs w:val="21"/>
              </w:rPr>
              <w:t>2.02%</w:t>
            </w:r>
          </w:p>
        </w:tc>
        <w:tc>
          <w:tcPr>
            <w:tcW w:w="1421" w:type="dxa"/>
          </w:tcPr>
          <w:p w:rsidR="009A43AA" w:rsidRPr="006C1F9A" w:rsidRDefault="009A43AA" w:rsidP="009A43AA">
            <w:pPr>
              <w:jc w:val="center"/>
              <w:rPr>
                <w:b/>
                <w:szCs w:val="21"/>
              </w:rPr>
            </w:pPr>
            <w:r w:rsidRPr="006C1F9A">
              <w:rPr>
                <w:rFonts w:hint="eastAsia"/>
                <w:b/>
                <w:szCs w:val="21"/>
              </w:rPr>
              <w:t>2.47%</w:t>
            </w:r>
          </w:p>
        </w:tc>
        <w:tc>
          <w:tcPr>
            <w:tcW w:w="1421" w:type="dxa"/>
          </w:tcPr>
          <w:p w:rsidR="009A43AA" w:rsidRPr="006C1F9A" w:rsidRDefault="009A43AA" w:rsidP="009A43AA">
            <w:pPr>
              <w:jc w:val="center"/>
              <w:rPr>
                <w:b/>
                <w:szCs w:val="21"/>
              </w:rPr>
            </w:pPr>
            <w:r w:rsidRPr="006C1F9A">
              <w:rPr>
                <w:rFonts w:hint="eastAsia"/>
                <w:b/>
                <w:szCs w:val="21"/>
              </w:rPr>
              <w:t>3.22%</w:t>
            </w:r>
          </w:p>
        </w:tc>
      </w:tr>
      <w:tr w:rsidR="009A43AA" w:rsidRPr="006C1F9A">
        <w:tc>
          <w:tcPr>
            <w:tcW w:w="1548" w:type="dxa"/>
          </w:tcPr>
          <w:p w:rsidR="009A43AA" w:rsidRPr="006C1F9A" w:rsidRDefault="009A43AA" w:rsidP="009A43AA">
            <w:pPr>
              <w:jc w:val="center"/>
              <w:rPr>
                <w:b/>
                <w:szCs w:val="21"/>
              </w:rPr>
            </w:pPr>
            <w:r w:rsidRPr="006C1F9A">
              <w:rPr>
                <w:rFonts w:hint="eastAsia"/>
                <w:b/>
                <w:szCs w:val="21"/>
              </w:rPr>
              <w:t>存货周转率</w:t>
            </w:r>
          </w:p>
        </w:tc>
        <w:tc>
          <w:tcPr>
            <w:tcW w:w="1292" w:type="dxa"/>
          </w:tcPr>
          <w:p w:rsidR="009A43AA" w:rsidRPr="006C1F9A" w:rsidRDefault="009A43AA" w:rsidP="009A43AA">
            <w:pPr>
              <w:jc w:val="center"/>
              <w:rPr>
                <w:b/>
                <w:szCs w:val="21"/>
              </w:rPr>
            </w:pPr>
            <w:r w:rsidRPr="006C1F9A">
              <w:rPr>
                <w:rFonts w:hint="eastAsia"/>
                <w:b/>
                <w:szCs w:val="21"/>
              </w:rPr>
              <w:t>12.62</w:t>
            </w:r>
          </w:p>
        </w:tc>
        <w:tc>
          <w:tcPr>
            <w:tcW w:w="1420" w:type="dxa"/>
          </w:tcPr>
          <w:p w:rsidR="009A43AA" w:rsidRPr="006C1F9A" w:rsidRDefault="009A43AA" w:rsidP="009A43AA">
            <w:pPr>
              <w:jc w:val="center"/>
              <w:rPr>
                <w:b/>
                <w:szCs w:val="21"/>
              </w:rPr>
            </w:pPr>
            <w:r w:rsidRPr="006C1F9A">
              <w:rPr>
                <w:rFonts w:hint="eastAsia"/>
                <w:b/>
                <w:szCs w:val="21"/>
              </w:rPr>
              <w:t>13.92</w:t>
            </w:r>
          </w:p>
        </w:tc>
        <w:tc>
          <w:tcPr>
            <w:tcW w:w="1420" w:type="dxa"/>
          </w:tcPr>
          <w:p w:rsidR="009A43AA" w:rsidRPr="006C1F9A" w:rsidRDefault="009A43AA" w:rsidP="009A43AA">
            <w:pPr>
              <w:jc w:val="center"/>
              <w:rPr>
                <w:b/>
                <w:szCs w:val="21"/>
              </w:rPr>
            </w:pPr>
            <w:r w:rsidRPr="006C1F9A">
              <w:rPr>
                <w:rFonts w:hint="eastAsia"/>
                <w:b/>
                <w:szCs w:val="21"/>
              </w:rPr>
              <w:t>13.05</w:t>
            </w:r>
          </w:p>
        </w:tc>
        <w:tc>
          <w:tcPr>
            <w:tcW w:w="1421" w:type="dxa"/>
          </w:tcPr>
          <w:p w:rsidR="009A43AA" w:rsidRPr="006C1F9A" w:rsidRDefault="009A43AA" w:rsidP="009A43AA">
            <w:pPr>
              <w:jc w:val="center"/>
              <w:rPr>
                <w:b/>
                <w:szCs w:val="21"/>
              </w:rPr>
            </w:pPr>
            <w:r w:rsidRPr="006C1F9A">
              <w:rPr>
                <w:rFonts w:hint="eastAsia"/>
                <w:b/>
                <w:szCs w:val="21"/>
              </w:rPr>
              <w:t>9</w:t>
            </w:r>
            <w:r w:rsidRPr="006C1F9A">
              <w:rPr>
                <w:b/>
                <w:szCs w:val="21"/>
              </w:rPr>
              <w:t>.43</w:t>
            </w:r>
          </w:p>
        </w:tc>
        <w:tc>
          <w:tcPr>
            <w:tcW w:w="1421" w:type="dxa"/>
          </w:tcPr>
          <w:p w:rsidR="009A43AA" w:rsidRPr="006C1F9A" w:rsidRDefault="009A43AA" w:rsidP="009A43AA">
            <w:pPr>
              <w:jc w:val="center"/>
              <w:rPr>
                <w:b/>
                <w:szCs w:val="21"/>
              </w:rPr>
            </w:pPr>
            <w:r w:rsidRPr="006C1F9A">
              <w:rPr>
                <w:rFonts w:hint="eastAsia"/>
                <w:b/>
                <w:szCs w:val="21"/>
              </w:rPr>
              <w:t>8.41</w:t>
            </w:r>
          </w:p>
        </w:tc>
      </w:tr>
      <w:tr w:rsidR="009A43AA" w:rsidRPr="006C1F9A">
        <w:tc>
          <w:tcPr>
            <w:tcW w:w="1548" w:type="dxa"/>
          </w:tcPr>
          <w:p w:rsidR="009A43AA" w:rsidRPr="006C1F9A" w:rsidRDefault="009A43AA" w:rsidP="009A43AA">
            <w:pPr>
              <w:jc w:val="center"/>
              <w:rPr>
                <w:b/>
                <w:szCs w:val="21"/>
              </w:rPr>
            </w:pPr>
            <w:r w:rsidRPr="006C1F9A">
              <w:rPr>
                <w:rFonts w:hint="eastAsia"/>
                <w:b/>
                <w:szCs w:val="21"/>
              </w:rPr>
              <w:t>存货比率</w:t>
            </w:r>
          </w:p>
        </w:tc>
        <w:tc>
          <w:tcPr>
            <w:tcW w:w="1292" w:type="dxa"/>
          </w:tcPr>
          <w:p w:rsidR="009A43AA" w:rsidRPr="006C1F9A" w:rsidRDefault="009A43AA" w:rsidP="009A43AA">
            <w:pPr>
              <w:jc w:val="center"/>
              <w:rPr>
                <w:b/>
                <w:szCs w:val="21"/>
              </w:rPr>
            </w:pPr>
            <w:r w:rsidRPr="006C1F9A">
              <w:rPr>
                <w:rFonts w:hint="eastAsia"/>
                <w:b/>
                <w:szCs w:val="21"/>
              </w:rPr>
              <w:t>15.15%</w:t>
            </w:r>
          </w:p>
        </w:tc>
        <w:tc>
          <w:tcPr>
            <w:tcW w:w="1420" w:type="dxa"/>
          </w:tcPr>
          <w:p w:rsidR="009A43AA" w:rsidRPr="006C1F9A" w:rsidRDefault="009A43AA" w:rsidP="009A43AA">
            <w:pPr>
              <w:jc w:val="center"/>
              <w:rPr>
                <w:b/>
                <w:szCs w:val="21"/>
              </w:rPr>
            </w:pPr>
            <w:r w:rsidRPr="006C1F9A">
              <w:rPr>
                <w:rFonts w:hint="eastAsia"/>
                <w:b/>
                <w:szCs w:val="21"/>
              </w:rPr>
              <w:t>9.96%</w:t>
            </w:r>
          </w:p>
        </w:tc>
        <w:tc>
          <w:tcPr>
            <w:tcW w:w="1420" w:type="dxa"/>
          </w:tcPr>
          <w:p w:rsidR="009A43AA" w:rsidRPr="006C1F9A" w:rsidRDefault="009A43AA" w:rsidP="009A43AA">
            <w:pPr>
              <w:jc w:val="center"/>
              <w:rPr>
                <w:b/>
                <w:szCs w:val="21"/>
              </w:rPr>
            </w:pPr>
            <w:r w:rsidRPr="006C1F9A">
              <w:rPr>
                <w:rFonts w:hint="eastAsia"/>
                <w:b/>
                <w:szCs w:val="21"/>
              </w:rPr>
              <w:t>12.15%</w:t>
            </w:r>
          </w:p>
        </w:tc>
        <w:tc>
          <w:tcPr>
            <w:tcW w:w="1421" w:type="dxa"/>
          </w:tcPr>
          <w:p w:rsidR="009A43AA" w:rsidRPr="006C1F9A" w:rsidRDefault="009A43AA" w:rsidP="009A43AA">
            <w:pPr>
              <w:jc w:val="center"/>
              <w:rPr>
                <w:b/>
                <w:szCs w:val="21"/>
              </w:rPr>
            </w:pPr>
            <w:r w:rsidRPr="006C1F9A">
              <w:rPr>
                <w:rFonts w:hint="eastAsia"/>
                <w:b/>
                <w:szCs w:val="21"/>
              </w:rPr>
              <w:t>15.03%</w:t>
            </w:r>
          </w:p>
        </w:tc>
        <w:tc>
          <w:tcPr>
            <w:tcW w:w="1421" w:type="dxa"/>
          </w:tcPr>
          <w:p w:rsidR="009A43AA" w:rsidRPr="006C1F9A" w:rsidRDefault="009A43AA" w:rsidP="009A43AA">
            <w:pPr>
              <w:jc w:val="center"/>
              <w:rPr>
                <w:b/>
                <w:szCs w:val="21"/>
              </w:rPr>
            </w:pPr>
            <w:r w:rsidRPr="006C1F9A">
              <w:rPr>
                <w:rFonts w:hint="eastAsia"/>
                <w:b/>
                <w:szCs w:val="21"/>
              </w:rPr>
              <w:t>14.29%</w:t>
            </w:r>
          </w:p>
        </w:tc>
      </w:tr>
    </w:tbl>
    <w:p w:rsidR="009A43AA" w:rsidRDefault="009A43AA" w:rsidP="009A43AA">
      <w:pPr>
        <w:rPr>
          <w:b/>
          <w:szCs w:val="21"/>
        </w:rPr>
      </w:pPr>
      <w:r w:rsidRPr="006C1F9A">
        <w:rPr>
          <w:rFonts w:hint="eastAsia"/>
          <w:b/>
          <w:szCs w:val="21"/>
        </w:rPr>
        <w:t>注：存货周转率</w:t>
      </w:r>
      <w:r w:rsidRPr="006C1F9A">
        <w:rPr>
          <w:rFonts w:hint="eastAsia"/>
          <w:b/>
          <w:szCs w:val="21"/>
        </w:rPr>
        <w:t>=</w:t>
      </w:r>
      <w:r w:rsidRPr="006C1F9A">
        <w:rPr>
          <w:rFonts w:hint="eastAsia"/>
          <w:b/>
          <w:szCs w:val="21"/>
        </w:rPr>
        <w:t>主营业务成本</w:t>
      </w:r>
      <w:r w:rsidRPr="006C1F9A">
        <w:rPr>
          <w:rFonts w:hint="eastAsia"/>
          <w:b/>
          <w:szCs w:val="21"/>
        </w:rPr>
        <w:t>/</w:t>
      </w:r>
      <w:r w:rsidRPr="006C1F9A">
        <w:rPr>
          <w:rFonts w:hint="eastAsia"/>
          <w:b/>
          <w:szCs w:val="21"/>
        </w:rPr>
        <w:t>存货均值；存货比率</w:t>
      </w:r>
      <w:r w:rsidRPr="006C1F9A">
        <w:rPr>
          <w:rFonts w:hint="eastAsia"/>
          <w:b/>
          <w:szCs w:val="21"/>
        </w:rPr>
        <w:t>=</w:t>
      </w:r>
      <w:r w:rsidRPr="006C1F9A">
        <w:rPr>
          <w:rFonts w:hint="eastAsia"/>
          <w:b/>
          <w:szCs w:val="21"/>
        </w:rPr>
        <w:t>存货净值</w:t>
      </w:r>
      <w:r w:rsidRPr="006C1F9A">
        <w:rPr>
          <w:rFonts w:hint="eastAsia"/>
          <w:b/>
          <w:szCs w:val="21"/>
        </w:rPr>
        <w:t>/</w:t>
      </w:r>
      <w:r w:rsidRPr="006C1F9A">
        <w:rPr>
          <w:rFonts w:hint="eastAsia"/>
          <w:b/>
          <w:szCs w:val="21"/>
        </w:rPr>
        <w:t>总资产</w:t>
      </w:r>
    </w:p>
    <w:p w:rsidR="009A43AA" w:rsidRDefault="009A43AA" w:rsidP="009A43AA">
      <w:pPr>
        <w:autoSpaceDE w:val="0"/>
        <w:autoSpaceDN w:val="0"/>
        <w:adjustRightInd w:val="0"/>
        <w:ind w:firstLineChars="250" w:firstLine="525"/>
        <w:jc w:val="left"/>
        <w:rPr>
          <w:kern w:val="0"/>
          <w:szCs w:val="21"/>
        </w:rPr>
      </w:pPr>
      <w:r w:rsidRPr="006C1F9A">
        <w:rPr>
          <w:rFonts w:ascii="宋体" w:cs="宋体" w:hint="eastAsia"/>
          <w:kern w:val="0"/>
          <w:szCs w:val="21"/>
        </w:rPr>
        <w:t>由上表</w:t>
      </w:r>
      <w:r>
        <w:rPr>
          <w:rFonts w:ascii="宋体" w:cs="宋体" w:hint="eastAsia"/>
          <w:kern w:val="0"/>
          <w:szCs w:val="21"/>
        </w:rPr>
        <w:t>可以</w:t>
      </w:r>
      <w:r w:rsidRPr="006C1F9A">
        <w:rPr>
          <w:rFonts w:ascii="宋体" w:cs="宋体" w:hint="eastAsia"/>
          <w:kern w:val="0"/>
          <w:szCs w:val="21"/>
        </w:rPr>
        <w:t>发现，青岛海尔的存货水平</w:t>
      </w:r>
      <w:r>
        <w:rPr>
          <w:rFonts w:ascii="宋体" w:cs="宋体" w:hint="eastAsia"/>
          <w:kern w:val="0"/>
          <w:szCs w:val="21"/>
        </w:rPr>
        <w:t>整体保持上升趋势，</w:t>
      </w:r>
      <w:r w:rsidRPr="006C1F9A">
        <w:rPr>
          <w:kern w:val="0"/>
          <w:szCs w:val="21"/>
        </w:rPr>
        <w:t>20</w:t>
      </w:r>
      <w:r>
        <w:rPr>
          <w:rFonts w:hint="eastAsia"/>
          <w:kern w:val="0"/>
          <w:szCs w:val="21"/>
        </w:rPr>
        <w:t>12</w:t>
      </w:r>
      <w:r w:rsidRPr="006C1F9A">
        <w:rPr>
          <w:rFonts w:ascii="宋体" w:cs="宋体" w:hint="eastAsia"/>
          <w:kern w:val="0"/>
          <w:szCs w:val="21"/>
        </w:rPr>
        <w:t>年的存货金额为</w:t>
      </w:r>
      <w:r w:rsidRPr="006C1F9A">
        <w:rPr>
          <w:kern w:val="0"/>
          <w:szCs w:val="21"/>
        </w:rPr>
        <w:t>20</w:t>
      </w:r>
      <w:r>
        <w:rPr>
          <w:rFonts w:hint="eastAsia"/>
          <w:kern w:val="0"/>
          <w:szCs w:val="21"/>
        </w:rPr>
        <w:t>08</w:t>
      </w:r>
      <w:r w:rsidRPr="006C1F9A">
        <w:rPr>
          <w:rFonts w:ascii="宋体" w:cs="宋体" w:hint="eastAsia"/>
          <w:kern w:val="0"/>
          <w:szCs w:val="21"/>
        </w:rPr>
        <w:t>年的</w:t>
      </w:r>
      <w:r>
        <w:rPr>
          <w:rFonts w:hint="eastAsia"/>
          <w:kern w:val="0"/>
          <w:szCs w:val="21"/>
        </w:rPr>
        <w:t>3.88</w:t>
      </w:r>
      <w:r>
        <w:rPr>
          <w:rFonts w:hint="eastAsia"/>
          <w:kern w:val="0"/>
          <w:szCs w:val="21"/>
        </w:rPr>
        <w:t>倍</w:t>
      </w:r>
      <w:r w:rsidRPr="006C1F9A">
        <w:rPr>
          <w:kern w:val="0"/>
          <w:szCs w:val="21"/>
        </w:rPr>
        <w:t xml:space="preserve"> ,</w:t>
      </w:r>
      <w:r w:rsidRPr="006C1F9A">
        <w:rPr>
          <w:rFonts w:ascii="宋体" w:cs="宋体" w:hint="eastAsia"/>
          <w:kern w:val="0"/>
          <w:szCs w:val="21"/>
        </w:rPr>
        <w:t>这在一定程度上与青岛海尔</w:t>
      </w:r>
      <w:r>
        <w:rPr>
          <w:rFonts w:hint="eastAsia"/>
          <w:kern w:val="0"/>
          <w:szCs w:val="21"/>
        </w:rPr>
        <w:t>金融危机后采取扩大冰箱和空调销售政策有关，但同时也可能由于受白色家电行业不景气影响有关，造成部分存货积压滞销，从存货跌价准备计提比率逐渐上升，可以佐证这一点，但是需要注意的是在</w:t>
      </w:r>
      <w:r>
        <w:rPr>
          <w:rFonts w:hint="eastAsia"/>
          <w:kern w:val="0"/>
          <w:szCs w:val="21"/>
        </w:rPr>
        <w:t>2008</w:t>
      </w:r>
      <w:r>
        <w:rPr>
          <w:rFonts w:hint="eastAsia"/>
          <w:kern w:val="0"/>
          <w:szCs w:val="21"/>
        </w:rPr>
        <w:t>年我国白色家电行业受金融危机影响应该最为广泛，因此从理论上这一年的跌价准备计提比率应该最高，从表中我们可以看出处于最低端，因此合理推断</w:t>
      </w:r>
      <w:r>
        <w:rPr>
          <w:rFonts w:hint="eastAsia"/>
          <w:kern w:val="0"/>
          <w:szCs w:val="21"/>
        </w:rPr>
        <w:t>2008</w:t>
      </w:r>
      <w:r>
        <w:rPr>
          <w:rFonts w:hint="eastAsia"/>
          <w:kern w:val="0"/>
          <w:szCs w:val="21"/>
        </w:rPr>
        <w:t>年青岛海尔计提减值准备可能相对不足，从而影响利润。与竞争对手格力电器和美的电影</w:t>
      </w:r>
      <w:r>
        <w:rPr>
          <w:rFonts w:hint="eastAsia"/>
          <w:kern w:val="0"/>
          <w:szCs w:val="21"/>
        </w:rPr>
        <w:t>20%</w:t>
      </w:r>
      <w:r>
        <w:rPr>
          <w:rFonts w:hint="eastAsia"/>
          <w:kern w:val="0"/>
          <w:szCs w:val="21"/>
        </w:rPr>
        <w:t>以上的存货比率水平相比，可以看出青岛海尔的存货水平相对较低，这表明青岛海尔能够较为有效的控制存货水平，而且存货周</w:t>
      </w:r>
      <w:r>
        <w:rPr>
          <w:rFonts w:hint="eastAsia"/>
          <w:kern w:val="0"/>
          <w:szCs w:val="21"/>
        </w:rPr>
        <w:lastRenderedPageBreak/>
        <w:t>转率虽然呈现下降的趋势，但相对较高，这也显示出与行业竞争对手相比，青岛海尔的存货管理效率较高。</w:t>
      </w:r>
    </w:p>
    <w:p w:rsidR="009A43AA" w:rsidRDefault="009A43AA" w:rsidP="009A43AA">
      <w:pPr>
        <w:rPr>
          <w:kern w:val="0"/>
          <w:szCs w:val="21"/>
        </w:rPr>
      </w:pPr>
      <w:r>
        <w:rPr>
          <w:rFonts w:hint="eastAsia"/>
          <w:kern w:val="0"/>
          <w:sz w:val="28"/>
          <w:szCs w:val="28"/>
        </w:rPr>
        <w:t xml:space="preserve">   </w:t>
      </w:r>
      <w:r w:rsidRPr="0062443B">
        <w:rPr>
          <w:rFonts w:hint="eastAsia"/>
          <w:kern w:val="0"/>
          <w:szCs w:val="21"/>
        </w:rPr>
        <w:t>另外从跌价准备计提比率不断上升，以及存货周转率不断下降这一点上</w:t>
      </w:r>
      <w:r>
        <w:rPr>
          <w:rFonts w:hint="eastAsia"/>
          <w:kern w:val="0"/>
          <w:szCs w:val="21"/>
        </w:rPr>
        <w:t>我们可以看出在目前的趋势下，青岛海尔靠“以质量追去差异化，不打价格战”的策略并没有被市场认同，并没有形成核心竞争力，因此依然面临着较大的经营风险，尤其是在价格依然是竞争的关键因素的情况下。这从另一方面也提醒我们要合理关注青岛海尔的研发资本化政策是否合理。</w:t>
      </w:r>
    </w:p>
    <w:p w:rsidR="009A43AA" w:rsidRDefault="009A43AA" w:rsidP="009A43AA">
      <w:pPr>
        <w:rPr>
          <w:b/>
          <w:kern w:val="0"/>
          <w:szCs w:val="21"/>
        </w:rPr>
      </w:pPr>
      <w:r w:rsidRPr="00560F0A">
        <w:rPr>
          <w:rFonts w:hint="eastAsia"/>
          <w:b/>
          <w:kern w:val="0"/>
          <w:szCs w:val="21"/>
        </w:rPr>
        <w:t>2</w:t>
      </w:r>
      <w:r w:rsidRPr="00560F0A">
        <w:rPr>
          <w:rFonts w:hint="eastAsia"/>
          <w:b/>
          <w:kern w:val="0"/>
          <w:szCs w:val="21"/>
        </w:rPr>
        <w:t>应收账款质量分析</w:t>
      </w:r>
    </w:p>
    <w:p w:rsidR="009A43AA" w:rsidRPr="005D4DC6" w:rsidRDefault="009A43AA" w:rsidP="009A43AA">
      <w:pPr>
        <w:ind w:firstLineChars="49" w:firstLine="103"/>
        <w:rPr>
          <w:kern w:val="0"/>
          <w:szCs w:val="21"/>
        </w:rPr>
      </w:pPr>
      <w:r w:rsidRPr="00024B9F">
        <w:rPr>
          <w:rFonts w:hint="eastAsia"/>
          <w:kern w:val="0"/>
          <w:szCs w:val="21"/>
        </w:rPr>
        <w:t>（</w:t>
      </w:r>
      <w:r w:rsidRPr="00024B9F">
        <w:rPr>
          <w:rFonts w:hint="eastAsia"/>
          <w:kern w:val="0"/>
          <w:szCs w:val="21"/>
        </w:rPr>
        <w:t>1</w:t>
      </w:r>
      <w:r w:rsidRPr="00024B9F">
        <w:rPr>
          <w:rFonts w:hint="eastAsia"/>
          <w:kern w:val="0"/>
          <w:szCs w:val="21"/>
        </w:rPr>
        <w:t>）应收账款的异常增长。正常情况下，应收账款的增长率应当与主营业务收入的增长率相匹配，这是因为高销售收入通常需要相应的应收账款资产来支持，并且公司的销售信用政策通常保持平稳。青岛海尔所属的家电</w:t>
      </w:r>
      <w:r>
        <w:rPr>
          <w:rFonts w:hint="eastAsia"/>
          <w:kern w:val="0"/>
          <w:szCs w:val="21"/>
        </w:rPr>
        <w:t>行业目前处于成熟期，厂商之间竞争激烈，并且通常以价格战作为竞争手段，因此主营业务收入的急剧增长通常比较困难。通过表</w:t>
      </w:r>
      <w:r>
        <w:rPr>
          <w:rFonts w:hint="eastAsia"/>
          <w:kern w:val="0"/>
          <w:szCs w:val="21"/>
        </w:rPr>
        <w:t>2</w:t>
      </w:r>
      <w:r>
        <w:rPr>
          <w:rFonts w:hint="eastAsia"/>
          <w:kern w:val="0"/>
          <w:szCs w:val="21"/>
        </w:rPr>
        <w:t>可以看出在</w:t>
      </w:r>
      <w:r>
        <w:rPr>
          <w:rFonts w:hint="eastAsia"/>
          <w:kern w:val="0"/>
          <w:szCs w:val="21"/>
        </w:rPr>
        <w:t>2010</w:t>
      </w:r>
      <w:r>
        <w:rPr>
          <w:rFonts w:hint="eastAsia"/>
          <w:kern w:val="0"/>
          <w:szCs w:val="21"/>
        </w:rPr>
        <w:t>年和</w:t>
      </w:r>
      <w:r>
        <w:rPr>
          <w:rFonts w:hint="eastAsia"/>
          <w:kern w:val="0"/>
          <w:szCs w:val="21"/>
        </w:rPr>
        <w:t>2011</w:t>
      </w:r>
      <w:r>
        <w:rPr>
          <w:rFonts w:hint="eastAsia"/>
          <w:kern w:val="0"/>
          <w:szCs w:val="21"/>
        </w:rPr>
        <w:t>年销售收入出现强仅反弹，特别是</w:t>
      </w:r>
      <w:r>
        <w:rPr>
          <w:rFonts w:hint="eastAsia"/>
          <w:kern w:val="0"/>
          <w:szCs w:val="21"/>
        </w:rPr>
        <w:t>2010</w:t>
      </w:r>
      <w:r>
        <w:rPr>
          <w:rFonts w:hint="eastAsia"/>
          <w:kern w:val="0"/>
          <w:szCs w:val="21"/>
        </w:rPr>
        <w:t>年，增长率高达</w:t>
      </w:r>
      <w:r>
        <w:rPr>
          <w:rFonts w:hint="eastAsia"/>
          <w:kern w:val="0"/>
          <w:szCs w:val="21"/>
        </w:rPr>
        <w:t>83.72%</w:t>
      </w:r>
      <w:r>
        <w:rPr>
          <w:rFonts w:hint="eastAsia"/>
          <w:kern w:val="0"/>
          <w:szCs w:val="21"/>
        </w:rPr>
        <w:t>。与主营业务收入的增长相比，青岛海尔应收账款的增长率却明显更快，保持在</w:t>
      </w:r>
      <w:r>
        <w:rPr>
          <w:rFonts w:hint="eastAsia"/>
          <w:kern w:val="0"/>
          <w:szCs w:val="21"/>
        </w:rPr>
        <w:t>30%</w:t>
      </w:r>
      <w:r>
        <w:rPr>
          <w:rFonts w:hint="eastAsia"/>
          <w:kern w:val="0"/>
          <w:szCs w:val="21"/>
        </w:rPr>
        <w:t>以上，特别是</w:t>
      </w:r>
      <w:r>
        <w:rPr>
          <w:rFonts w:hint="eastAsia"/>
          <w:kern w:val="0"/>
          <w:szCs w:val="21"/>
        </w:rPr>
        <w:t>2009</w:t>
      </w:r>
      <w:r>
        <w:rPr>
          <w:rFonts w:hint="eastAsia"/>
          <w:kern w:val="0"/>
          <w:szCs w:val="21"/>
        </w:rPr>
        <w:t>年到达</w:t>
      </w:r>
      <w:r>
        <w:rPr>
          <w:rFonts w:hint="eastAsia"/>
          <w:kern w:val="0"/>
          <w:szCs w:val="21"/>
        </w:rPr>
        <w:t>51.61%,</w:t>
      </w:r>
      <w:r>
        <w:rPr>
          <w:rFonts w:hint="eastAsia"/>
          <w:kern w:val="0"/>
          <w:szCs w:val="21"/>
        </w:rPr>
        <w:t>而与此同时，而主营业务收入增长率却只有</w:t>
      </w:r>
      <w:r>
        <w:rPr>
          <w:rFonts w:hint="eastAsia"/>
          <w:kern w:val="0"/>
          <w:szCs w:val="21"/>
        </w:rPr>
        <w:t>8.46%</w:t>
      </w:r>
      <w:r>
        <w:rPr>
          <w:rFonts w:hint="eastAsia"/>
          <w:kern w:val="0"/>
          <w:szCs w:val="21"/>
        </w:rPr>
        <w:t>。因此我们可以合理推断青岛海尔可能是利用宽松的信用政策以刺激销售增长。这种政策，一方面使得应收账款增长率高于主营业务收入增长率，应收账款周转率有下降的趋势；另一方面加大了应收账款收不回来的风险，从而造成资产损失，同时也占用大量营运资本，影响公司正常的经营运转。</w:t>
      </w:r>
    </w:p>
    <w:p w:rsidR="009A43AA" w:rsidRDefault="009A43AA" w:rsidP="009A43AA">
      <w:pPr>
        <w:jc w:val="center"/>
        <w:rPr>
          <w:b/>
          <w:kern w:val="0"/>
          <w:szCs w:val="21"/>
        </w:rPr>
      </w:pPr>
      <w:r>
        <w:rPr>
          <w:rFonts w:hint="eastAsia"/>
          <w:b/>
          <w:kern w:val="0"/>
          <w:szCs w:val="21"/>
        </w:rPr>
        <w:t>表</w:t>
      </w:r>
      <w:r>
        <w:rPr>
          <w:rFonts w:hint="eastAsia"/>
          <w:b/>
          <w:kern w:val="0"/>
          <w:szCs w:val="21"/>
        </w:rPr>
        <w:t xml:space="preserve">2 </w:t>
      </w:r>
      <w:r>
        <w:rPr>
          <w:rFonts w:hint="eastAsia"/>
          <w:b/>
          <w:kern w:val="0"/>
          <w:szCs w:val="21"/>
        </w:rPr>
        <w:t>青岛海尔应收账款的异常增长趋（单位：万元）</w:t>
      </w:r>
    </w:p>
    <w:tbl>
      <w:tblPr>
        <w:tblStyle w:val="a3"/>
        <w:tblW w:w="0" w:type="auto"/>
        <w:tblLook w:val="01E0" w:firstRow="1" w:lastRow="1" w:firstColumn="1" w:lastColumn="1" w:noHBand="0" w:noVBand="0"/>
      </w:tblPr>
      <w:tblGrid>
        <w:gridCol w:w="1641"/>
        <w:gridCol w:w="1101"/>
        <w:gridCol w:w="1389"/>
        <w:gridCol w:w="1389"/>
        <w:gridCol w:w="1386"/>
        <w:gridCol w:w="1390"/>
      </w:tblGrid>
      <w:tr w:rsidR="009A43AA">
        <w:tc>
          <w:tcPr>
            <w:tcW w:w="1728" w:type="dxa"/>
          </w:tcPr>
          <w:p w:rsidR="009A43AA" w:rsidRDefault="009A43AA" w:rsidP="009A43AA">
            <w:pPr>
              <w:rPr>
                <w:b/>
                <w:kern w:val="0"/>
                <w:szCs w:val="21"/>
              </w:rPr>
            </w:pPr>
            <w:r>
              <w:rPr>
                <w:rFonts w:hint="eastAsia"/>
                <w:b/>
                <w:kern w:val="0"/>
                <w:szCs w:val="21"/>
              </w:rPr>
              <w:t>项目</w:t>
            </w:r>
          </w:p>
        </w:tc>
        <w:tc>
          <w:tcPr>
            <w:tcW w:w="1112" w:type="dxa"/>
          </w:tcPr>
          <w:p w:rsidR="009A43AA" w:rsidRDefault="009A43AA" w:rsidP="009A43AA">
            <w:pPr>
              <w:rPr>
                <w:b/>
                <w:kern w:val="0"/>
                <w:szCs w:val="21"/>
              </w:rPr>
            </w:pPr>
            <w:r>
              <w:rPr>
                <w:rFonts w:hint="eastAsia"/>
                <w:b/>
                <w:kern w:val="0"/>
                <w:szCs w:val="21"/>
              </w:rPr>
              <w:t>2008</w:t>
            </w:r>
            <w:r>
              <w:rPr>
                <w:rFonts w:hint="eastAsia"/>
                <w:b/>
                <w:kern w:val="0"/>
                <w:szCs w:val="21"/>
              </w:rPr>
              <w:t>年</w:t>
            </w:r>
          </w:p>
        </w:tc>
        <w:tc>
          <w:tcPr>
            <w:tcW w:w="1420" w:type="dxa"/>
          </w:tcPr>
          <w:p w:rsidR="009A43AA" w:rsidRDefault="009A43AA" w:rsidP="009A43AA">
            <w:pPr>
              <w:rPr>
                <w:b/>
                <w:kern w:val="0"/>
                <w:szCs w:val="21"/>
              </w:rPr>
            </w:pPr>
            <w:r>
              <w:rPr>
                <w:rFonts w:hint="eastAsia"/>
                <w:b/>
                <w:kern w:val="0"/>
                <w:szCs w:val="21"/>
              </w:rPr>
              <w:t>2009</w:t>
            </w:r>
            <w:r>
              <w:rPr>
                <w:rFonts w:hint="eastAsia"/>
                <w:b/>
                <w:kern w:val="0"/>
                <w:szCs w:val="21"/>
              </w:rPr>
              <w:t>年</w:t>
            </w:r>
          </w:p>
        </w:tc>
        <w:tc>
          <w:tcPr>
            <w:tcW w:w="1420" w:type="dxa"/>
          </w:tcPr>
          <w:p w:rsidR="009A43AA" w:rsidRDefault="009A43AA" w:rsidP="009A43AA">
            <w:pPr>
              <w:rPr>
                <w:b/>
                <w:kern w:val="0"/>
                <w:szCs w:val="21"/>
              </w:rPr>
            </w:pPr>
            <w:r>
              <w:rPr>
                <w:rFonts w:hint="eastAsia"/>
                <w:b/>
                <w:kern w:val="0"/>
                <w:szCs w:val="21"/>
              </w:rPr>
              <w:t>2010</w:t>
            </w:r>
            <w:r>
              <w:rPr>
                <w:rFonts w:hint="eastAsia"/>
                <w:b/>
                <w:kern w:val="0"/>
                <w:szCs w:val="21"/>
              </w:rPr>
              <w:t>年</w:t>
            </w:r>
          </w:p>
        </w:tc>
        <w:tc>
          <w:tcPr>
            <w:tcW w:w="1421" w:type="dxa"/>
          </w:tcPr>
          <w:p w:rsidR="009A43AA" w:rsidRDefault="009A43AA" w:rsidP="009A43AA">
            <w:pPr>
              <w:rPr>
                <w:b/>
                <w:kern w:val="0"/>
                <w:szCs w:val="21"/>
              </w:rPr>
            </w:pPr>
            <w:r>
              <w:rPr>
                <w:rFonts w:hint="eastAsia"/>
                <w:b/>
                <w:kern w:val="0"/>
                <w:szCs w:val="21"/>
              </w:rPr>
              <w:t>2011</w:t>
            </w:r>
            <w:r>
              <w:rPr>
                <w:rFonts w:hint="eastAsia"/>
                <w:b/>
                <w:kern w:val="0"/>
                <w:szCs w:val="21"/>
              </w:rPr>
              <w:t>年</w:t>
            </w:r>
          </w:p>
        </w:tc>
        <w:tc>
          <w:tcPr>
            <w:tcW w:w="1421" w:type="dxa"/>
          </w:tcPr>
          <w:p w:rsidR="009A43AA" w:rsidRDefault="009A43AA" w:rsidP="009A43AA">
            <w:pPr>
              <w:rPr>
                <w:b/>
                <w:kern w:val="0"/>
                <w:szCs w:val="21"/>
              </w:rPr>
            </w:pPr>
            <w:r>
              <w:rPr>
                <w:rFonts w:hint="eastAsia"/>
                <w:b/>
                <w:kern w:val="0"/>
                <w:szCs w:val="21"/>
              </w:rPr>
              <w:t>2012</w:t>
            </w:r>
            <w:r>
              <w:rPr>
                <w:rFonts w:hint="eastAsia"/>
                <w:b/>
                <w:kern w:val="0"/>
                <w:szCs w:val="21"/>
              </w:rPr>
              <w:t>年</w:t>
            </w:r>
          </w:p>
        </w:tc>
      </w:tr>
      <w:tr w:rsidR="009A43AA">
        <w:tc>
          <w:tcPr>
            <w:tcW w:w="1728" w:type="dxa"/>
          </w:tcPr>
          <w:p w:rsidR="009A43AA" w:rsidRDefault="009A43AA" w:rsidP="009A43AA">
            <w:pPr>
              <w:rPr>
                <w:b/>
                <w:kern w:val="0"/>
                <w:szCs w:val="21"/>
              </w:rPr>
            </w:pPr>
            <w:r>
              <w:rPr>
                <w:rFonts w:hint="eastAsia"/>
                <w:b/>
                <w:kern w:val="0"/>
                <w:szCs w:val="21"/>
              </w:rPr>
              <w:t>应收账款</w:t>
            </w:r>
          </w:p>
        </w:tc>
        <w:tc>
          <w:tcPr>
            <w:tcW w:w="1112" w:type="dxa"/>
          </w:tcPr>
          <w:p w:rsidR="009A43AA" w:rsidRPr="00E109C5" w:rsidRDefault="009A43AA" w:rsidP="009A43AA">
            <w:pPr>
              <w:rPr>
                <w:b/>
                <w:kern w:val="0"/>
                <w:szCs w:val="21"/>
              </w:rPr>
            </w:pPr>
            <w:r>
              <w:rPr>
                <w:b/>
                <w:kern w:val="0"/>
                <w:szCs w:val="21"/>
              </w:rPr>
              <w:t>794</w:t>
            </w:r>
            <w:r w:rsidRPr="00E109C5">
              <w:rPr>
                <w:b/>
                <w:kern w:val="0"/>
                <w:szCs w:val="21"/>
              </w:rPr>
              <w:t>57</w:t>
            </w:r>
          </w:p>
        </w:tc>
        <w:tc>
          <w:tcPr>
            <w:tcW w:w="1420" w:type="dxa"/>
          </w:tcPr>
          <w:p w:rsidR="009A43AA" w:rsidRPr="00E109C5" w:rsidRDefault="009A43AA" w:rsidP="009A43AA">
            <w:pPr>
              <w:rPr>
                <w:b/>
                <w:kern w:val="0"/>
                <w:szCs w:val="21"/>
              </w:rPr>
            </w:pPr>
            <w:r>
              <w:rPr>
                <w:b/>
                <w:kern w:val="0"/>
                <w:szCs w:val="21"/>
              </w:rPr>
              <w:t>1204</w:t>
            </w:r>
            <w:r w:rsidRPr="00E109C5">
              <w:rPr>
                <w:b/>
                <w:kern w:val="0"/>
                <w:szCs w:val="21"/>
              </w:rPr>
              <w:t>6</w:t>
            </w:r>
            <w:r>
              <w:rPr>
                <w:rFonts w:hint="eastAsia"/>
                <w:b/>
                <w:kern w:val="0"/>
                <w:szCs w:val="21"/>
              </w:rPr>
              <w:t>5</w:t>
            </w:r>
          </w:p>
        </w:tc>
        <w:tc>
          <w:tcPr>
            <w:tcW w:w="1420" w:type="dxa"/>
          </w:tcPr>
          <w:p w:rsidR="009A43AA" w:rsidRPr="00E109C5" w:rsidRDefault="009A43AA" w:rsidP="009A43AA">
            <w:pPr>
              <w:rPr>
                <w:b/>
                <w:kern w:val="0"/>
                <w:szCs w:val="21"/>
              </w:rPr>
            </w:pPr>
            <w:r>
              <w:rPr>
                <w:b/>
                <w:kern w:val="0"/>
                <w:szCs w:val="21"/>
              </w:rPr>
              <w:t>2141</w:t>
            </w:r>
            <w:r w:rsidRPr="00E109C5">
              <w:rPr>
                <w:b/>
                <w:kern w:val="0"/>
                <w:szCs w:val="21"/>
              </w:rPr>
              <w:t>5</w:t>
            </w:r>
            <w:r>
              <w:rPr>
                <w:rFonts w:hint="eastAsia"/>
                <w:b/>
                <w:kern w:val="0"/>
                <w:szCs w:val="21"/>
              </w:rPr>
              <w:t>2</w:t>
            </w:r>
          </w:p>
        </w:tc>
        <w:tc>
          <w:tcPr>
            <w:tcW w:w="1421" w:type="dxa"/>
          </w:tcPr>
          <w:p w:rsidR="009A43AA" w:rsidRDefault="009A43AA" w:rsidP="009A43AA">
            <w:pPr>
              <w:rPr>
                <w:b/>
                <w:kern w:val="0"/>
                <w:szCs w:val="21"/>
              </w:rPr>
            </w:pPr>
            <w:r>
              <w:rPr>
                <w:rFonts w:hint="eastAsia"/>
                <w:b/>
                <w:kern w:val="0"/>
                <w:szCs w:val="21"/>
              </w:rPr>
              <w:t>308183</w:t>
            </w:r>
          </w:p>
        </w:tc>
        <w:tc>
          <w:tcPr>
            <w:tcW w:w="1421" w:type="dxa"/>
          </w:tcPr>
          <w:p w:rsidR="009A43AA" w:rsidRPr="000B740E" w:rsidRDefault="009A43AA" w:rsidP="009A43AA">
            <w:pPr>
              <w:rPr>
                <w:b/>
                <w:kern w:val="0"/>
                <w:szCs w:val="21"/>
              </w:rPr>
            </w:pPr>
            <w:r>
              <w:rPr>
                <w:b/>
                <w:kern w:val="0"/>
                <w:szCs w:val="21"/>
              </w:rPr>
              <w:t>4196</w:t>
            </w:r>
            <w:r w:rsidRPr="000B740E">
              <w:rPr>
                <w:b/>
                <w:kern w:val="0"/>
                <w:szCs w:val="21"/>
              </w:rPr>
              <w:t>72</w:t>
            </w:r>
          </w:p>
        </w:tc>
      </w:tr>
      <w:tr w:rsidR="009A43AA">
        <w:tc>
          <w:tcPr>
            <w:tcW w:w="1728" w:type="dxa"/>
          </w:tcPr>
          <w:p w:rsidR="009A43AA" w:rsidRDefault="009A43AA" w:rsidP="009A43AA">
            <w:pPr>
              <w:rPr>
                <w:b/>
                <w:kern w:val="0"/>
                <w:szCs w:val="21"/>
              </w:rPr>
            </w:pPr>
            <w:r>
              <w:rPr>
                <w:rFonts w:hint="eastAsia"/>
                <w:b/>
                <w:kern w:val="0"/>
                <w:szCs w:val="21"/>
              </w:rPr>
              <w:t>主营收入</w:t>
            </w:r>
          </w:p>
        </w:tc>
        <w:tc>
          <w:tcPr>
            <w:tcW w:w="1112" w:type="dxa"/>
          </w:tcPr>
          <w:p w:rsidR="009A43AA" w:rsidRPr="00E109C5" w:rsidRDefault="009A43AA" w:rsidP="009A43AA">
            <w:pPr>
              <w:rPr>
                <w:b/>
                <w:kern w:val="0"/>
                <w:szCs w:val="21"/>
              </w:rPr>
            </w:pPr>
            <w:r>
              <w:rPr>
                <w:b/>
                <w:kern w:val="0"/>
                <w:szCs w:val="21"/>
              </w:rPr>
              <w:t>30408</w:t>
            </w:r>
            <w:r w:rsidRPr="00E109C5">
              <w:rPr>
                <w:b/>
                <w:kern w:val="0"/>
                <w:szCs w:val="21"/>
              </w:rPr>
              <w:t>0</w:t>
            </w:r>
            <w:r>
              <w:rPr>
                <w:rFonts w:hint="eastAsia"/>
                <w:b/>
                <w:kern w:val="0"/>
                <w:szCs w:val="21"/>
              </w:rPr>
              <w:t>4</w:t>
            </w:r>
          </w:p>
        </w:tc>
        <w:tc>
          <w:tcPr>
            <w:tcW w:w="1420" w:type="dxa"/>
          </w:tcPr>
          <w:p w:rsidR="009A43AA" w:rsidRPr="00E109C5" w:rsidRDefault="009A43AA" w:rsidP="009A43AA">
            <w:pPr>
              <w:rPr>
                <w:b/>
                <w:kern w:val="0"/>
                <w:szCs w:val="21"/>
              </w:rPr>
            </w:pPr>
            <w:r>
              <w:rPr>
                <w:b/>
                <w:kern w:val="0"/>
                <w:szCs w:val="21"/>
              </w:rPr>
              <w:t>32979</w:t>
            </w:r>
            <w:r w:rsidRPr="00E109C5">
              <w:rPr>
                <w:b/>
                <w:kern w:val="0"/>
                <w:szCs w:val="21"/>
              </w:rPr>
              <w:t>4</w:t>
            </w:r>
            <w:r>
              <w:rPr>
                <w:rFonts w:hint="eastAsia"/>
                <w:b/>
                <w:kern w:val="0"/>
                <w:szCs w:val="21"/>
              </w:rPr>
              <w:t>2</w:t>
            </w:r>
          </w:p>
        </w:tc>
        <w:tc>
          <w:tcPr>
            <w:tcW w:w="1420" w:type="dxa"/>
          </w:tcPr>
          <w:p w:rsidR="009A43AA" w:rsidRPr="00E109C5" w:rsidRDefault="009A43AA" w:rsidP="009A43AA">
            <w:pPr>
              <w:rPr>
                <w:b/>
                <w:kern w:val="0"/>
                <w:szCs w:val="21"/>
              </w:rPr>
            </w:pPr>
            <w:r>
              <w:rPr>
                <w:b/>
                <w:kern w:val="0"/>
                <w:szCs w:val="21"/>
              </w:rPr>
              <w:t>60588</w:t>
            </w:r>
            <w:r w:rsidRPr="00E109C5">
              <w:rPr>
                <w:b/>
                <w:kern w:val="0"/>
                <w:szCs w:val="21"/>
              </w:rPr>
              <w:t>2</w:t>
            </w:r>
            <w:r>
              <w:rPr>
                <w:rFonts w:hint="eastAsia"/>
                <w:b/>
                <w:kern w:val="0"/>
                <w:szCs w:val="21"/>
              </w:rPr>
              <w:t>5</w:t>
            </w:r>
          </w:p>
        </w:tc>
        <w:tc>
          <w:tcPr>
            <w:tcW w:w="1421" w:type="dxa"/>
          </w:tcPr>
          <w:p w:rsidR="009A43AA" w:rsidRDefault="009A43AA" w:rsidP="009A43AA">
            <w:pPr>
              <w:rPr>
                <w:b/>
                <w:kern w:val="0"/>
                <w:szCs w:val="21"/>
              </w:rPr>
            </w:pPr>
            <w:r>
              <w:rPr>
                <w:rFonts w:hint="eastAsia"/>
                <w:b/>
                <w:kern w:val="0"/>
                <w:szCs w:val="21"/>
              </w:rPr>
              <w:t>736625</w:t>
            </w:r>
          </w:p>
        </w:tc>
        <w:tc>
          <w:tcPr>
            <w:tcW w:w="1421" w:type="dxa"/>
          </w:tcPr>
          <w:p w:rsidR="009A43AA" w:rsidRPr="000B740E" w:rsidRDefault="009A43AA" w:rsidP="009A43AA">
            <w:pPr>
              <w:rPr>
                <w:b/>
                <w:kern w:val="0"/>
                <w:szCs w:val="21"/>
              </w:rPr>
            </w:pPr>
            <w:r>
              <w:rPr>
                <w:b/>
                <w:kern w:val="0"/>
                <w:szCs w:val="21"/>
              </w:rPr>
              <w:t>79856</w:t>
            </w:r>
            <w:r>
              <w:rPr>
                <w:rFonts w:hint="eastAsia"/>
                <w:b/>
                <w:kern w:val="0"/>
                <w:szCs w:val="21"/>
              </w:rPr>
              <w:t>60</w:t>
            </w:r>
          </w:p>
        </w:tc>
      </w:tr>
      <w:tr w:rsidR="009A43AA">
        <w:tc>
          <w:tcPr>
            <w:tcW w:w="1728" w:type="dxa"/>
          </w:tcPr>
          <w:p w:rsidR="009A43AA" w:rsidRDefault="009A43AA" w:rsidP="009A43AA">
            <w:pPr>
              <w:rPr>
                <w:b/>
                <w:kern w:val="0"/>
                <w:szCs w:val="21"/>
              </w:rPr>
            </w:pPr>
            <w:r>
              <w:rPr>
                <w:rFonts w:hint="eastAsia"/>
                <w:b/>
                <w:kern w:val="0"/>
                <w:szCs w:val="21"/>
              </w:rPr>
              <w:t>应收账款增长率</w:t>
            </w:r>
          </w:p>
        </w:tc>
        <w:tc>
          <w:tcPr>
            <w:tcW w:w="1112" w:type="dxa"/>
          </w:tcPr>
          <w:p w:rsidR="009A43AA" w:rsidRDefault="009A43AA" w:rsidP="009A43AA">
            <w:pPr>
              <w:rPr>
                <w:b/>
                <w:kern w:val="0"/>
                <w:szCs w:val="21"/>
              </w:rPr>
            </w:pPr>
            <w:r>
              <w:rPr>
                <w:rFonts w:hint="eastAsia"/>
                <w:b/>
                <w:kern w:val="0"/>
                <w:szCs w:val="21"/>
              </w:rPr>
              <w:t>/</w:t>
            </w:r>
          </w:p>
        </w:tc>
        <w:tc>
          <w:tcPr>
            <w:tcW w:w="1420" w:type="dxa"/>
          </w:tcPr>
          <w:p w:rsidR="009A43AA" w:rsidRDefault="009A43AA" w:rsidP="009A43AA">
            <w:pPr>
              <w:rPr>
                <w:b/>
                <w:kern w:val="0"/>
                <w:szCs w:val="21"/>
              </w:rPr>
            </w:pPr>
            <w:r>
              <w:rPr>
                <w:rFonts w:hint="eastAsia"/>
                <w:b/>
                <w:kern w:val="0"/>
                <w:szCs w:val="21"/>
              </w:rPr>
              <w:t>51.61%</w:t>
            </w:r>
          </w:p>
        </w:tc>
        <w:tc>
          <w:tcPr>
            <w:tcW w:w="1420" w:type="dxa"/>
          </w:tcPr>
          <w:p w:rsidR="009A43AA" w:rsidRDefault="009A43AA" w:rsidP="009A43AA">
            <w:pPr>
              <w:rPr>
                <w:b/>
                <w:kern w:val="0"/>
                <w:szCs w:val="21"/>
              </w:rPr>
            </w:pPr>
            <w:r>
              <w:rPr>
                <w:rFonts w:hint="eastAsia"/>
                <w:b/>
                <w:kern w:val="0"/>
                <w:szCs w:val="21"/>
              </w:rPr>
              <w:t>77.77%</w:t>
            </w:r>
          </w:p>
        </w:tc>
        <w:tc>
          <w:tcPr>
            <w:tcW w:w="1421" w:type="dxa"/>
          </w:tcPr>
          <w:p w:rsidR="009A43AA" w:rsidRDefault="009A43AA" w:rsidP="009A43AA">
            <w:pPr>
              <w:rPr>
                <w:b/>
                <w:kern w:val="0"/>
                <w:szCs w:val="21"/>
              </w:rPr>
            </w:pPr>
            <w:r>
              <w:rPr>
                <w:rFonts w:hint="eastAsia"/>
                <w:b/>
                <w:kern w:val="0"/>
                <w:szCs w:val="21"/>
              </w:rPr>
              <w:t>43.91%</w:t>
            </w:r>
          </w:p>
        </w:tc>
        <w:tc>
          <w:tcPr>
            <w:tcW w:w="1421" w:type="dxa"/>
          </w:tcPr>
          <w:p w:rsidR="009A43AA" w:rsidRDefault="009A43AA" w:rsidP="009A43AA">
            <w:pPr>
              <w:rPr>
                <w:b/>
                <w:kern w:val="0"/>
                <w:szCs w:val="21"/>
              </w:rPr>
            </w:pPr>
            <w:r>
              <w:rPr>
                <w:rFonts w:hint="eastAsia"/>
                <w:b/>
                <w:kern w:val="0"/>
                <w:szCs w:val="21"/>
              </w:rPr>
              <w:t>36.18%</w:t>
            </w:r>
          </w:p>
        </w:tc>
      </w:tr>
      <w:tr w:rsidR="009A43AA">
        <w:tc>
          <w:tcPr>
            <w:tcW w:w="1728" w:type="dxa"/>
          </w:tcPr>
          <w:p w:rsidR="009A43AA" w:rsidRDefault="009A43AA" w:rsidP="009A43AA">
            <w:pPr>
              <w:rPr>
                <w:b/>
                <w:kern w:val="0"/>
                <w:szCs w:val="21"/>
              </w:rPr>
            </w:pPr>
            <w:r>
              <w:rPr>
                <w:rFonts w:hint="eastAsia"/>
                <w:b/>
                <w:kern w:val="0"/>
                <w:szCs w:val="21"/>
              </w:rPr>
              <w:t>主营收入增长率</w:t>
            </w:r>
          </w:p>
        </w:tc>
        <w:tc>
          <w:tcPr>
            <w:tcW w:w="1112" w:type="dxa"/>
          </w:tcPr>
          <w:p w:rsidR="009A43AA" w:rsidRDefault="009A43AA" w:rsidP="009A43AA">
            <w:pPr>
              <w:rPr>
                <w:b/>
                <w:kern w:val="0"/>
                <w:szCs w:val="21"/>
              </w:rPr>
            </w:pPr>
            <w:r>
              <w:rPr>
                <w:rFonts w:hint="eastAsia"/>
                <w:b/>
                <w:kern w:val="0"/>
                <w:szCs w:val="21"/>
              </w:rPr>
              <w:t>/</w:t>
            </w:r>
          </w:p>
        </w:tc>
        <w:tc>
          <w:tcPr>
            <w:tcW w:w="1420" w:type="dxa"/>
          </w:tcPr>
          <w:p w:rsidR="009A43AA" w:rsidRDefault="009A43AA" w:rsidP="009A43AA">
            <w:pPr>
              <w:rPr>
                <w:b/>
                <w:kern w:val="0"/>
                <w:szCs w:val="21"/>
              </w:rPr>
            </w:pPr>
            <w:r>
              <w:rPr>
                <w:rFonts w:hint="eastAsia"/>
                <w:b/>
                <w:kern w:val="0"/>
                <w:szCs w:val="21"/>
              </w:rPr>
              <w:t>8.46%</w:t>
            </w:r>
          </w:p>
        </w:tc>
        <w:tc>
          <w:tcPr>
            <w:tcW w:w="1420" w:type="dxa"/>
          </w:tcPr>
          <w:p w:rsidR="009A43AA" w:rsidRDefault="009A43AA" w:rsidP="009A43AA">
            <w:pPr>
              <w:rPr>
                <w:b/>
                <w:kern w:val="0"/>
                <w:szCs w:val="21"/>
              </w:rPr>
            </w:pPr>
            <w:r>
              <w:rPr>
                <w:rFonts w:hint="eastAsia"/>
                <w:b/>
                <w:kern w:val="0"/>
                <w:szCs w:val="21"/>
              </w:rPr>
              <w:t>83.72%</w:t>
            </w:r>
          </w:p>
        </w:tc>
        <w:tc>
          <w:tcPr>
            <w:tcW w:w="1421" w:type="dxa"/>
          </w:tcPr>
          <w:p w:rsidR="009A43AA" w:rsidRDefault="009A43AA" w:rsidP="009A43AA">
            <w:pPr>
              <w:rPr>
                <w:b/>
                <w:kern w:val="0"/>
                <w:szCs w:val="21"/>
              </w:rPr>
            </w:pPr>
            <w:r>
              <w:rPr>
                <w:rFonts w:hint="eastAsia"/>
                <w:b/>
                <w:kern w:val="0"/>
                <w:szCs w:val="21"/>
              </w:rPr>
              <w:t>21.58%</w:t>
            </w:r>
          </w:p>
        </w:tc>
        <w:tc>
          <w:tcPr>
            <w:tcW w:w="1421" w:type="dxa"/>
          </w:tcPr>
          <w:p w:rsidR="009A43AA" w:rsidRDefault="009A43AA" w:rsidP="009A43AA">
            <w:pPr>
              <w:rPr>
                <w:b/>
                <w:kern w:val="0"/>
                <w:szCs w:val="21"/>
              </w:rPr>
            </w:pPr>
            <w:r>
              <w:rPr>
                <w:rFonts w:hint="eastAsia"/>
                <w:b/>
                <w:kern w:val="0"/>
                <w:szCs w:val="21"/>
              </w:rPr>
              <w:t>8.42%</w:t>
            </w:r>
          </w:p>
        </w:tc>
      </w:tr>
      <w:tr w:rsidR="009A43AA">
        <w:tc>
          <w:tcPr>
            <w:tcW w:w="1728" w:type="dxa"/>
          </w:tcPr>
          <w:p w:rsidR="009A43AA" w:rsidRDefault="009A43AA" w:rsidP="009A43AA">
            <w:pPr>
              <w:rPr>
                <w:b/>
                <w:kern w:val="0"/>
                <w:szCs w:val="21"/>
              </w:rPr>
            </w:pPr>
            <w:r>
              <w:rPr>
                <w:rFonts w:hint="eastAsia"/>
                <w:b/>
                <w:kern w:val="0"/>
                <w:szCs w:val="21"/>
              </w:rPr>
              <w:t>应收账款占主营收入比率</w:t>
            </w:r>
          </w:p>
        </w:tc>
        <w:tc>
          <w:tcPr>
            <w:tcW w:w="1112" w:type="dxa"/>
          </w:tcPr>
          <w:p w:rsidR="009A43AA" w:rsidRPr="000B73F3" w:rsidRDefault="009A43AA" w:rsidP="009A43AA">
            <w:pPr>
              <w:rPr>
                <w:b/>
                <w:kern w:val="0"/>
                <w:szCs w:val="21"/>
              </w:rPr>
            </w:pPr>
            <w:r>
              <w:rPr>
                <w:rFonts w:hint="eastAsia"/>
                <w:b/>
                <w:kern w:val="0"/>
                <w:szCs w:val="21"/>
              </w:rPr>
              <w:t>2.61%</w:t>
            </w:r>
          </w:p>
        </w:tc>
        <w:tc>
          <w:tcPr>
            <w:tcW w:w="1420" w:type="dxa"/>
          </w:tcPr>
          <w:p w:rsidR="009A43AA" w:rsidRDefault="009A43AA" w:rsidP="009A43AA">
            <w:pPr>
              <w:rPr>
                <w:b/>
                <w:kern w:val="0"/>
                <w:szCs w:val="21"/>
              </w:rPr>
            </w:pPr>
            <w:r>
              <w:rPr>
                <w:rFonts w:hint="eastAsia"/>
                <w:b/>
                <w:kern w:val="0"/>
                <w:szCs w:val="21"/>
              </w:rPr>
              <w:t>3.65%</w:t>
            </w:r>
          </w:p>
        </w:tc>
        <w:tc>
          <w:tcPr>
            <w:tcW w:w="1420" w:type="dxa"/>
          </w:tcPr>
          <w:p w:rsidR="009A43AA" w:rsidRDefault="009A43AA" w:rsidP="009A43AA">
            <w:pPr>
              <w:rPr>
                <w:b/>
                <w:kern w:val="0"/>
                <w:szCs w:val="21"/>
              </w:rPr>
            </w:pPr>
            <w:r>
              <w:rPr>
                <w:rFonts w:hint="eastAsia"/>
                <w:b/>
                <w:kern w:val="0"/>
                <w:szCs w:val="21"/>
              </w:rPr>
              <w:t>3.53%</w:t>
            </w:r>
          </w:p>
        </w:tc>
        <w:tc>
          <w:tcPr>
            <w:tcW w:w="1421" w:type="dxa"/>
          </w:tcPr>
          <w:p w:rsidR="009A43AA" w:rsidRDefault="009A43AA" w:rsidP="009A43AA">
            <w:pPr>
              <w:rPr>
                <w:b/>
                <w:kern w:val="0"/>
                <w:szCs w:val="21"/>
              </w:rPr>
            </w:pPr>
            <w:r>
              <w:rPr>
                <w:rFonts w:hint="eastAsia"/>
                <w:b/>
                <w:kern w:val="0"/>
                <w:szCs w:val="21"/>
              </w:rPr>
              <w:t>4.18%</w:t>
            </w:r>
          </w:p>
        </w:tc>
        <w:tc>
          <w:tcPr>
            <w:tcW w:w="1421" w:type="dxa"/>
          </w:tcPr>
          <w:p w:rsidR="009A43AA" w:rsidRDefault="009A43AA" w:rsidP="009A43AA">
            <w:pPr>
              <w:rPr>
                <w:b/>
                <w:kern w:val="0"/>
                <w:szCs w:val="21"/>
              </w:rPr>
            </w:pPr>
            <w:r>
              <w:rPr>
                <w:rFonts w:hint="eastAsia"/>
                <w:b/>
                <w:kern w:val="0"/>
                <w:szCs w:val="21"/>
              </w:rPr>
              <w:t>5.26%</w:t>
            </w:r>
          </w:p>
        </w:tc>
      </w:tr>
    </w:tbl>
    <w:p w:rsidR="009A43AA" w:rsidRDefault="009A43AA" w:rsidP="009A43AA">
      <w:pPr>
        <w:rPr>
          <w:b/>
          <w:kern w:val="0"/>
          <w:szCs w:val="21"/>
        </w:rPr>
      </w:pPr>
      <w:r>
        <w:rPr>
          <w:rFonts w:hint="eastAsia"/>
          <w:b/>
          <w:kern w:val="0"/>
          <w:szCs w:val="21"/>
        </w:rPr>
        <w:t>（</w:t>
      </w:r>
      <w:r>
        <w:rPr>
          <w:rFonts w:hint="eastAsia"/>
          <w:b/>
          <w:kern w:val="0"/>
          <w:szCs w:val="21"/>
        </w:rPr>
        <w:t>2</w:t>
      </w:r>
      <w:r>
        <w:rPr>
          <w:rFonts w:hint="eastAsia"/>
          <w:b/>
          <w:kern w:val="0"/>
          <w:szCs w:val="21"/>
        </w:rPr>
        <w:t>）坏账准备分析。根据上述分析，青岛海尔的应收账款质量可能存在一定的问题，因此应当根据应收账款可收回性计提相应的坏账准备，从而真实的反映应收账款质量信息。</w:t>
      </w:r>
    </w:p>
    <w:p w:rsidR="009A43AA" w:rsidRDefault="009A43AA" w:rsidP="009A43AA">
      <w:pPr>
        <w:jc w:val="center"/>
        <w:rPr>
          <w:b/>
          <w:kern w:val="0"/>
          <w:szCs w:val="21"/>
        </w:rPr>
      </w:pPr>
      <w:r>
        <w:rPr>
          <w:rFonts w:hint="eastAsia"/>
          <w:b/>
          <w:kern w:val="0"/>
          <w:szCs w:val="21"/>
        </w:rPr>
        <w:t>表</w:t>
      </w:r>
      <w:r>
        <w:rPr>
          <w:rFonts w:hint="eastAsia"/>
          <w:b/>
          <w:kern w:val="0"/>
          <w:szCs w:val="21"/>
        </w:rPr>
        <w:t xml:space="preserve">3   </w:t>
      </w:r>
      <w:r>
        <w:rPr>
          <w:rFonts w:hint="eastAsia"/>
          <w:b/>
          <w:kern w:val="0"/>
          <w:szCs w:val="21"/>
        </w:rPr>
        <w:t>青岛海尔的坏账准备</w:t>
      </w:r>
      <w:r>
        <w:rPr>
          <w:rFonts w:hint="eastAsia"/>
          <w:b/>
          <w:kern w:val="0"/>
          <w:szCs w:val="21"/>
        </w:rPr>
        <w:t xml:space="preserve">   </w:t>
      </w:r>
      <w:r>
        <w:rPr>
          <w:rFonts w:hint="eastAsia"/>
          <w:b/>
          <w:kern w:val="0"/>
          <w:szCs w:val="21"/>
        </w:rPr>
        <w:t>（单位：元）</w:t>
      </w:r>
    </w:p>
    <w:tbl>
      <w:tblPr>
        <w:tblStyle w:val="a3"/>
        <w:tblW w:w="5000" w:type="pct"/>
        <w:tblLook w:val="01E0" w:firstRow="1" w:lastRow="1" w:firstColumn="1" w:lastColumn="1" w:noHBand="0" w:noVBand="0"/>
      </w:tblPr>
      <w:tblGrid>
        <w:gridCol w:w="619"/>
        <w:gridCol w:w="619"/>
        <w:gridCol w:w="1310"/>
        <w:gridCol w:w="1424"/>
        <w:gridCol w:w="1424"/>
        <w:gridCol w:w="1476"/>
        <w:gridCol w:w="1424"/>
      </w:tblGrid>
      <w:tr w:rsidR="009A43AA">
        <w:tc>
          <w:tcPr>
            <w:tcW w:w="832" w:type="pct"/>
            <w:gridSpan w:val="2"/>
          </w:tcPr>
          <w:p w:rsidR="009A43AA" w:rsidRDefault="009A43AA" w:rsidP="009A43AA">
            <w:pPr>
              <w:jc w:val="center"/>
              <w:rPr>
                <w:b/>
                <w:kern w:val="0"/>
                <w:szCs w:val="21"/>
              </w:rPr>
            </w:pPr>
            <w:r>
              <w:rPr>
                <w:rFonts w:hint="eastAsia"/>
                <w:b/>
                <w:kern w:val="0"/>
                <w:szCs w:val="21"/>
              </w:rPr>
              <w:t>账龄</w:t>
            </w:r>
          </w:p>
        </w:tc>
        <w:tc>
          <w:tcPr>
            <w:tcW w:w="832" w:type="pct"/>
          </w:tcPr>
          <w:p w:rsidR="009A43AA" w:rsidRDefault="009A43AA" w:rsidP="009A43AA">
            <w:pPr>
              <w:jc w:val="center"/>
              <w:rPr>
                <w:b/>
                <w:kern w:val="0"/>
                <w:szCs w:val="21"/>
              </w:rPr>
            </w:pPr>
            <w:r>
              <w:rPr>
                <w:rFonts w:hint="eastAsia"/>
                <w:b/>
                <w:kern w:val="0"/>
                <w:szCs w:val="21"/>
              </w:rPr>
              <w:t>2008</w:t>
            </w:r>
            <w:r>
              <w:rPr>
                <w:rFonts w:hint="eastAsia"/>
                <w:b/>
                <w:kern w:val="0"/>
                <w:szCs w:val="21"/>
              </w:rPr>
              <w:t>年</w:t>
            </w:r>
          </w:p>
        </w:tc>
        <w:tc>
          <w:tcPr>
            <w:tcW w:w="835" w:type="pct"/>
          </w:tcPr>
          <w:p w:rsidR="009A43AA" w:rsidRDefault="009A43AA" w:rsidP="009A43AA">
            <w:pPr>
              <w:jc w:val="center"/>
              <w:rPr>
                <w:b/>
                <w:kern w:val="0"/>
                <w:szCs w:val="21"/>
              </w:rPr>
            </w:pPr>
            <w:r>
              <w:rPr>
                <w:rFonts w:hint="eastAsia"/>
                <w:b/>
                <w:kern w:val="0"/>
                <w:szCs w:val="21"/>
              </w:rPr>
              <w:t>2009</w:t>
            </w:r>
            <w:r>
              <w:rPr>
                <w:rFonts w:hint="eastAsia"/>
                <w:b/>
                <w:kern w:val="0"/>
                <w:szCs w:val="21"/>
              </w:rPr>
              <w:t>年</w:t>
            </w:r>
          </w:p>
        </w:tc>
        <w:tc>
          <w:tcPr>
            <w:tcW w:w="835" w:type="pct"/>
          </w:tcPr>
          <w:p w:rsidR="009A43AA" w:rsidRDefault="009A43AA" w:rsidP="009A43AA">
            <w:pPr>
              <w:jc w:val="center"/>
              <w:rPr>
                <w:b/>
                <w:kern w:val="0"/>
                <w:szCs w:val="21"/>
              </w:rPr>
            </w:pPr>
            <w:r>
              <w:rPr>
                <w:rFonts w:hint="eastAsia"/>
                <w:b/>
                <w:kern w:val="0"/>
                <w:szCs w:val="21"/>
              </w:rPr>
              <w:t>2010</w:t>
            </w:r>
            <w:r>
              <w:rPr>
                <w:rFonts w:hint="eastAsia"/>
                <w:b/>
                <w:kern w:val="0"/>
                <w:szCs w:val="21"/>
              </w:rPr>
              <w:t>年</w:t>
            </w:r>
          </w:p>
        </w:tc>
        <w:tc>
          <w:tcPr>
            <w:tcW w:w="833" w:type="pct"/>
          </w:tcPr>
          <w:p w:rsidR="009A43AA" w:rsidRDefault="009A43AA" w:rsidP="009A43AA">
            <w:pPr>
              <w:jc w:val="center"/>
              <w:rPr>
                <w:b/>
                <w:kern w:val="0"/>
                <w:szCs w:val="21"/>
              </w:rPr>
            </w:pPr>
            <w:r>
              <w:rPr>
                <w:rFonts w:hint="eastAsia"/>
                <w:b/>
                <w:kern w:val="0"/>
                <w:szCs w:val="21"/>
              </w:rPr>
              <w:t>2011</w:t>
            </w:r>
            <w:r>
              <w:rPr>
                <w:rFonts w:hint="eastAsia"/>
                <w:b/>
                <w:kern w:val="0"/>
                <w:szCs w:val="21"/>
              </w:rPr>
              <w:t>年</w:t>
            </w:r>
          </w:p>
        </w:tc>
        <w:tc>
          <w:tcPr>
            <w:tcW w:w="833" w:type="pct"/>
          </w:tcPr>
          <w:p w:rsidR="009A43AA" w:rsidRDefault="009A43AA" w:rsidP="009A43AA">
            <w:pPr>
              <w:jc w:val="center"/>
              <w:rPr>
                <w:b/>
                <w:kern w:val="0"/>
                <w:szCs w:val="21"/>
              </w:rPr>
            </w:pPr>
            <w:r>
              <w:rPr>
                <w:rFonts w:hint="eastAsia"/>
                <w:b/>
                <w:kern w:val="0"/>
                <w:szCs w:val="21"/>
              </w:rPr>
              <w:t>2012</w:t>
            </w:r>
            <w:r>
              <w:rPr>
                <w:rFonts w:hint="eastAsia"/>
                <w:b/>
                <w:kern w:val="0"/>
                <w:szCs w:val="21"/>
              </w:rPr>
              <w:t>年</w:t>
            </w:r>
          </w:p>
        </w:tc>
      </w:tr>
      <w:tr w:rsidR="009A43AA">
        <w:trPr>
          <w:trHeight w:val="105"/>
        </w:trPr>
        <w:tc>
          <w:tcPr>
            <w:tcW w:w="416" w:type="pct"/>
            <w:vMerge w:val="restart"/>
          </w:tcPr>
          <w:p w:rsidR="009A43AA" w:rsidRDefault="009A43AA" w:rsidP="009A43AA">
            <w:pPr>
              <w:jc w:val="center"/>
              <w:rPr>
                <w:b/>
                <w:kern w:val="0"/>
                <w:szCs w:val="21"/>
              </w:rPr>
            </w:pPr>
            <w:r>
              <w:rPr>
                <w:rFonts w:hint="eastAsia"/>
                <w:b/>
                <w:kern w:val="0"/>
                <w:szCs w:val="21"/>
              </w:rPr>
              <w:t>1</w:t>
            </w:r>
            <w:r>
              <w:rPr>
                <w:rFonts w:hint="eastAsia"/>
                <w:b/>
                <w:kern w:val="0"/>
                <w:szCs w:val="21"/>
              </w:rPr>
              <w:t>年以内</w:t>
            </w:r>
          </w:p>
        </w:tc>
        <w:tc>
          <w:tcPr>
            <w:tcW w:w="416" w:type="pct"/>
          </w:tcPr>
          <w:p w:rsidR="009A43AA" w:rsidRDefault="009A43AA" w:rsidP="009A43AA">
            <w:pPr>
              <w:jc w:val="center"/>
              <w:rPr>
                <w:b/>
                <w:kern w:val="0"/>
                <w:szCs w:val="21"/>
              </w:rPr>
            </w:pPr>
            <w:r>
              <w:rPr>
                <w:rFonts w:hint="eastAsia"/>
                <w:b/>
                <w:kern w:val="0"/>
                <w:szCs w:val="21"/>
              </w:rPr>
              <w:t>账面余额</w:t>
            </w:r>
          </w:p>
        </w:tc>
        <w:tc>
          <w:tcPr>
            <w:tcW w:w="832" w:type="pct"/>
            <w:shd w:val="clear" w:color="auto" w:fill="auto"/>
          </w:tcPr>
          <w:p w:rsidR="009A43AA" w:rsidRPr="00A92F19" w:rsidRDefault="009A43AA" w:rsidP="009A43AA">
            <w:pPr>
              <w:jc w:val="center"/>
              <w:rPr>
                <w:b/>
                <w:kern w:val="0"/>
                <w:szCs w:val="21"/>
              </w:rPr>
            </w:pPr>
            <w:r w:rsidRPr="00A92F19">
              <w:rPr>
                <w:b/>
                <w:kern w:val="0"/>
                <w:szCs w:val="21"/>
              </w:rPr>
              <w:t>799,734,670</w:t>
            </w:r>
          </w:p>
        </w:tc>
        <w:tc>
          <w:tcPr>
            <w:tcW w:w="835" w:type="pct"/>
            <w:shd w:val="clear" w:color="auto" w:fill="auto"/>
          </w:tcPr>
          <w:p w:rsidR="009A43AA" w:rsidRPr="00B64FB4" w:rsidRDefault="009A43AA" w:rsidP="009A43AA">
            <w:pPr>
              <w:jc w:val="center"/>
              <w:rPr>
                <w:b/>
                <w:kern w:val="0"/>
                <w:szCs w:val="21"/>
              </w:rPr>
            </w:pPr>
            <w:r w:rsidRPr="00B64FB4">
              <w:rPr>
                <w:b/>
                <w:kern w:val="0"/>
                <w:szCs w:val="21"/>
              </w:rPr>
              <w:t>1,215,149,425</w:t>
            </w:r>
          </w:p>
        </w:tc>
        <w:tc>
          <w:tcPr>
            <w:tcW w:w="835" w:type="pct"/>
            <w:shd w:val="clear" w:color="auto" w:fill="auto"/>
          </w:tcPr>
          <w:p w:rsidR="009A43AA" w:rsidRPr="00FE5136" w:rsidRDefault="009A43AA" w:rsidP="009A43AA">
            <w:pPr>
              <w:jc w:val="center"/>
              <w:rPr>
                <w:b/>
                <w:kern w:val="0"/>
                <w:szCs w:val="21"/>
              </w:rPr>
            </w:pPr>
            <w:r w:rsidRPr="00FE5136">
              <w:rPr>
                <w:b/>
                <w:kern w:val="0"/>
                <w:szCs w:val="21"/>
              </w:rPr>
              <w:t>2,209,027,612</w:t>
            </w:r>
          </w:p>
        </w:tc>
        <w:tc>
          <w:tcPr>
            <w:tcW w:w="833" w:type="pct"/>
            <w:shd w:val="clear" w:color="auto" w:fill="auto"/>
          </w:tcPr>
          <w:p w:rsidR="009A43AA" w:rsidRPr="0054572B" w:rsidRDefault="009A43AA" w:rsidP="009A43AA">
            <w:pPr>
              <w:jc w:val="center"/>
              <w:rPr>
                <w:b/>
                <w:kern w:val="0"/>
                <w:szCs w:val="21"/>
              </w:rPr>
            </w:pPr>
            <w:r>
              <w:rPr>
                <w:b/>
                <w:kern w:val="0"/>
                <w:szCs w:val="21"/>
              </w:rPr>
              <w:t>3,208 ,989,7</w:t>
            </w:r>
            <w:r w:rsidRPr="0054572B">
              <w:rPr>
                <w:b/>
                <w:kern w:val="0"/>
                <w:szCs w:val="21"/>
              </w:rPr>
              <w:t xml:space="preserve">56 </w:t>
            </w:r>
          </w:p>
        </w:tc>
        <w:tc>
          <w:tcPr>
            <w:tcW w:w="833" w:type="pct"/>
            <w:shd w:val="clear" w:color="auto" w:fill="auto"/>
          </w:tcPr>
          <w:p w:rsidR="009A43AA" w:rsidRPr="007345DF" w:rsidRDefault="009A43AA" w:rsidP="009A43AA">
            <w:pPr>
              <w:jc w:val="center"/>
              <w:rPr>
                <w:b/>
                <w:kern w:val="0"/>
                <w:szCs w:val="21"/>
              </w:rPr>
            </w:pPr>
            <w:r w:rsidRPr="007345DF">
              <w:rPr>
                <w:b/>
                <w:kern w:val="0"/>
                <w:szCs w:val="21"/>
              </w:rPr>
              <w:t>4,268,618,832</w:t>
            </w:r>
          </w:p>
        </w:tc>
      </w:tr>
      <w:tr w:rsidR="009A43AA">
        <w:trPr>
          <w:trHeight w:val="105"/>
        </w:trPr>
        <w:tc>
          <w:tcPr>
            <w:tcW w:w="416" w:type="pct"/>
            <w:vMerge/>
          </w:tcPr>
          <w:p w:rsidR="009A43AA" w:rsidRDefault="009A43AA" w:rsidP="009A43AA">
            <w:pPr>
              <w:jc w:val="center"/>
              <w:rPr>
                <w:b/>
                <w:kern w:val="0"/>
                <w:szCs w:val="21"/>
              </w:rPr>
            </w:pPr>
          </w:p>
        </w:tc>
        <w:tc>
          <w:tcPr>
            <w:tcW w:w="416" w:type="pct"/>
          </w:tcPr>
          <w:p w:rsidR="009A43AA" w:rsidRDefault="009A43AA" w:rsidP="009A43AA">
            <w:pPr>
              <w:jc w:val="center"/>
              <w:rPr>
                <w:b/>
                <w:kern w:val="0"/>
                <w:szCs w:val="21"/>
              </w:rPr>
            </w:pPr>
            <w:r>
              <w:rPr>
                <w:rFonts w:hint="eastAsia"/>
                <w:b/>
                <w:kern w:val="0"/>
                <w:szCs w:val="21"/>
              </w:rPr>
              <w:t>坏账准备</w:t>
            </w:r>
          </w:p>
        </w:tc>
        <w:tc>
          <w:tcPr>
            <w:tcW w:w="832" w:type="pct"/>
            <w:shd w:val="clear" w:color="auto" w:fill="auto"/>
          </w:tcPr>
          <w:p w:rsidR="009A43AA" w:rsidRPr="00FB1AB7" w:rsidRDefault="009A43AA" w:rsidP="009A43AA">
            <w:pPr>
              <w:jc w:val="center"/>
              <w:rPr>
                <w:b/>
                <w:kern w:val="0"/>
                <w:szCs w:val="21"/>
              </w:rPr>
            </w:pPr>
            <w:r w:rsidRPr="00FB1AB7">
              <w:rPr>
                <w:b/>
                <w:kern w:val="0"/>
                <w:szCs w:val="21"/>
              </w:rPr>
              <w:t>39,986,733</w:t>
            </w:r>
          </w:p>
        </w:tc>
        <w:tc>
          <w:tcPr>
            <w:tcW w:w="835" w:type="pct"/>
            <w:shd w:val="clear" w:color="auto" w:fill="auto"/>
          </w:tcPr>
          <w:p w:rsidR="009A43AA" w:rsidRPr="00B64FB4" w:rsidRDefault="009A43AA" w:rsidP="009A43AA">
            <w:pPr>
              <w:jc w:val="center"/>
              <w:rPr>
                <w:b/>
                <w:kern w:val="0"/>
                <w:szCs w:val="21"/>
              </w:rPr>
            </w:pPr>
            <w:r w:rsidRPr="00B64FB4">
              <w:rPr>
                <w:b/>
                <w:kern w:val="0"/>
                <w:szCs w:val="21"/>
              </w:rPr>
              <w:t>60,757,471</w:t>
            </w:r>
          </w:p>
        </w:tc>
        <w:tc>
          <w:tcPr>
            <w:tcW w:w="835" w:type="pct"/>
            <w:shd w:val="clear" w:color="auto" w:fill="auto"/>
          </w:tcPr>
          <w:p w:rsidR="009A43AA" w:rsidRPr="00FE5136" w:rsidRDefault="009A43AA" w:rsidP="009A43AA">
            <w:pPr>
              <w:jc w:val="center"/>
              <w:rPr>
                <w:b/>
                <w:kern w:val="0"/>
                <w:szCs w:val="21"/>
              </w:rPr>
            </w:pPr>
            <w:r w:rsidRPr="00FE5136">
              <w:rPr>
                <w:b/>
                <w:kern w:val="0"/>
                <w:szCs w:val="21"/>
              </w:rPr>
              <w:t>110,451,380</w:t>
            </w:r>
          </w:p>
        </w:tc>
        <w:tc>
          <w:tcPr>
            <w:tcW w:w="833" w:type="pct"/>
            <w:shd w:val="clear" w:color="auto" w:fill="auto"/>
          </w:tcPr>
          <w:p w:rsidR="009A43AA" w:rsidRPr="004273C6" w:rsidRDefault="009A43AA" w:rsidP="009A43AA">
            <w:pPr>
              <w:jc w:val="center"/>
              <w:rPr>
                <w:b/>
                <w:kern w:val="0"/>
                <w:szCs w:val="21"/>
              </w:rPr>
            </w:pPr>
            <w:r>
              <w:rPr>
                <w:b/>
                <w:kern w:val="0"/>
                <w:szCs w:val="21"/>
              </w:rPr>
              <w:t>160 ,426 ,38</w:t>
            </w:r>
            <w:r w:rsidRPr="006C0A39">
              <w:rPr>
                <w:b/>
                <w:kern w:val="0"/>
                <w:szCs w:val="21"/>
              </w:rPr>
              <w:t>8</w:t>
            </w:r>
          </w:p>
        </w:tc>
        <w:tc>
          <w:tcPr>
            <w:tcW w:w="833" w:type="pct"/>
            <w:shd w:val="clear" w:color="auto" w:fill="auto"/>
          </w:tcPr>
          <w:p w:rsidR="009A43AA" w:rsidRPr="007345DF" w:rsidRDefault="009A43AA" w:rsidP="009A43AA">
            <w:pPr>
              <w:jc w:val="center"/>
              <w:rPr>
                <w:b/>
                <w:kern w:val="0"/>
                <w:szCs w:val="21"/>
              </w:rPr>
            </w:pPr>
            <w:r w:rsidRPr="007345DF">
              <w:rPr>
                <w:b/>
                <w:kern w:val="0"/>
                <w:szCs w:val="21"/>
              </w:rPr>
              <w:t>213,430,941</w:t>
            </w:r>
          </w:p>
        </w:tc>
      </w:tr>
      <w:tr w:rsidR="009A43AA">
        <w:trPr>
          <w:trHeight w:val="105"/>
        </w:trPr>
        <w:tc>
          <w:tcPr>
            <w:tcW w:w="416" w:type="pct"/>
            <w:vMerge/>
          </w:tcPr>
          <w:p w:rsidR="009A43AA" w:rsidRDefault="009A43AA" w:rsidP="009A43AA">
            <w:pPr>
              <w:jc w:val="center"/>
              <w:rPr>
                <w:b/>
                <w:kern w:val="0"/>
                <w:szCs w:val="21"/>
              </w:rPr>
            </w:pPr>
          </w:p>
        </w:tc>
        <w:tc>
          <w:tcPr>
            <w:tcW w:w="416" w:type="pct"/>
          </w:tcPr>
          <w:p w:rsidR="009A43AA" w:rsidRDefault="009A43AA" w:rsidP="009A43AA">
            <w:pPr>
              <w:jc w:val="center"/>
              <w:rPr>
                <w:b/>
                <w:kern w:val="0"/>
                <w:szCs w:val="21"/>
              </w:rPr>
            </w:pPr>
            <w:r>
              <w:rPr>
                <w:rFonts w:hint="eastAsia"/>
                <w:b/>
                <w:kern w:val="0"/>
                <w:szCs w:val="21"/>
              </w:rPr>
              <w:t>计提比率</w:t>
            </w:r>
          </w:p>
        </w:tc>
        <w:tc>
          <w:tcPr>
            <w:tcW w:w="832" w:type="pct"/>
            <w:shd w:val="clear" w:color="auto" w:fill="auto"/>
          </w:tcPr>
          <w:p w:rsidR="009A43AA" w:rsidRDefault="009A43AA" w:rsidP="009A43AA">
            <w:pPr>
              <w:jc w:val="center"/>
              <w:rPr>
                <w:b/>
                <w:kern w:val="0"/>
                <w:szCs w:val="21"/>
              </w:rPr>
            </w:pPr>
            <w:r>
              <w:rPr>
                <w:rFonts w:hint="eastAsia"/>
                <w:b/>
                <w:kern w:val="0"/>
                <w:szCs w:val="21"/>
              </w:rPr>
              <w:t>5.00%</w:t>
            </w:r>
          </w:p>
        </w:tc>
        <w:tc>
          <w:tcPr>
            <w:tcW w:w="835" w:type="pct"/>
            <w:shd w:val="clear" w:color="auto" w:fill="auto"/>
          </w:tcPr>
          <w:p w:rsidR="009A43AA" w:rsidRDefault="009A43AA" w:rsidP="009A43AA">
            <w:pPr>
              <w:jc w:val="center"/>
              <w:rPr>
                <w:b/>
                <w:kern w:val="0"/>
                <w:szCs w:val="21"/>
              </w:rPr>
            </w:pPr>
            <w:r>
              <w:rPr>
                <w:rFonts w:hint="eastAsia"/>
                <w:b/>
                <w:kern w:val="0"/>
                <w:szCs w:val="21"/>
              </w:rPr>
              <w:t>5.00%</w:t>
            </w:r>
          </w:p>
        </w:tc>
        <w:tc>
          <w:tcPr>
            <w:tcW w:w="835" w:type="pct"/>
            <w:shd w:val="clear" w:color="auto" w:fill="auto"/>
          </w:tcPr>
          <w:p w:rsidR="009A43AA" w:rsidRDefault="009A43AA" w:rsidP="009A43AA">
            <w:pPr>
              <w:jc w:val="center"/>
              <w:rPr>
                <w:b/>
                <w:kern w:val="0"/>
                <w:szCs w:val="21"/>
              </w:rPr>
            </w:pPr>
            <w:r>
              <w:rPr>
                <w:rFonts w:hint="eastAsia"/>
                <w:b/>
                <w:kern w:val="0"/>
                <w:szCs w:val="21"/>
              </w:rPr>
              <w:t>5%</w:t>
            </w:r>
          </w:p>
        </w:tc>
        <w:tc>
          <w:tcPr>
            <w:tcW w:w="833" w:type="pct"/>
            <w:shd w:val="clear" w:color="auto" w:fill="auto"/>
          </w:tcPr>
          <w:p w:rsidR="009A43AA" w:rsidRDefault="009A43AA" w:rsidP="009A43AA">
            <w:pPr>
              <w:jc w:val="center"/>
              <w:rPr>
                <w:b/>
                <w:kern w:val="0"/>
                <w:szCs w:val="21"/>
              </w:rPr>
            </w:pPr>
            <w:r>
              <w:rPr>
                <w:rFonts w:hint="eastAsia"/>
                <w:b/>
                <w:kern w:val="0"/>
                <w:szCs w:val="21"/>
              </w:rPr>
              <w:t>5.00%</w:t>
            </w:r>
          </w:p>
        </w:tc>
        <w:tc>
          <w:tcPr>
            <w:tcW w:w="833" w:type="pct"/>
            <w:shd w:val="clear" w:color="auto" w:fill="auto"/>
          </w:tcPr>
          <w:p w:rsidR="009A43AA" w:rsidRDefault="009A43AA" w:rsidP="009A43AA">
            <w:pPr>
              <w:jc w:val="center"/>
              <w:rPr>
                <w:b/>
                <w:kern w:val="0"/>
                <w:szCs w:val="21"/>
              </w:rPr>
            </w:pPr>
            <w:r>
              <w:rPr>
                <w:rFonts w:hint="eastAsia"/>
                <w:b/>
                <w:kern w:val="0"/>
                <w:szCs w:val="21"/>
              </w:rPr>
              <w:t>5.00%</w:t>
            </w:r>
          </w:p>
        </w:tc>
      </w:tr>
      <w:tr w:rsidR="009A43AA">
        <w:trPr>
          <w:trHeight w:val="413"/>
        </w:trPr>
        <w:tc>
          <w:tcPr>
            <w:tcW w:w="416" w:type="pct"/>
            <w:vMerge w:val="restart"/>
          </w:tcPr>
          <w:p w:rsidR="009A43AA" w:rsidRDefault="009A43AA" w:rsidP="009A43AA">
            <w:pPr>
              <w:jc w:val="center"/>
              <w:rPr>
                <w:b/>
                <w:kern w:val="0"/>
                <w:szCs w:val="21"/>
              </w:rPr>
            </w:pPr>
            <w:r>
              <w:rPr>
                <w:rFonts w:hint="eastAsia"/>
                <w:b/>
                <w:kern w:val="0"/>
                <w:szCs w:val="21"/>
              </w:rPr>
              <w:lastRenderedPageBreak/>
              <w:t>1</w:t>
            </w:r>
            <w:r>
              <w:rPr>
                <w:rFonts w:hint="eastAsia"/>
                <w:b/>
                <w:kern w:val="0"/>
                <w:szCs w:val="21"/>
              </w:rPr>
              <w:t>—</w:t>
            </w:r>
            <w:r>
              <w:rPr>
                <w:rFonts w:hint="eastAsia"/>
                <w:b/>
                <w:kern w:val="0"/>
                <w:szCs w:val="21"/>
              </w:rPr>
              <w:t>2</w:t>
            </w:r>
            <w:r>
              <w:rPr>
                <w:rFonts w:hint="eastAsia"/>
                <w:b/>
                <w:kern w:val="0"/>
                <w:szCs w:val="21"/>
              </w:rPr>
              <w:t>年</w:t>
            </w:r>
          </w:p>
        </w:tc>
        <w:tc>
          <w:tcPr>
            <w:tcW w:w="416" w:type="pct"/>
          </w:tcPr>
          <w:p w:rsidR="009A43AA" w:rsidRDefault="009A43AA" w:rsidP="009A43AA">
            <w:pPr>
              <w:jc w:val="center"/>
              <w:rPr>
                <w:b/>
                <w:kern w:val="0"/>
                <w:szCs w:val="21"/>
              </w:rPr>
            </w:pPr>
            <w:r>
              <w:rPr>
                <w:rFonts w:hint="eastAsia"/>
                <w:b/>
                <w:kern w:val="0"/>
                <w:szCs w:val="21"/>
              </w:rPr>
              <w:t>账面余额</w:t>
            </w:r>
          </w:p>
        </w:tc>
        <w:tc>
          <w:tcPr>
            <w:tcW w:w="832" w:type="pct"/>
          </w:tcPr>
          <w:p w:rsidR="009A43AA" w:rsidRPr="00FB1AB7" w:rsidRDefault="009A43AA" w:rsidP="009A43AA">
            <w:pPr>
              <w:jc w:val="center"/>
              <w:rPr>
                <w:b/>
                <w:kern w:val="0"/>
                <w:szCs w:val="21"/>
              </w:rPr>
            </w:pPr>
            <w:r w:rsidRPr="00FB1AB7">
              <w:rPr>
                <w:b/>
                <w:kern w:val="0"/>
                <w:szCs w:val="21"/>
              </w:rPr>
              <w:t>23,792,851</w:t>
            </w:r>
          </w:p>
        </w:tc>
        <w:tc>
          <w:tcPr>
            <w:tcW w:w="835" w:type="pct"/>
          </w:tcPr>
          <w:p w:rsidR="009A43AA" w:rsidRPr="00B64FB4" w:rsidRDefault="009A43AA" w:rsidP="009A43AA">
            <w:pPr>
              <w:jc w:val="center"/>
              <w:rPr>
                <w:b/>
                <w:kern w:val="0"/>
                <w:szCs w:val="21"/>
              </w:rPr>
            </w:pPr>
            <w:r w:rsidRPr="00B64FB4">
              <w:rPr>
                <w:b/>
                <w:kern w:val="0"/>
                <w:szCs w:val="21"/>
              </w:rPr>
              <w:t>42,366,223</w:t>
            </w:r>
          </w:p>
        </w:tc>
        <w:tc>
          <w:tcPr>
            <w:tcW w:w="835" w:type="pct"/>
          </w:tcPr>
          <w:p w:rsidR="009A43AA" w:rsidRPr="00FE5136" w:rsidRDefault="009A43AA" w:rsidP="009A43AA">
            <w:pPr>
              <w:jc w:val="center"/>
              <w:rPr>
                <w:b/>
                <w:kern w:val="0"/>
                <w:szCs w:val="21"/>
              </w:rPr>
            </w:pPr>
            <w:r w:rsidRPr="00FE5136">
              <w:rPr>
                <w:b/>
                <w:kern w:val="0"/>
                <w:szCs w:val="21"/>
              </w:rPr>
              <w:t>17,166,738</w:t>
            </w:r>
          </w:p>
        </w:tc>
        <w:tc>
          <w:tcPr>
            <w:tcW w:w="833" w:type="pct"/>
          </w:tcPr>
          <w:p w:rsidR="009A43AA" w:rsidRPr="006C0A39" w:rsidRDefault="009A43AA" w:rsidP="009A43AA">
            <w:pPr>
              <w:jc w:val="center"/>
              <w:rPr>
                <w:b/>
                <w:kern w:val="0"/>
                <w:szCs w:val="21"/>
              </w:rPr>
            </w:pPr>
            <w:r>
              <w:rPr>
                <w:b/>
                <w:kern w:val="0"/>
                <w:szCs w:val="21"/>
              </w:rPr>
              <w:t>18,139,28</w:t>
            </w:r>
            <w:r w:rsidRPr="006C0A39">
              <w:rPr>
                <w:b/>
                <w:kern w:val="0"/>
                <w:szCs w:val="21"/>
              </w:rPr>
              <w:t>1</w:t>
            </w:r>
          </w:p>
        </w:tc>
        <w:tc>
          <w:tcPr>
            <w:tcW w:w="833" w:type="pct"/>
          </w:tcPr>
          <w:p w:rsidR="009A43AA" w:rsidRPr="007345DF" w:rsidRDefault="009A43AA" w:rsidP="009A43AA">
            <w:pPr>
              <w:jc w:val="center"/>
              <w:rPr>
                <w:b/>
                <w:kern w:val="0"/>
                <w:szCs w:val="21"/>
              </w:rPr>
            </w:pPr>
            <w:r w:rsidRPr="007345DF">
              <w:rPr>
                <w:b/>
                <w:kern w:val="0"/>
                <w:szCs w:val="21"/>
              </w:rPr>
              <w:t>132,415,422</w:t>
            </w:r>
          </w:p>
        </w:tc>
      </w:tr>
      <w:tr w:rsidR="009A43AA">
        <w:trPr>
          <w:trHeight w:val="105"/>
        </w:trPr>
        <w:tc>
          <w:tcPr>
            <w:tcW w:w="416" w:type="pct"/>
            <w:vMerge/>
          </w:tcPr>
          <w:p w:rsidR="009A43AA" w:rsidRDefault="009A43AA" w:rsidP="009A43AA">
            <w:pPr>
              <w:jc w:val="center"/>
              <w:rPr>
                <w:b/>
                <w:kern w:val="0"/>
                <w:szCs w:val="21"/>
              </w:rPr>
            </w:pPr>
          </w:p>
        </w:tc>
        <w:tc>
          <w:tcPr>
            <w:tcW w:w="416" w:type="pct"/>
          </w:tcPr>
          <w:p w:rsidR="009A43AA" w:rsidRDefault="009A43AA" w:rsidP="009A43AA">
            <w:pPr>
              <w:jc w:val="center"/>
              <w:rPr>
                <w:b/>
                <w:kern w:val="0"/>
                <w:szCs w:val="21"/>
              </w:rPr>
            </w:pPr>
            <w:r>
              <w:rPr>
                <w:rFonts w:hint="eastAsia"/>
                <w:b/>
                <w:kern w:val="0"/>
                <w:szCs w:val="21"/>
              </w:rPr>
              <w:t>坏账准备</w:t>
            </w:r>
          </w:p>
        </w:tc>
        <w:tc>
          <w:tcPr>
            <w:tcW w:w="832" w:type="pct"/>
          </w:tcPr>
          <w:p w:rsidR="009A43AA" w:rsidRPr="00FB1AB7" w:rsidRDefault="009A43AA" w:rsidP="009A43AA">
            <w:pPr>
              <w:jc w:val="center"/>
              <w:rPr>
                <w:b/>
                <w:kern w:val="0"/>
                <w:szCs w:val="21"/>
              </w:rPr>
            </w:pPr>
            <w:r w:rsidRPr="00FB1AB7">
              <w:rPr>
                <w:b/>
                <w:kern w:val="0"/>
                <w:szCs w:val="21"/>
              </w:rPr>
              <w:t>1,189,642</w:t>
            </w:r>
          </w:p>
        </w:tc>
        <w:tc>
          <w:tcPr>
            <w:tcW w:w="835" w:type="pct"/>
          </w:tcPr>
          <w:p w:rsidR="009A43AA" w:rsidRPr="00B64FB4" w:rsidRDefault="009A43AA" w:rsidP="009A43AA">
            <w:pPr>
              <w:jc w:val="center"/>
              <w:rPr>
                <w:b/>
                <w:kern w:val="0"/>
                <w:szCs w:val="21"/>
              </w:rPr>
            </w:pPr>
            <w:r w:rsidRPr="00B64FB4">
              <w:rPr>
                <w:b/>
                <w:kern w:val="0"/>
                <w:szCs w:val="21"/>
              </w:rPr>
              <w:t>2,118,311</w:t>
            </w:r>
          </w:p>
        </w:tc>
        <w:tc>
          <w:tcPr>
            <w:tcW w:w="835" w:type="pct"/>
          </w:tcPr>
          <w:p w:rsidR="009A43AA" w:rsidRPr="00FE5136" w:rsidRDefault="009A43AA" w:rsidP="009A43AA">
            <w:pPr>
              <w:jc w:val="center"/>
              <w:rPr>
                <w:b/>
                <w:kern w:val="0"/>
                <w:szCs w:val="21"/>
              </w:rPr>
            </w:pPr>
            <w:r w:rsidRPr="00FE5136">
              <w:rPr>
                <w:b/>
                <w:kern w:val="0"/>
                <w:szCs w:val="21"/>
              </w:rPr>
              <w:t>858,336</w:t>
            </w:r>
          </w:p>
        </w:tc>
        <w:tc>
          <w:tcPr>
            <w:tcW w:w="833" w:type="pct"/>
          </w:tcPr>
          <w:p w:rsidR="009A43AA" w:rsidRPr="006C0A39" w:rsidRDefault="009A43AA" w:rsidP="009A43AA">
            <w:pPr>
              <w:jc w:val="center"/>
              <w:rPr>
                <w:b/>
                <w:kern w:val="0"/>
                <w:szCs w:val="21"/>
              </w:rPr>
            </w:pPr>
            <w:r>
              <w:rPr>
                <w:b/>
                <w:kern w:val="0"/>
                <w:szCs w:val="21"/>
              </w:rPr>
              <w:t>906,96</w:t>
            </w:r>
            <w:r w:rsidRPr="006C0A39">
              <w:rPr>
                <w:b/>
                <w:kern w:val="0"/>
                <w:szCs w:val="21"/>
              </w:rPr>
              <w:t xml:space="preserve">4  </w:t>
            </w:r>
          </w:p>
        </w:tc>
        <w:tc>
          <w:tcPr>
            <w:tcW w:w="833" w:type="pct"/>
          </w:tcPr>
          <w:p w:rsidR="009A43AA" w:rsidRPr="007345DF" w:rsidRDefault="009A43AA" w:rsidP="009A43AA">
            <w:pPr>
              <w:jc w:val="center"/>
              <w:rPr>
                <w:b/>
                <w:kern w:val="0"/>
                <w:szCs w:val="21"/>
              </w:rPr>
            </w:pPr>
            <w:r w:rsidRPr="007345DF">
              <w:rPr>
                <w:b/>
                <w:kern w:val="0"/>
                <w:szCs w:val="21"/>
              </w:rPr>
              <w:t>6,620,771</w:t>
            </w:r>
          </w:p>
        </w:tc>
      </w:tr>
      <w:tr w:rsidR="009A43AA">
        <w:trPr>
          <w:trHeight w:val="105"/>
        </w:trPr>
        <w:tc>
          <w:tcPr>
            <w:tcW w:w="416" w:type="pct"/>
            <w:vMerge/>
          </w:tcPr>
          <w:p w:rsidR="009A43AA" w:rsidRDefault="009A43AA" w:rsidP="009A43AA">
            <w:pPr>
              <w:jc w:val="center"/>
              <w:rPr>
                <w:b/>
                <w:kern w:val="0"/>
                <w:szCs w:val="21"/>
              </w:rPr>
            </w:pPr>
          </w:p>
        </w:tc>
        <w:tc>
          <w:tcPr>
            <w:tcW w:w="416" w:type="pct"/>
          </w:tcPr>
          <w:p w:rsidR="009A43AA" w:rsidRDefault="009A43AA" w:rsidP="009A43AA">
            <w:pPr>
              <w:jc w:val="center"/>
              <w:rPr>
                <w:b/>
                <w:kern w:val="0"/>
                <w:szCs w:val="21"/>
              </w:rPr>
            </w:pPr>
            <w:r>
              <w:rPr>
                <w:rFonts w:hint="eastAsia"/>
                <w:b/>
                <w:kern w:val="0"/>
                <w:szCs w:val="21"/>
              </w:rPr>
              <w:t>计提比率</w:t>
            </w:r>
          </w:p>
        </w:tc>
        <w:tc>
          <w:tcPr>
            <w:tcW w:w="832" w:type="pct"/>
          </w:tcPr>
          <w:p w:rsidR="009A43AA" w:rsidRDefault="009A43AA" w:rsidP="009A43AA">
            <w:pPr>
              <w:jc w:val="center"/>
              <w:rPr>
                <w:b/>
                <w:kern w:val="0"/>
                <w:szCs w:val="21"/>
              </w:rPr>
            </w:pPr>
            <w:r>
              <w:rPr>
                <w:rFonts w:hint="eastAsia"/>
                <w:b/>
                <w:kern w:val="0"/>
                <w:szCs w:val="21"/>
              </w:rPr>
              <w:t>5.00%</w:t>
            </w:r>
          </w:p>
        </w:tc>
        <w:tc>
          <w:tcPr>
            <w:tcW w:w="835" w:type="pct"/>
          </w:tcPr>
          <w:p w:rsidR="009A43AA" w:rsidRDefault="009A43AA" w:rsidP="009A43AA">
            <w:pPr>
              <w:jc w:val="center"/>
              <w:rPr>
                <w:b/>
                <w:kern w:val="0"/>
                <w:szCs w:val="21"/>
              </w:rPr>
            </w:pPr>
            <w:r>
              <w:rPr>
                <w:rFonts w:hint="eastAsia"/>
                <w:b/>
                <w:kern w:val="0"/>
                <w:szCs w:val="21"/>
              </w:rPr>
              <w:t>5.00%</w:t>
            </w:r>
          </w:p>
        </w:tc>
        <w:tc>
          <w:tcPr>
            <w:tcW w:w="835" w:type="pct"/>
          </w:tcPr>
          <w:p w:rsidR="009A43AA" w:rsidRDefault="009A43AA" w:rsidP="009A43AA">
            <w:pPr>
              <w:jc w:val="center"/>
              <w:rPr>
                <w:b/>
                <w:kern w:val="0"/>
                <w:szCs w:val="21"/>
              </w:rPr>
            </w:pPr>
            <w:r>
              <w:rPr>
                <w:rFonts w:hint="eastAsia"/>
                <w:b/>
                <w:kern w:val="0"/>
                <w:szCs w:val="21"/>
              </w:rPr>
              <w:t>5.00%</w:t>
            </w:r>
          </w:p>
        </w:tc>
        <w:tc>
          <w:tcPr>
            <w:tcW w:w="833" w:type="pct"/>
          </w:tcPr>
          <w:p w:rsidR="009A43AA" w:rsidRDefault="009A43AA" w:rsidP="009A43AA">
            <w:pPr>
              <w:jc w:val="center"/>
              <w:rPr>
                <w:b/>
                <w:kern w:val="0"/>
                <w:szCs w:val="21"/>
              </w:rPr>
            </w:pPr>
            <w:r>
              <w:rPr>
                <w:rFonts w:hint="eastAsia"/>
                <w:b/>
                <w:kern w:val="0"/>
                <w:szCs w:val="21"/>
              </w:rPr>
              <w:t>5.00%</w:t>
            </w:r>
          </w:p>
        </w:tc>
        <w:tc>
          <w:tcPr>
            <w:tcW w:w="833" w:type="pct"/>
          </w:tcPr>
          <w:p w:rsidR="009A43AA" w:rsidRDefault="009A43AA" w:rsidP="009A43AA">
            <w:pPr>
              <w:jc w:val="center"/>
              <w:rPr>
                <w:b/>
                <w:kern w:val="0"/>
                <w:szCs w:val="21"/>
              </w:rPr>
            </w:pPr>
            <w:r>
              <w:rPr>
                <w:rFonts w:hint="eastAsia"/>
                <w:b/>
                <w:kern w:val="0"/>
                <w:szCs w:val="21"/>
              </w:rPr>
              <w:t>5.00%</w:t>
            </w:r>
          </w:p>
        </w:tc>
      </w:tr>
      <w:tr w:rsidR="009A43AA">
        <w:trPr>
          <w:trHeight w:val="105"/>
        </w:trPr>
        <w:tc>
          <w:tcPr>
            <w:tcW w:w="416" w:type="pct"/>
            <w:vMerge w:val="restart"/>
          </w:tcPr>
          <w:p w:rsidR="009A43AA" w:rsidRDefault="009A43AA" w:rsidP="009A43AA">
            <w:pPr>
              <w:jc w:val="center"/>
              <w:rPr>
                <w:b/>
                <w:kern w:val="0"/>
                <w:szCs w:val="21"/>
              </w:rPr>
            </w:pPr>
            <w:r>
              <w:rPr>
                <w:rFonts w:hint="eastAsia"/>
                <w:b/>
                <w:kern w:val="0"/>
                <w:szCs w:val="21"/>
              </w:rPr>
              <w:t>2</w:t>
            </w:r>
            <w:r>
              <w:rPr>
                <w:rFonts w:hint="eastAsia"/>
                <w:b/>
                <w:kern w:val="0"/>
                <w:szCs w:val="21"/>
              </w:rPr>
              <w:t>—</w:t>
            </w:r>
            <w:r>
              <w:rPr>
                <w:rFonts w:hint="eastAsia"/>
                <w:b/>
                <w:kern w:val="0"/>
                <w:szCs w:val="21"/>
              </w:rPr>
              <w:t>3</w:t>
            </w:r>
            <w:r>
              <w:rPr>
                <w:rFonts w:hint="eastAsia"/>
                <w:b/>
                <w:kern w:val="0"/>
                <w:szCs w:val="21"/>
              </w:rPr>
              <w:t>年</w:t>
            </w:r>
          </w:p>
        </w:tc>
        <w:tc>
          <w:tcPr>
            <w:tcW w:w="416" w:type="pct"/>
          </w:tcPr>
          <w:p w:rsidR="009A43AA" w:rsidRDefault="009A43AA" w:rsidP="009A43AA">
            <w:pPr>
              <w:jc w:val="center"/>
              <w:rPr>
                <w:b/>
                <w:kern w:val="0"/>
                <w:szCs w:val="21"/>
              </w:rPr>
            </w:pPr>
            <w:r>
              <w:rPr>
                <w:rFonts w:hint="eastAsia"/>
                <w:b/>
                <w:kern w:val="0"/>
                <w:szCs w:val="21"/>
              </w:rPr>
              <w:t>账面余额</w:t>
            </w:r>
          </w:p>
        </w:tc>
        <w:tc>
          <w:tcPr>
            <w:tcW w:w="832" w:type="pct"/>
            <w:shd w:val="clear" w:color="auto" w:fill="auto"/>
          </w:tcPr>
          <w:p w:rsidR="009A43AA" w:rsidRPr="00FB1AB7" w:rsidRDefault="009A43AA" w:rsidP="009A43AA">
            <w:pPr>
              <w:jc w:val="center"/>
              <w:rPr>
                <w:b/>
                <w:kern w:val="0"/>
                <w:szCs w:val="21"/>
              </w:rPr>
            </w:pPr>
            <w:r w:rsidRPr="00FB1AB7">
              <w:rPr>
                <w:b/>
                <w:kern w:val="0"/>
                <w:szCs w:val="21"/>
              </w:rPr>
              <w:t>12,762,179</w:t>
            </w:r>
          </w:p>
        </w:tc>
        <w:tc>
          <w:tcPr>
            <w:tcW w:w="835" w:type="pct"/>
            <w:shd w:val="clear" w:color="auto" w:fill="auto"/>
          </w:tcPr>
          <w:p w:rsidR="009A43AA" w:rsidRPr="00B64FB4" w:rsidRDefault="009A43AA" w:rsidP="009A43AA">
            <w:pPr>
              <w:jc w:val="center"/>
              <w:rPr>
                <w:b/>
                <w:kern w:val="0"/>
                <w:szCs w:val="21"/>
              </w:rPr>
            </w:pPr>
            <w:r w:rsidRPr="00B64FB4">
              <w:rPr>
                <w:b/>
                <w:kern w:val="0"/>
                <w:szCs w:val="21"/>
              </w:rPr>
              <w:t>10,431,845</w:t>
            </w:r>
          </w:p>
        </w:tc>
        <w:tc>
          <w:tcPr>
            <w:tcW w:w="835" w:type="pct"/>
            <w:shd w:val="clear" w:color="auto" w:fill="auto"/>
          </w:tcPr>
          <w:p w:rsidR="009A43AA" w:rsidRPr="00FE5136" w:rsidRDefault="009A43AA" w:rsidP="009A43AA">
            <w:pPr>
              <w:jc w:val="center"/>
              <w:rPr>
                <w:b/>
                <w:kern w:val="0"/>
                <w:szCs w:val="21"/>
              </w:rPr>
            </w:pPr>
            <w:r w:rsidRPr="00FE5136">
              <w:rPr>
                <w:b/>
                <w:kern w:val="0"/>
                <w:szCs w:val="21"/>
              </w:rPr>
              <w:t>20,743,546</w:t>
            </w:r>
          </w:p>
        </w:tc>
        <w:tc>
          <w:tcPr>
            <w:tcW w:w="833" w:type="pct"/>
            <w:shd w:val="clear" w:color="auto" w:fill="auto"/>
          </w:tcPr>
          <w:p w:rsidR="009A43AA" w:rsidRPr="006C0A39" w:rsidRDefault="009A43AA" w:rsidP="009A43AA">
            <w:pPr>
              <w:jc w:val="center"/>
              <w:rPr>
                <w:b/>
                <w:kern w:val="0"/>
                <w:szCs w:val="21"/>
              </w:rPr>
            </w:pPr>
            <w:r>
              <w:rPr>
                <w:b/>
                <w:kern w:val="0"/>
                <w:szCs w:val="21"/>
              </w:rPr>
              <w:t>15, 362,42</w:t>
            </w:r>
            <w:r w:rsidRPr="006C0A39">
              <w:rPr>
                <w:b/>
                <w:kern w:val="0"/>
                <w:szCs w:val="21"/>
              </w:rPr>
              <w:t>2</w:t>
            </w:r>
          </w:p>
        </w:tc>
        <w:tc>
          <w:tcPr>
            <w:tcW w:w="833" w:type="pct"/>
            <w:shd w:val="clear" w:color="auto" w:fill="auto"/>
          </w:tcPr>
          <w:p w:rsidR="009A43AA" w:rsidRPr="007345DF" w:rsidRDefault="009A43AA" w:rsidP="009A43AA">
            <w:pPr>
              <w:jc w:val="center"/>
              <w:rPr>
                <w:b/>
                <w:kern w:val="0"/>
                <w:szCs w:val="21"/>
              </w:rPr>
            </w:pPr>
            <w:r w:rsidRPr="007345DF">
              <w:rPr>
                <w:b/>
                <w:kern w:val="0"/>
                <w:szCs w:val="21"/>
              </w:rPr>
              <w:t>16,273,598</w:t>
            </w:r>
          </w:p>
        </w:tc>
      </w:tr>
      <w:tr w:rsidR="009A43AA">
        <w:trPr>
          <w:trHeight w:val="105"/>
        </w:trPr>
        <w:tc>
          <w:tcPr>
            <w:tcW w:w="416" w:type="pct"/>
            <w:vMerge/>
          </w:tcPr>
          <w:p w:rsidR="009A43AA" w:rsidRDefault="009A43AA" w:rsidP="009A43AA">
            <w:pPr>
              <w:jc w:val="center"/>
              <w:rPr>
                <w:b/>
                <w:kern w:val="0"/>
                <w:szCs w:val="21"/>
              </w:rPr>
            </w:pPr>
          </w:p>
        </w:tc>
        <w:tc>
          <w:tcPr>
            <w:tcW w:w="416" w:type="pct"/>
          </w:tcPr>
          <w:p w:rsidR="009A43AA" w:rsidRDefault="009A43AA" w:rsidP="009A43AA">
            <w:pPr>
              <w:jc w:val="center"/>
              <w:rPr>
                <w:b/>
                <w:kern w:val="0"/>
                <w:szCs w:val="21"/>
              </w:rPr>
            </w:pPr>
            <w:r>
              <w:rPr>
                <w:rFonts w:hint="eastAsia"/>
                <w:b/>
                <w:kern w:val="0"/>
                <w:szCs w:val="21"/>
              </w:rPr>
              <w:t>坏账准备</w:t>
            </w:r>
          </w:p>
        </w:tc>
        <w:tc>
          <w:tcPr>
            <w:tcW w:w="832" w:type="pct"/>
            <w:shd w:val="clear" w:color="auto" w:fill="auto"/>
          </w:tcPr>
          <w:p w:rsidR="009A43AA" w:rsidRPr="00FB1AB7" w:rsidRDefault="009A43AA" w:rsidP="009A43AA">
            <w:pPr>
              <w:jc w:val="center"/>
              <w:rPr>
                <w:b/>
                <w:kern w:val="0"/>
                <w:szCs w:val="21"/>
              </w:rPr>
            </w:pPr>
            <w:r w:rsidRPr="00FB1AB7">
              <w:rPr>
                <w:b/>
                <w:kern w:val="0"/>
                <w:szCs w:val="21"/>
              </w:rPr>
              <w:t>638,108</w:t>
            </w:r>
          </w:p>
        </w:tc>
        <w:tc>
          <w:tcPr>
            <w:tcW w:w="835" w:type="pct"/>
            <w:shd w:val="clear" w:color="auto" w:fill="auto"/>
          </w:tcPr>
          <w:p w:rsidR="009A43AA" w:rsidRPr="00B64FB4" w:rsidRDefault="009A43AA" w:rsidP="009A43AA">
            <w:pPr>
              <w:jc w:val="center"/>
              <w:rPr>
                <w:b/>
                <w:kern w:val="0"/>
                <w:szCs w:val="21"/>
              </w:rPr>
            </w:pPr>
            <w:r w:rsidRPr="00B64FB4">
              <w:rPr>
                <w:b/>
                <w:kern w:val="0"/>
                <w:szCs w:val="21"/>
              </w:rPr>
              <w:t>521,592</w:t>
            </w:r>
          </w:p>
        </w:tc>
        <w:tc>
          <w:tcPr>
            <w:tcW w:w="835" w:type="pct"/>
            <w:shd w:val="clear" w:color="auto" w:fill="auto"/>
          </w:tcPr>
          <w:p w:rsidR="009A43AA" w:rsidRPr="00FE5136" w:rsidRDefault="009A43AA" w:rsidP="009A43AA">
            <w:pPr>
              <w:jc w:val="center"/>
              <w:rPr>
                <w:b/>
                <w:kern w:val="0"/>
                <w:szCs w:val="21"/>
              </w:rPr>
            </w:pPr>
            <w:r w:rsidRPr="00FE5136">
              <w:rPr>
                <w:b/>
                <w:kern w:val="0"/>
                <w:szCs w:val="21"/>
              </w:rPr>
              <w:t>1,037,177</w:t>
            </w:r>
          </w:p>
        </w:tc>
        <w:tc>
          <w:tcPr>
            <w:tcW w:w="833" w:type="pct"/>
            <w:shd w:val="clear" w:color="auto" w:fill="auto"/>
          </w:tcPr>
          <w:p w:rsidR="009A43AA" w:rsidRPr="006C0A39" w:rsidRDefault="009A43AA" w:rsidP="009A43AA">
            <w:pPr>
              <w:jc w:val="center"/>
              <w:rPr>
                <w:b/>
                <w:kern w:val="0"/>
                <w:szCs w:val="21"/>
              </w:rPr>
            </w:pPr>
            <w:r>
              <w:rPr>
                <w:b/>
                <w:kern w:val="0"/>
                <w:szCs w:val="21"/>
              </w:rPr>
              <w:t>768,12</w:t>
            </w:r>
            <w:r w:rsidRPr="006C0A39">
              <w:rPr>
                <w:b/>
                <w:kern w:val="0"/>
                <w:szCs w:val="21"/>
              </w:rPr>
              <w:t xml:space="preserve">1  </w:t>
            </w:r>
          </w:p>
        </w:tc>
        <w:tc>
          <w:tcPr>
            <w:tcW w:w="833" w:type="pct"/>
            <w:shd w:val="clear" w:color="auto" w:fill="auto"/>
          </w:tcPr>
          <w:p w:rsidR="009A43AA" w:rsidRPr="007345DF" w:rsidRDefault="009A43AA" w:rsidP="009A43AA">
            <w:pPr>
              <w:jc w:val="center"/>
              <w:rPr>
                <w:b/>
                <w:kern w:val="0"/>
                <w:szCs w:val="21"/>
              </w:rPr>
            </w:pPr>
            <w:r w:rsidRPr="007345DF">
              <w:rPr>
                <w:b/>
                <w:kern w:val="0"/>
                <w:szCs w:val="21"/>
              </w:rPr>
              <w:t>813,679</w:t>
            </w:r>
          </w:p>
        </w:tc>
      </w:tr>
      <w:tr w:rsidR="009A43AA">
        <w:trPr>
          <w:trHeight w:val="105"/>
        </w:trPr>
        <w:tc>
          <w:tcPr>
            <w:tcW w:w="416" w:type="pct"/>
            <w:vMerge/>
          </w:tcPr>
          <w:p w:rsidR="009A43AA" w:rsidRDefault="009A43AA" w:rsidP="009A43AA">
            <w:pPr>
              <w:jc w:val="center"/>
              <w:rPr>
                <w:b/>
                <w:kern w:val="0"/>
                <w:szCs w:val="21"/>
              </w:rPr>
            </w:pPr>
          </w:p>
        </w:tc>
        <w:tc>
          <w:tcPr>
            <w:tcW w:w="416" w:type="pct"/>
          </w:tcPr>
          <w:p w:rsidR="009A43AA" w:rsidRDefault="009A43AA" w:rsidP="009A43AA">
            <w:pPr>
              <w:jc w:val="center"/>
              <w:rPr>
                <w:b/>
                <w:kern w:val="0"/>
                <w:szCs w:val="21"/>
              </w:rPr>
            </w:pPr>
            <w:r>
              <w:rPr>
                <w:rFonts w:hint="eastAsia"/>
                <w:b/>
                <w:kern w:val="0"/>
                <w:szCs w:val="21"/>
              </w:rPr>
              <w:t>计提比率</w:t>
            </w:r>
          </w:p>
        </w:tc>
        <w:tc>
          <w:tcPr>
            <w:tcW w:w="832" w:type="pct"/>
            <w:shd w:val="clear" w:color="auto" w:fill="auto"/>
          </w:tcPr>
          <w:p w:rsidR="009A43AA" w:rsidRDefault="009A43AA" w:rsidP="009A43AA">
            <w:pPr>
              <w:jc w:val="center"/>
              <w:rPr>
                <w:b/>
                <w:kern w:val="0"/>
                <w:szCs w:val="21"/>
              </w:rPr>
            </w:pPr>
            <w:r>
              <w:rPr>
                <w:rFonts w:hint="eastAsia"/>
                <w:b/>
                <w:kern w:val="0"/>
                <w:szCs w:val="21"/>
              </w:rPr>
              <w:t>5.00%</w:t>
            </w:r>
          </w:p>
        </w:tc>
        <w:tc>
          <w:tcPr>
            <w:tcW w:w="835" w:type="pct"/>
            <w:shd w:val="clear" w:color="auto" w:fill="auto"/>
          </w:tcPr>
          <w:p w:rsidR="009A43AA" w:rsidRDefault="009A43AA" w:rsidP="009A43AA">
            <w:pPr>
              <w:jc w:val="center"/>
              <w:rPr>
                <w:b/>
                <w:kern w:val="0"/>
                <w:szCs w:val="21"/>
              </w:rPr>
            </w:pPr>
            <w:r>
              <w:rPr>
                <w:rFonts w:hint="eastAsia"/>
                <w:b/>
                <w:kern w:val="0"/>
                <w:szCs w:val="21"/>
              </w:rPr>
              <w:t>5.00%</w:t>
            </w:r>
          </w:p>
        </w:tc>
        <w:tc>
          <w:tcPr>
            <w:tcW w:w="835" w:type="pct"/>
            <w:shd w:val="clear" w:color="auto" w:fill="auto"/>
          </w:tcPr>
          <w:p w:rsidR="009A43AA" w:rsidRDefault="009A43AA" w:rsidP="009A43AA">
            <w:pPr>
              <w:jc w:val="center"/>
              <w:rPr>
                <w:b/>
                <w:kern w:val="0"/>
                <w:szCs w:val="21"/>
              </w:rPr>
            </w:pPr>
            <w:r>
              <w:rPr>
                <w:rFonts w:hint="eastAsia"/>
                <w:b/>
                <w:kern w:val="0"/>
                <w:szCs w:val="21"/>
              </w:rPr>
              <w:t>5.00%</w:t>
            </w:r>
          </w:p>
        </w:tc>
        <w:tc>
          <w:tcPr>
            <w:tcW w:w="833" w:type="pct"/>
            <w:shd w:val="clear" w:color="auto" w:fill="auto"/>
          </w:tcPr>
          <w:p w:rsidR="009A43AA" w:rsidRDefault="009A43AA" w:rsidP="009A43AA">
            <w:pPr>
              <w:jc w:val="center"/>
              <w:rPr>
                <w:b/>
                <w:kern w:val="0"/>
                <w:szCs w:val="21"/>
              </w:rPr>
            </w:pPr>
            <w:r>
              <w:rPr>
                <w:rFonts w:hint="eastAsia"/>
                <w:b/>
                <w:kern w:val="0"/>
                <w:szCs w:val="21"/>
              </w:rPr>
              <w:t>5.00%</w:t>
            </w:r>
          </w:p>
        </w:tc>
        <w:tc>
          <w:tcPr>
            <w:tcW w:w="833" w:type="pct"/>
            <w:shd w:val="clear" w:color="auto" w:fill="auto"/>
          </w:tcPr>
          <w:p w:rsidR="009A43AA" w:rsidRDefault="009A43AA" w:rsidP="009A43AA">
            <w:pPr>
              <w:jc w:val="center"/>
              <w:rPr>
                <w:b/>
                <w:kern w:val="0"/>
                <w:szCs w:val="21"/>
              </w:rPr>
            </w:pPr>
            <w:r>
              <w:rPr>
                <w:rFonts w:hint="eastAsia"/>
                <w:b/>
                <w:kern w:val="0"/>
                <w:szCs w:val="21"/>
              </w:rPr>
              <w:t>5%</w:t>
            </w:r>
          </w:p>
        </w:tc>
      </w:tr>
      <w:tr w:rsidR="009A43AA">
        <w:trPr>
          <w:trHeight w:val="105"/>
        </w:trPr>
        <w:tc>
          <w:tcPr>
            <w:tcW w:w="416" w:type="pct"/>
            <w:vMerge w:val="restart"/>
          </w:tcPr>
          <w:p w:rsidR="009A43AA" w:rsidRDefault="009A43AA" w:rsidP="009A43AA">
            <w:pPr>
              <w:jc w:val="center"/>
              <w:rPr>
                <w:b/>
                <w:kern w:val="0"/>
                <w:szCs w:val="21"/>
              </w:rPr>
            </w:pPr>
            <w:r>
              <w:rPr>
                <w:rFonts w:hint="eastAsia"/>
                <w:b/>
                <w:kern w:val="0"/>
                <w:szCs w:val="21"/>
              </w:rPr>
              <w:t>3</w:t>
            </w:r>
            <w:r>
              <w:rPr>
                <w:rFonts w:hint="eastAsia"/>
                <w:b/>
                <w:kern w:val="0"/>
                <w:szCs w:val="21"/>
              </w:rPr>
              <w:t>年以上</w:t>
            </w:r>
          </w:p>
        </w:tc>
        <w:tc>
          <w:tcPr>
            <w:tcW w:w="416" w:type="pct"/>
          </w:tcPr>
          <w:p w:rsidR="009A43AA" w:rsidRDefault="009A43AA" w:rsidP="009A43AA">
            <w:pPr>
              <w:jc w:val="center"/>
              <w:rPr>
                <w:b/>
                <w:kern w:val="0"/>
                <w:szCs w:val="21"/>
              </w:rPr>
            </w:pPr>
            <w:r>
              <w:rPr>
                <w:rFonts w:hint="eastAsia"/>
                <w:b/>
                <w:kern w:val="0"/>
                <w:szCs w:val="21"/>
              </w:rPr>
              <w:t>账面余额</w:t>
            </w:r>
          </w:p>
        </w:tc>
        <w:tc>
          <w:tcPr>
            <w:tcW w:w="832" w:type="pct"/>
            <w:shd w:val="clear" w:color="auto" w:fill="auto"/>
          </w:tcPr>
          <w:p w:rsidR="009A43AA" w:rsidRPr="00FB1AB7" w:rsidRDefault="009A43AA" w:rsidP="009A43AA">
            <w:pPr>
              <w:jc w:val="center"/>
              <w:rPr>
                <w:b/>
                <w:kern w:val="0"/>
                <w:szCs w:val="21"/>
              </w:rPr>
            </w:pPr>
            <w:r w:rsidRPr="00FB1AB7">
              <w:rPr>
                <w:b/>
                <w:kern w:val="0"/>
                <w:szCs w:val="21"/>
              </w:rPr>
              <w:t>100,277</w:t>
            </w:r>
          </w:p>
        </w:tc>
        <w:tc>
          <w:tcPr>
            <w:tcW w:w="835" w:type="pct"/>
            <w:shd w:val="clear" w:color="auto" w:fill="auto"/>
          </w:tcPr>
          <w:p w:rsidR="009A43AA" w:rsidRPr="00B64FB4" w:rsidRDefault="009A43AA" w:rsidP="009A43AA">
            <w:pPr>
              <w:jc w:val="center"/>
              <w:rPr>
                <w:b/>
                <w:kern w:val="0"/>
                <w:szCs w:val="21"/>
              </w:rPr>
            </w:pPr>
            <w:r w:rsidRPr="00B64FB4">
              <w:rPr>
                <w:b/>
                <w:kern w:val="0"/>
                <w:szCs w:val="21"/>
              </w:rPr>
              <w:t>104,338</w:t>
            </w:r>
          </w:p>
        </w:tc>
        <w:tc>
          <w:tcPr>
            <w:tcW w:w="835" w:type="pct"/>
            <w:shd w:val="clear" w:color="auto" w:fill="auto"/>
          </w:tcPr>
          <w:p w:rsidR="009A43AA" w:rsidRPr="00C92714" w:rsidRDefault="009A43AA" w:rsidP="009A43AA">
            <w:pPr>
              <w:jc w:val="center"/>
              <w:rPr>
                <w:b/>
                <w:kern w:val="0"/>
                <w:szCs w:val="21"/>
              </w:rPr>
            </w:pPr>
            <w:r w:rsidRPr="00C92714">
              <w:rPr>
                <w:b/>
                <w:kern w:val="0"/>
                <w:szCs w:val="21"/>
              </w:rPr>
              <w:t>7,293,287</w:t>
            </w:r>
          </w:p>
        </w:tc>
        <w:tc>
          <w:tcPr>
            <w:tcW w:w="833" w:type="pct"/>
            <w:shd w:val="clear" w:color="auto" w:fill="auto"/>
          </w:tcPr>
          <w:p w:rsidR="009A43AA" w:rsidRPr="006C0A39" w:rsidRDefault="009A43AA" w:rsidP="009A43AA">
            <w:pPr>
              <w:jc w:val="center"/>
              <w:rPr>
                <w:b/>
                <w:kern w:val="0"/>
                <w:szCs w:val="21"/>
              </w:rPr>
            </w:pPr>
            <w:r>
              <w:rPr>
                <w:b/>
                <w:kern w:val="0"/>
                <w:szCs w:val="21"/>
              </w:rPr>
              <w:t>1, 51 3,75</w:t>
            </w:r>
            <w:r w:rsidRPr="006C0A39">
              <w:rPr>
                <w:b/>
                <w:kern w:val="0"/>
                <w:szCs w:val="21"/>
              </w:rPr>
              <w:t>1</w:t>
            </w:r>
          </w:p>
        </w:tc>
        <w:tc>
          <w:tcPr>
            <w:tcW w:w="833" w:type="pct"/>
            <w:shd w:val="clear" w:color="auto" w:fill="auto"/>
          </w:tcPr>
          <w:p w:rsidR="009A43AA" w:rsidRPr="007345DF" w:rsidRDefault="009A43AA" w:rsidP="009A43AA">
            <w:pPr>
              <w:jc w:val="center"/>
              <w:rPr>
                <w:b/>
                <w:kern w:val="0"/>
                <w:szCs w:val="21"/>
              </w:rPr>
            </w:pPr>
            <w:r w:rsidRPr="007345DF">
              <w:rPr>
                <w:b/>
                <w:kern w:val="0"/>
                <w:szCs w:val="21"/>
              </w:rPr>
              <w:t>292,503</w:t>
            </w:r>
          </w:p>
        </w:tc>
      </w:tr>
      <w:tr w:rsidR="009A43AA">
        <w:trPr>
          <w:trHeight w:val="105"/>
        </w:trPr>
        <w:tc>
          <w:tcPr>
            <w:tcW w:w="416" w:type="pct"/>
            <w:vMerge/>
          </w:tcPr>
          <w:p w:rsidR="009A43AA" w:rsidRDefault="009A43AA" w:rsidP="009A43AA">
            <w:pPr>
              <w:jc w:val="center"/>
              <w:rPr>
                <w:b/>
                <w:kern w:val="0"/>
                <w:szCs w:val="21"/>
              </w:rPr>
            </w:pPr>
          </w:p>
        </w:tc>
        <w:tc>
          <w:tcPr>
            <w:tcW w:w="416" w:type="pct"/>
          </w:tcPr>
          <w:p w:rsidR="009A43AA" w:rsidRDefault="009A43AA" w:rsidP="009A43AA">
            <w:pPr>
              <w:jc w:val="center"/>
              <w:rPr>
                <w:b/>
                <w:kern w:val="0"/>
                <w:szCs w:val="21"/>
              </w:rPr>
            </w:pPr>
            <w:r>
              <w:rPr>
                <w:rFonts w:hint="eastAsia"/>
                <w:b/>
                <w:kern w:val="0"/>
                <w:szCs w:val="21"/>
              </w:rPr>
              <w:t>坏账准备</w:t>
            </w:r>
          </w:p>
        </w:tc>
        <w:tc>
          <w:tcPr>
            <w:tcW w:w="832" w:type="pct"/>
            <w:shd w:val="clear" w:color="auto" w:fill="auto"/>
          </w:tcPr>
          <w:p w:rsidR="009A43AA" w:rsidRPr="00FB1AB7" w:rsidRDefault="009A43AA" w:rsidP="009A43AA">
            <w:pPr>
              <w:jc w:val="center"/>
              <w:rPr>
                <w:b/>
                <w:kern w:val="0"/>
                <w:szCs w:val="21"/>
              </w:rPr>
            </w:pPr>
            <w:r w:rsidRPr="00FB1AB7">
              <w:rPr>
                <w:b/>
                <w:kern w:val="0"/>
                <w:szCs w:val="21"/>
              </w:rPr>
              <w:t>5,013</w:t>
            </w:r>
          </w:p>
        </w:tc>
        <w:tc>
          <w:tcPr>
            <w:tcW w:w="835" w:type="pct"/>
            <w:shd w:val="clear" w:color="auto" w:fill="auto"/>
          </w:tcPr>
          <w:p w:rsidR="009A43AA" w:rsidRPr="00B64FB4" w:rsidRDefault="009A43AA" w:rsidP="009A43AA">
            <w:pPr>
              <w:jc w:val="center"/>
              <w:rPr>
                <w:b/>
                <w:kern w:val="0"/>
                <w:szCs w:val="21"/>
              </w:rPr>
            </w:pPr>
            <w:r w:rsidRPr="00B64FB4">
              <w:rPr>
                <w:b/>
                <w:kern w:val="0"/>
                <w:szCs w:val="21"/>
              </w:rPr>
              <w:t>5,216</w:t>
            </w:r>
          </w:p>
        </w:tc>
        <w:tc>
          <w:tcPr>
            <w:tcW w:w="835" w:type="pct"/>
            <w:shd w:val="clear" w:color="auto" w:fill="auto"/>
          </w:tcPr>
          <w:p w:rsidR="009A43AA" w:rsidRPr="00C92714" w:rsidRDefault="009A43AA" w:rsidP="009A43AA">
            <w:pPr>
              <w:jc w:val="center"/>
              <w:rPr>
                <w:b/>
                <w:kern w:val="0"/>
                <w:szCs w:val="21"/>
              </w:rPr>
            </w:pPr>
            <w:r w:rsidRPr="00C92714">
              <w:rPr>
                <w:b/>
                <w:kern w:val="0"/>
                <w:szCs w:val="21"/>
              </w:rPr>
              <w:t>364,664</w:t>
            </w:r>
          </w:p>
        </w:tc>
        <w:tc>
          <w:tcPr>
            <w:tcW w:w="833" w:type="pct"/>
            <w:shd w:val="clear" w:color="auto" w:fill="auto"/>
          </w:tcPr>
          <w:p w:rsidR="009A43AA" w:rsidRPr="006C0A39" w:rsidRDefault="009A43AA" w:rsidP="009A43AA">
            <w:pPr>
              <w:jc w:val="center"/>
              <w:rPr>
                <w:b/>
                <w:kern w:val="0"/>
                <w:szCs w:val="21"/>
              </w:rPr>
            </w:pPr>
            <w:r>
              <w:rPr>
                <w:b/>
                <w:kern w:val="0"/>
                <w:szCs w:val="21"/>
              </w:rPr>
              <w:t>75, 68</w:t>
            </w:r>
            <w:r w:rsidRPr="006C0A39">
              <w:rPr>
                <w:b/>
                <w:kern w:val="0"/>
                <w:szCs w:val="21"/>
              </w:rPr>
              <w:t>7</w:t>
            </w:r>
          </w:p>
        </w:tc>
        <w:tc>
          <w:tcPr>
            <w:tcW w:w="833" w:type="pct"/>
            <w:shd w:val="clear" w:color="auto" w:fill="auto"/>
          </w:tcPr>
          <w:p w:rsidR="009A43AA" w:rsidRPr="0017452D" w:rsidRDefault="009A43AA" w:rsidP="009A43AA">
            <w:pPr>
              <w:jc w:val="center"/>
              <w:rPr>
                <w:b/>
                <w:kern w:val="0"/>
                <w:szCs w:val="21"/>
              </w:rPr>
            </w:pPr>
            <w:r w:rsidRPr="0017452D">
              <w:rPr>
                <w:b/>
                <w:kern w:val="0"/>
                <w:szCs w:val="21"/>
              </w:rPr>
              <w:t>14,625</w:t>
            </w:r>
          </w:p>
        </w:tc>
      </w:tr>
      <w:tr w:rsidR="009A43AA">
        <w:trPr>
          <w:trHeight w:val="105"/>
        </w:trPr>
        <w:tc>
          <w:tcPr>
            <w:tcW w:w="416" w:type="pct"/>
            <w:vMerge/>
          </w:tcPr>
          <w:p w:rsidR="009A43AA" w:rsidRDefault="009A43AA" w:rsidP="009A43AA">
            <w:pPr>
              <w:jc w:val="center"/>
              <w:rPr>
                <w:b/>
                <w:kern w:val="0"/>
                <w:szCs w:val="21"/>
              </w:rPr>
            </w:pPr>
          </w:p>
        </w:tc>
        <w:tc>
          <w:tcPr>
            <w:tcW w:w="416" w:type="pct"/>
          </w:tcPr>
          <w:p w:rsidR="009A43AA" w:rsidRDefault="009A43AA" w:rsidP="009A43AA">
            <w:pPr>
              <w:jc w:val="center"/>
              <w:rPr>
                <w:b/>
                <w:kern w:val="0"/>
                <w:szCs w:val="21"/>
              </w:rPr>
            </w:pPr>
            <w:r>
              <w:rPr>
                <w:rFonts w:hint="eastAsia"/>
                <w:b/>
                <w:kern w:val="0"/>
                <w:szCs w:val="21"/>
              </w:rPr>
              <w:t>计提比率</w:t>
            </w:r>
          </w:p>
        </w:tc>
        <w:tc>
          <w:tcPr>
            <w:tcW w:w="832" w:type="pct"/>
            <w:shd w:val="clear" w:color="auto" w:fill="auto"/>
          </w:tcPr>
          <w:p w:rsidR="009A43AA" w:rsidRDefault="009A43AA" w:rsidP="009A43AA">
            <w:pPr>
              <w:jc w:val="center"/>
              <w:rPr>
                <w:b/>
                <w:kern w:val="0"/>
                <w:szCs w:val="21"/>
              </w:rPr>
            </w:pPr>
            <w:r>
              <w:rPr>
                <w:rFonts w:hint="eastAsia"/>
                <w:b/>
                <w:kern w:val="0"/>
                <w:szCs w:val="21"/>
              </w:rPr>
              <w:t>5.00%</w:t>
            </w:r>
          </w:p>
        </w:tc>
        <w:tc>
          <w:tcPr>
            <w:tcW w:w="835" w:type="pct"/>
            <w:shd w:val="clear" w:color="auto" w:fill="auto"/>
          </w:tcPr>
          <w:p w:rsidR="009A43AA" w:rsidRDefault="009A43AA" w:rsidP="009A43AA">
            <w:pPr>
              <w:jc w:val="center"/>
              <w:rPr>
                <w:b/>
                <w:kern w:val="0"/>
                <w:szCs w:val="21"/>
              </w:rPr>
            </w:pPr>
            <w:r>
              <w:rPr>
                <w:rFonts w:hint="eastAsia"/>
                <w:b/>
                <w:kern w:val="0"/>
                <w:szCs w:val="21"/>
              </w:rPr>
              <w:t>5.00%</w:t>
            </w:r>
          </w:p>
        </w:tc>
        <w:tc>
          <w:tcPr>
            <w:tcW w:w="835" w:type="pct"/>
            <w:shd w:val="clear" w:color="auto" w:fill="auto"/>
          </w:tcPr>
          <w:p w:rsidR="009A43AA" w:rsidRDefault="009A43AA" w:rsidP="009A43AA">
            <w:pPr>
              <w:jc w:val="center"/>
              <w:rPr>
                <w:b/>
                <w:kern w:val="0"/>
                <w:szCs w:val="21"/>
              </w:rPr>
            </w:pPr>
            <w:r>
              <w:rPr>
                <w:rFonts w:hint="eastAsia"/>
                <w:b/>
                <w:kern w:val="0"/>
                <w:szCs w:val="21"/>
              </w:rPr>
              <w:t>5.00%</w:t>
            </w:r>
          </w:p>
        </w:tc>
        <w:tc>
          <w:tcPr>
            <w:tcW w:w="833" w:type="pct"/>
            <w:shd w:val="clear" w:color="auto" w:fill="auto"/>
          </w:tcPr>
          <w:p w:rsidR="009A43AA" w:rsidRDefault="009A43AA" w:rsidP="009A43AA">
            <w:pPr>
              <w:jc w:val="center"/>
              <w:rPr>
                <w:b/>
                <w:kern w:val="0"/>
                <w:szCs w:val="21"/>
              </w:rPr>
            </w:pPr>
            <w:r>
              <w:rPr>
                <w:rFonts w:hint="eastAsia"/>
                <w:b/>
                <w:kern w:val="0"/>
                <w:szCs w:val="21"/>
              </w:rPr>
              <w:t>5.00%</w:t>
            </w:r>
          </w:p>
        </w:tc>
        <w:tc>
          <w:tcPr>
            <w:tcW w:w="833" w:type="pct"/>
            <w:shd w:val="clear" w:color="auto" w:fill="auto"/>
          </w:tcPr>
          <w:p w:rsidR="009A43AA" w:rsidRDefault="009A43AA" w:rsidP="009A43AA">
            <w:pPr>
              <w:jc w:val="center"/>
              <w:rPr>
                <w:b/>
                <w:kern w:val="0"/>
                <w:szCs w:val="21"/>
              </w:rPr>
            </w:pPr>
            <w:r>
              <w:rPr>
                <w:rFonts w:hint="eastAsia"/>
                <w:b/>
                <w:kern w:val="0"/>
                <w:szCs w:val="21"/>
              </w:rPr>
              <w:t>5.00%</w:t>
            </w:r>
          </w:p>
        </w:tc>
      </w:tr>
      <w:tr w:rsidR="009A43AA">
        <w:trPr>
          <w:trHeight w:val="105"/>
        </w:trPr>
        <w:tc>
          <w:tcPr>
            <w:tcW w:w="416" w:type="pct"/>
            <w:vMerge w:val="restart"/>
          </w:tcPr>
          <w:p w:rsidR="009A43AA" w:rsidRDefault="009A43AA" w:rsidP="009A43AA">
            <w:pPr>
              <w:jc w:val="center"/>
              <w:rPr>
                <w:b/>
                <w:kern w:val="0"/>
                <w:szCs w:val="21"/>
              </w:rPr>
            </w:pPr>
            <w:r>
              <w:rPr>
                <w:rFonts w:hint="eastAsia"/>
                <w:b/>
                <w:kern w:val="0"/>
                <w:szCs w:val="21"/>
              </w:rPr>
              <w:t>总计</w:t>
            </w:r>
          </w:p>
        </w:tc>
        <w:tc>
          <w:tcPr>
            <w:tcW w:w="416" w:type="pct"/>
          </w:tcPr>
          <w:p w:rsidR="009A43AA" w:rsidRDefault="009A43AA" w:rsidP="009A43AA">
            <w:pPr>
              <w:jc w:val="center"/>
              <w:rPr>
                <w:b/>
                <w:kern w:val="0"/>
                <w:szCs w:val="21"/>
              </w:rPr>
            </w:pPr>
            <w:r>
              <w:rPr>
                <w:rFonts w:hint="eastAsia"/>
                <w:b/>
                <w:kern w:val="0"/>
                <w:szCs w:val="21"/>
              </w:rPr>
              <w:t>账面余额</w:t>
            </w:r>
          </w:p>
        </w:tc>
        <w:tc>
          <w:tcPr>
            <w:tcW w:w="832" w:type="pct"/>
            <w:shd w:val="clear" w:color="auto" w:fill="auto"/>
          </w:tcPr>
          <w:p w:rsidR="009A43AA" w:rsidRPr="00FB1AB7" w:rsidRDefault="009A43AA" w:rsidP="009A43AA">
            <w:pPr>
              <w:jc w:val="center"/>
              <w:rPr>
                <w:b/>
                <w:kern w:val="0"/>
                <w:szCs w:val="21"/>
              </w:rPr>
            </w:pPr>
            <w:r w:rsidRPr="00FB1AB7">
              <w:rPr>
                <w:b/>
                <w:kern w:val="0"/>
                <w:szCs w:val="21"/>
              </w:rPr>
              <w:t>836,389,978</w:t>
            </w:r>
          </w:p>
        </w:tc>
        <w:tc>
          <w:tcPr>
            <w:tcW w:w="835" w:type="pct"/>
            <w:shd w:val="clear" w:color="auto" w:fill="auto"/>
          </w:tcPr>
          <w:p w:rsidR="009A43AA" w:rsidRPr="00B64FB4" w:rsidRDefault="009A43AA" w:rsidP="009A43AA">
            <w:pPr>
              <w:jc w:val="center"/>
              <w:rPr>
                <w:b/>
                <w:kern w:val="0"/>
                <w:szCs w:val="21"/>
              </w:rPr>
            </w:pPr>
            <w:r w:rsidRPr="00B64FB4">
              <w:rPr>
                <w:b/>
                <w:kern w:val="0"/>
                <w:szCs w:val="21"/>
              </w:rPr>
              <w:t>1,268,051,832</w:t>
            </w:r>
          </w:p>
        </w:tc>
        <w:tc>
          <w:tcPr>
            <w:tcW w:w="835" w:type="pct"/>
            <w:shd w:val="clear" w:color="auto" w:fill="auto"/>
          </w:tcPr>
          <w:p w:rsidR="009A43AA" w:rsidRPr="00C92714" w:rsidRDefault="009A43AA" w:rsidP="009A43AA">
            <w:pPr>
              <w:jc w:val="center"/>
              <w:rPr>
                <w:b/>
                <w:kern w:val="0"/>
                <w:szCs w:val="21"/>
              </w:rPr>
            </w:pPr>
            <w:r w:rsidRPr="00C92714">
              <w:rPr>
                <w:b/>
                <w:kern w:val="0"/>
                <w:szCs w:val="21"/>
              </w:rPr>
              <w:t>2,254,231,184</w:t>
            </w:r>
          </w:p>
        </w:tc>
        <w:tc>
          <w:tcPr>
            <w:tcW w:w="833" w:type="pct"/>
            <w:shd w:val="clear" w:color="auto" w:fill="auto"/>
          </w:tcPr>
          <w:p w:rsidR="009A43AA" w:rsidRPr="006C0A39" w:rsidRDefault="009A43AA" w:rsidP="009A43AA">
            <w:pPr>
              <w:jc w:val="center"/>
              <w:rPr>
                <w:b/>
                <w:kern w:val="0"/>
                <w:szCs w:val="21"/>
              </w:rPr>
            </w:pPr>
            <w:r>
              <w:rPr>
                <w:b/>
                <w:kern w:val="0"/>
                <w:szCs w:val="21"/>
              </w:rPr>
              <w:t>3,244 ,005,21</w:t>
            </w:r>
            <w:r w:rsidRPr="006C0A39">
              <w:rPr>
                <w:b/>
                <w:kern w:val="0"/>
                <w:szCs w:val="21"/>
              </w:rPr>
              <w:t>1</w:t>
            </w:r>
          </w:p>
        </w:tc>
        <w:tc>
          <w:tcPr>
            <w:tcW w:w="833" w:type="pct"/>
            <w:shd w:val="clear" w:color="auto" w:fill="auto"/>
          </w:tcPr>
          <w:p w:rsidR="009A43AA" w:rsidRPr="0017452D" w:rsidRDefault="009A43AA" w:rsidP="009A43AA">
            <w:pPr>
              <w:jc w:val="center"/>
              <w:rPr>
                <w:b/>
                <w:kern w:val="0"/>
                <w:szCs w:val="21"/>
              </w:rPr>
            </w:pPr>
            <w:r w:rsidRPr="0017452D">
              <w:rPr>
                <w:b/>
                <w:kern w:val="0"/>
                <w:szCs w:val="21"/>
              </w:rPr>
              <w:t>4,417,600,357</w:t>
            </w:r>
          </w:p>
        </w:tc>
      </w:tr>
      <w:tr w:rsidR="009A43AA">
        <w:trPr>
          <w:trHeight w:val="105"/>
        </w:trPr>
        <w:tc>
          <w:tcPr>
            <w:tcW w:w="416" w:type="pct"/>
            <w:vMerge/>
          </w:tcPr>
          <w:p w:rsidR="009A43AA" w:rsidRDefault="009A43AA" w:rsidP="009A43AA">
            <w:pPr>
              <w:jc w:val="center"/>
              <w:rPr>
                <w:b/>
                <w:kern w:val="0"/>
                <w:szCs w:val="21"/>
              </w:rPr>
            </w:pPr>
          </w:p>
        </w:tc>
        <w:tc>
          <w:tcPr>
            <w:tcW w:w="416" w:type="pct"/>
          </w:tcPr>
          <w:p w:rsidR="009A43AA" w:rsidRDefault="009A43AA" w:rsidP="009A43AA">
            <w:pPr>
              <w:jc w:val="center"/>
              <w:rPr>
                <w:b/>
                <w:kern w:val="0"/>
                <w:szCs w:val="21"/>
              </w:rPr>
            </w:pPr>
            <w:r>
              <w:rPr>
                <w:rFonts w:hint="eastAsia"/>
                <w:b/>
                <w:kern w:val="0"/>
                <w:szCs w:val="21"/>
              </w:rPr>
              <w:t>坏账准备</w:t>
            </w:r>
          </w:p>
        </w:tc>
        <w:tc>
          <w:tcPr>
            <w:tcW w:w="832" w:type="pct"/>
            <w:shd w:val="clear" w:color="auto" w:fill="auto"/>
          </w:tcPr>
          <w:p w:rsidR="009A43AA" w:rsidRPr="00FB1AB7" w:rsidRDefault="009A43AA" w:rsidP="009A43AA">
            <w:pPr>
              <w:jc w:val="center"/>
              <w:rPr>
                <w:b/>
                <w:kern w:val="0"/>
                <w:szCs w:val="21"/>
              </w:rPr>
            </w:pPr>
            <w:r w:rsidRPr="00FB1AB7">
              <w:rPr>
                <w:b/>
                <w:kern w:val="0"/>
                <w:szCs w:val="21"/>
              </w:rPr>
              <w:t>41,819,498</w:t>
            </w:r>
          </w:p>
        </w:tc>
        <w:tc>
          <w:tcPr>
            <w:tcW w:w="835" w:type="pct"/>
            <w:shd w:val="clear" w:color="auto" w:fill="auto"/>
          </w:tcPr>
          <w:p w:rsidR="009A43AA" w:rsidRPr="00B64FB4" w:rsidRDefault="009A43AA" w:rsidP="009A43AA">
            <w:pPr>
              <w:jc w:val="center"/>
              <w:rPr>
                <w:b/>
                <w:kern w:val="0"/>
                <w:szCs w:val="21"/>
              </w:rPr>
            </w:pPr>
            <w:r w:rsidRPr="00B64FB4">
              <w:rPr>
                <w:b/>
                <w:kern w:val="0"/>
                <w:szCs w:val="21"/>
              </w:rPr>
              <w:t>63,402,591</w:t>
            </w:r>
          </w:p>
        </w:tc>
        <w:tc>
          <w:tcPr>
            <w:tcW w:w="835" w:type="pct"/>
            <w:shd w:val="clear" w:color="auto" w:fill="auto"/>
          </w:tcPr>
          <w:p w:rsidR="009A43AA" w:rsidRPr="00C92714" w:rsidRDefault="009A43AA" w:rsidP="009A43AA">
            <w:pPr>
              <w:jc w:val="center"/>
              <w:rPr>
                <w:b/>
                <w:kern w:val="0"/>
                <w:szCs w:val="21"/>
              </w:rPr>
            </w:pPr>
            <w:r w:rsidRPr="00C92714">
              <w:rPr>
                <w:b/>
                <w:kern w:val="0"/>
                <w:szCs w:val="21"/>
              </w:rPr>
              <w:t>112,711,559</w:t>
            </w:r>
          </w:p>
        </w:tc>
        <w:tc>
          <w:tcPr>
            <w:tcW w:w="833" w:type="pct"/>
            <w:shd w:val="clear" w:color="auto" w:fill="auto"/>
          </w:tcPr>
          <w:p w:rsidR="009A43AA" w:rsidRPr="006C0A39" w:rsidRDefault="009A43AA" w:rsidP="009A43AA">
            <w:pPr>
              <w:jc w:val="center"/>
              <w:rPr>
                <w:b/>
                <w:kern w:val="0"/>
                <w:szCs w:val="21"/>
              </w:rPr>
            </w:pPr>
            <w:r>
              <w:rPr>
                <w:b/>
                <w:kern w:val="0"/>
                <w:szCs w:val="21"/>
              </w:rPr>
              <w:t>162,177 ,1</w:t>
            </w:r>
            <w:r w:rsidRPr="006C0A39">
              <w:rPr>
                <w:b/>
                <w:kern w:val="0"/>
                <w:szCs w:val="21"/>
              </w:rPr>
              <w:t>60</w:t>
            </w:r>
          </w:p>
        </w:tc>
        <w:tc>
          <w:tcPr>
            <w:tcW w:w="833" w:type="pct"/>
            <w:shd w:val="clear" w:color="auto" w:fill="auto"/>
          </w:tcPr>
          <w:p w:rsidR="009A43AA" w:rsidRPr="0017452D" w:rsidRDefault="009A43AA" w:rsidP="009A43AA">
            <w:pPr>
              <w:jc w:val="center"/>
              <w:rPr>
                <w:b/>
                <w:kern w:val="0"/>
                <w:szCs w:val="21"/>
              </w:rPr>
            </w:pPr>
            <w:r w:rsidRPr="0017452D">
              <w:rPr>
                <w:b/>
                <w:kern w:val="0"/>
                <w:szCs w:val="21"/>
              </w:rPr>
              <w:t>220,880,017</w:t>
            </w:r>
          </w:p>
        </w:tc>
      </w:tr>
      <w:tr w:rsidR="009A43AA">
        <w:trPr>
          <w:trHeight w:val="105"/>
        </w:trPr>
        <w:tc>
          <w:tcPr>
            <w:tcW w:w="416" w:type="pct"/>
            <w:vMerge/>
          </w:tcPr>
          <w:p w:rsidR="009A43AA" w:rsidRDefault="009A43AA" w:rsidP="009A43AA">
            <w:pPr>
              <w:jc w:val="center"/>
              <w:rPr>
                <w:b/>
                <w:kern w:val="0"/>
                <w:szCs w:val="21"/>
              </w:rPr>
            </w:pPr>
          </w:p>
        </w:tc>
        <w:tc>
          <w:tcPr>
            <w:tcW w:w="416" w:type="pct"/>
          </w:tcPr>
          <w:p w:rsidR="009A43AA" w:rsidRDefault="009A43AA" w:rsidP="009A43AA">
            <w:pPr>
              <w:jc w:val="center"/>
              <w:rPr>
                <w:b/>
                <w:kern w:val="0"/>
                <w:szCs w:val="21"/>
              </w:rPr>
            </w:pPr>
            <w:r>
              <w:rPr>
                <w:rFonts w:hint="eastAsia"/>
                <w:b/>
                <w:kern w:val="0"/>
                <w:szCs w:val="21"/>
              </w:rPr>
              <w:t>计提比率</w:t>
            </w:r>
          </w:p>
        </w:tc>
        <w:tc>
          <w:tcPr>
            <w:tcW w:w="832" w:type="pct"/>
            <w:shd w:val="clear" w:color="auto" w:fill="auto"/>
          </w:tcPr>
          <w:p w:rsidR="009A43AA" w:rsidRDefault="009A43AA" w:rsidP="009A43AA">
            <w:pPr>
              <w:jc w:val="center"/>
              <w:rPr>
                <w:b/>
                <w:kern w:val="0"/>
                <w:szCs w:val="21"/>
              </w:rPr>
            </w:pPr>
            <w:r>
              <w:rPr>
                <w:rFonts w:hint="eastAsia"/>
                <w:b/>
                <w:kern w:val="0"/>
                <w:szCs w:val="21"/>
              </w:rPr>
              <w:t>5.00%</w:t>
            </w:r>
          </w:p>
        </w:tc>
        <w:tc>
          <w:tcPr>
            <w:tcW w:w="835" w:type="pct"/>
            <w:shd w:val="clear" w:color="auto" w:fill="auto"/>
          </w:tcPr>
          <w:p w:rsidR="009A43AA" w:rsidRDefault="009A43AA" w:rsidP="009A43AA">
            <w:pPr>
              <w:jc w:val="center"/>
              <w:rPr>
                <w:b/>
                <w:kern w:val="0"/>
                <w:szCs w:val="21"/>
              </w:rPr>
            </w:pPr>
            <w:r>
              <w:rPr>
                <w:rFonts w:hint="eastAsia"/>
                <w:b/>
                <w:kern w:val="0"/>
                <w:szCs w:val="21"/>
              </w:rPr>
              <w:t>5.00%</w:t>
            </w:r>
          </w:p>
        </w:tc>
        <w:tc>
          <w:tcPr>
            <w:tcW w:w="835" w:type="pct"/>
            <w:shd w:val="clear" w:color="auto" w:fill="auto"/>
          </w:tcPr>
          <w:p w:rsidR="009A43AA" w:rsidRDefault="009A43AA" w:rsidP="009A43AA">
            <w:pPr>
              <w:jc w:val="center"/>
              <w:rPr>
                <w:b/>
                <w:kern w:val="0"/>
                <w:szCs w:val="21"/>
              </w:rPr>
            </w:pPr>
            <w:r>
              <w:rPr>
                <w:rFonts w:hint="eastAsia"/>
                <w:b/>
                <w:kern w:val="0"/>
                <w:szCs w:val="21"/>
              </w:rPr>
              <w:t>5.00%</w:t>
            </w:r>
          </w:p>
        </w:tc>
        <w:tc>
          <w:tcPr>
            <w:tcW w:w="833" w:type="pct"/>
            <w:shd w:val="clear" w:color="auto" w:fill="auto"/>
          </w:tcPr>
          <w:p w:rsidR="009A43AA" w:rsidRDefault="009A43AA" w:rsidP="009A43AA">
            <w:pPr>
              <w:jc w:val="center"/>
              <w:rPr>
                <w:b/>
                <w:kern w:val="0"/>
                <w:szCs w:val="21"/>
              </w:rPr>
            </w:pPr>
            <w:r>
              <w:rPr>
                <w:rFonts w:hint="eastAsia"/>
                <w:b/>
                <w:kern w:val="0"/>
                <w:szCs w:val="21"/>
              </w:rPr>
              <w:t>5.00%</w:t>
            </w:r>
          </w:p>
        </w:tc>
        <w:tc>
          <w:tcPr>
            <w:tcW w:w="833" w:type="pct"/>
            <w:shd w:val="clear" w:color="auto" w:fill="auto"/>
          </w:tcPr>
          <w:p w:rsidR="009A43AA" w:rsidRDefault="009A43AA" w:rsidP="009A43AA">
            <w:pPr>
              <w:jc w:val="center"/>
              <w:rPr>
                <w:b/>
                <w:kern w:val="0"/>
                <w:szCs w:val="21"/>
              </w:rPr>
            </w:pPr>
            <w:r>
              <w:rPr>
                <w:rFonts w:hint="eastAsia"/>
                <w:b/>
                <w:kern w:val="0"/>
                <w:szCs w:val="21"/>
              </w:rPr>
              <w:t>5.00%</w:t>
            </w:r>
          </w:p>
        </w:tc>
      </w:tr>
    </w:tbl>
    <w:p w:rsidR="009A43AA" w:rsidRDefault="009A43AA" w:rsidP="009A43AA">
      <w:pPr>
        <w:ind w:firstLineChars="250" w:firstLine="525"/>
        <w:rPr>
          <w:kern w:val="0"/>
          <w:szCs w:val="21"/>
        </w:rPr>
      </w:pPr>
      <w:r w:rsidRPr="009971B7">
        <w:rPr>
          <w:rFonts w:hint="eastAsia"/>
          <w:kern w:val="0"/>
          <w:szCs w:val="21"/>
        </w:rPr>
        <w:t>根据青岛海尔财务披露信息，可以得知其坏账准备计提方法是：①单项金额重大应收款项是指占年末余额</w:t>
      </w:r>
      <w:r w:rsidRPr="009971B7">
        <w:rPr>
          <w:rFonts w:hint="eastAsia"/>
          <w:kern w:val="0"/>
          <w:szCs w:val="21"/>
        </w:rPr>
        <w:t>5%</w:t>
      </w:r>
      <w:r w:rsidRPr="009971B7">
        <w:rPr>
          <w:rFonts w:hint="eastAsia"/>
          <w:kern w:val="0"/>
          <w:szCs w:val="21"/>
        </w:rPr>
        <w:t>以上的应收款项。对于单项金额重大且有客观证据表明发生了减值的应收款项，根据其未来现金流量现值低于其账面价值的差额计提坏账准备。对于经测试后未减值的应收款项本公司按照余额百分比法计提坏账，计提比例为</w:t>
      </w:r>
      <w:r w:rsidRPr="009971B7">
        <w:rPr>
          <w:rFonts w:hint="eastAsia"/>
          <w:kern w:val="0"/>
          <w:szCs w:val="21"/>
        </w:rPr>
        <w:t>5%</w:t>
      </w:r>
      <w:r w:rsidRPr="009971B7">
        <w:rPr>
          <w:rFonts w:hint="eastAsia"/>
          <w:kern w:val="0"/>
          <w:szCs w:val="21"/>
        </w:rPr>
        <w:t>；②单项金额不重大但按信用风险特征组合后该组合的风险较大的应收款项是指帐龄三年以上的应</w:t>
      </w:r>
      <w:r>
        <w:rPr>
          <w:rFonts w:hint="eastAsia"/>
          <w:kern w:val="0"/>
          <w:szCs w:val="21"/>
        </w:rPr>
        <w:t>收款项，但不包括单项金额重大应收款项。</w:t>
      </w:r>
      <w:r w:rsidRPr="009971B7">
        <w:rPr>
          <w:rFonts w:hint="eastAsia"/>
          <w:kern w:val="0"/>
          <w:szCs w:val="21"/>
        </w:rPr>
        <w:t>对于单项金额不重大但按信用风险特征组合后该组合的风险较大的应收款项，有客观证据表明其发生了减值的，根据未来现金流量现值低于账面价值的差额，确认为减值损失，计提坏账准备。对于经测试后未减值的</w:t>
      </w:r>
      <w:r>
        <w:rPr>
          <w:rFonts w:hint="eastAsia"/>
          <w:kern w:val="0"/>
          <w:szCs w:val="21"/>
        </w:rPr>
        <w:t>应收账款</w:t>
      </w:r>
      <w:r w:rsidRPr="009971B7">
        <w:rPr>
          <w:rFonts w:hint="eastAsia"/>
          <w:kern w:val="0"/>
          <w:szCs w:val="21"/>
        </w:rPr>
        <w:t>，本公司按照余额百分比法计提坏账，计提比例为</w:t>
      </w:r>
      <w:r w:rsidRPr="009971B7">
        <w:rPr>
          <w:rFonts w:hint="eastAsia"/>
          <w:kern w:val="0"/>
          <w:szCs w:val="21"/>
        </w:rPr>
        <w:t>5%</w:t>
      </w:r>
      <w:r w:rsidRPr="009971B7">
        <w:rPr>
          <w:rFonts w:hint="eastAsia"/>
          <w:kern w:val="0"/>
          <w:szCs w:val="21"/>
        </w:rPr>
        <w:t>。</w:t>
      </w:r>
    </w:p>
    <w:p w:rsidR="009A43AA" w:rsidRDefault="009A43AA" w:rsidP="009A43AA">
      <w:pPr>
        <w:ind w:firstLineChars="250" w:firstLine="525"/>
        <w:rPr>
          <w:kern w:val="0"/>
          <w:szCs w:val="21"/>
        </w:rPr>
      </w:pPr>
      <w:r>
        <w:rPr>
          <w:rFonts w:hint="eastAsia"/>
          <w:kern w:val="0"/>
          <w:szCs w:val="21"/>
        </w:rPr>
        <w:t>从上述政策可以看出青岛海尔在坏账准备计提上还是相对谨慎的，一方面进行减值测试，另一方面对于经减值测试没有发生减值的应收账款按余额百分比法计提坏账准备，这样</w:t>
      </w:r>
    </w:p>
    <w:p w:rsidR="009A43AA" w:rsidRDefault="009A43AA" w:rsidP="009A43AA">
      <w:pPr>
        <w:rPr>
          <w:kern w:val="0"/>
          <w:szCs w:val="21"/>
        </w:rPr>
      </w:pPr>
      <w:r>
        <w:rPr>
          <w:rFonts w:hint="eastAsia"/>
          <w:kern w:val="0"/>
          <w:szCs w:val="21"/>
        </w:rPr>
        <w:t>从政策层面上充分考虑了估计坏账损失的可能性，在一定程度上确保了没有高估资产。但是这里有三点疑问需要关注：第一，基于何种考虑将坏账准备计提比例确定为</w:t>
      </w:r>
      <w:r>
        <w:rPr>
          <w:rFonts w:hint="eastAsia"/>
          <w:kern w:val="0"/>
          <w:szCs w:val="21"/>
        </w:rPr>
        <w:t>5%</w:t>
      </w:r>
      <w:r>
        <w:rPr>
          <w:rFonts w:hint="eastAsia"/>
          <w:kern w:val="0"/>
          <w:szCs w:val="21"/>
        </w:rPr>
        <w:t>，从披露的信息中没有查阅到相关根据和解释；第二，基于上面对其坏账准备政策的两面分析，可以合理得出坏账准备计提比率（无论是平均还是单项）持续保持</w:t>
      </w:r>
      <w:r>
        <w:rPr>
          <w:rFonts w:hint="eastAsia"/>
          <w:kern w:val="0"/>
          <w:szCs w:val="21"/>
        </w:rPr>
        <w:t>5%</w:t>
      </w:r>
      <w:r>
        <w:rPr>
          <w:rFonts w:hint="eastAsia"/>
          <w:kern w:val="0"/>
          <w:szCs w:val="21"/>
        </w:rPr>
        <w:t>的可能性应该是较小的，除非存在减值测试的应收账款的计提比率也是</w:t>
      </w:r>
      <w:r>
        <w:rPr>
          <w:rFonts w:hint="eastAsia"/>
          <w:kern w:val="0"/>
          <w:szCs w:val="21"/>
        </w:rPr>
        <w:t>5%</w:t>
      </w:r>
      <w:r>
        <w:rPr>
          <w:rFonts w:hint="eastAsia"/>
          <w:kern w:val="0"/>
          <w:szCs w:val="21"/>
        </w:rPr>
        <w:t>，但这种可能性也是比较小的，但从上表计算可以看出，青岛海尔坏账准备计提比率皆为</w:t>
      </w:r>
      <w:r>
        <w:rPr>
          <w:rFonts w:hint="eastAsia"/>
          <w:kern w:val="0"/>
          <w:szCs w:val="21"/>
        </w:rPr>
        <w:t>5%</w:t>
      </w:r>
      <w:r>
        <w:rPr>
          <w:rFonts w:hint="eastAsia"/>
          <w:kern w:val="0"/>
          <w:szCs w:val="21"/>
        </w:rPr>
        <w:t>，这使得我们合理怀疑青岛海尔坏账准备政策执行的可靠性；第三，通常情况下，账龄越长，账款回收的可能性应该越低，因此应当相应提高计提比率，才能充分反映应收账款的质量，但通过上表我们可以看出，对于不同账龄的应收账款，青岛海尔的计提比率均为</w:t>
      </w:r>
      <w:r>
        <w:rPr>
          <w:rFonts w:hint="eastAsia"/>
          <w:kern w:val="0"/>
          <w:szCs w:val="21"/>
        </w:rPr>
        <w:t>5%</w:t>
      </w:r>
      <w:r>
        <w:rPr>
          <w:rFonts w:hint="eastAsia"/>
          <w:kern w:val="0"/>
          <w:szCs w:val="21"/>
        </w:rPr>
        <w:t>，这在一定程度上影响会计利润的质量，可以合理推断，青岛海尔存在少提坏账准备以粉饰报表利润的嫌疑，当然也可能是青岛海尔是基于重要性的考虑，即由于</w:t>
      </w:r>
      <w:r>
        <w:rPr>
          <w:rFonts w:hint="eastAsia"/>
          <w:kern w:val="0"/>
          <w:szCs w:val="21"/>
        </w:rPr>
        <w:t>2</w:t>
      </w:r>
      <w:r>
        <w:rPr>
          <w:rFonts w:hint="eastAsia"/>
          <w:kern w:val="0"/>
          <w:szCs w:val="21"/>
        </w:rPr>
        <w:t>年以上的应收账款占比较小，从而采用统一的计提标准。我们倾向于前者，因为对于后者青岛海尔在报表附注中并没有给出相应的解释；第四，对应收账款增长的分析，我们得出青岛海尔可能采取了宽松的信用政策，其提供的资料解释也在一定程度上印证了该种猜猜，再加上近几年受金融危机的影响，白色家电行业整体不景气，以及成熟期的饱和竞争，基于此，我们认为青岛海尔应对坏账准备的会计估计也应当相应变更，以便更好的反映现实经济情况，但从上面的分析中，我们看出其坏账准备估计并没有发生变更，这在一定程度上也影响了会计利润质量，从而我们合理推测，青岛海尔坏账准备的会计估计可能存在差错，不能真实的反映经济状况。</w:t>
      </w:r>
    </w:p>
    <w:p w:rsidR="009A43AA" w:rsidRDefault="009A43AA" w:rsidP="009A43AA">
      <w:pPr>
        <w:rPr>
          <w:kern w:val="0"/>
          <w:szCs w:val="21"/>
        </w:rPr>
      </w:pPr>
      <w:r w:rsidRPr="00B46E42">
        <w:rPr>
          <w:rFonts w:hint="eastAsia"/>
          <w:kern w:val="0"/>
          <w:szCs w:val="21"/>
        </w:rPr>
        <w:t>（</w:t>
      </w:r>
      <w:r w:rsidRPr="00B46E42">
        <w:rPr>
          <w:rFonts w:hint="eastAsia"/>
          <w:kern w:val="0"/>
          <w:szCs w:val="21"/>
        </w:rPr>
        <w:t>3</w:t>
      </w:r>
      <w:r w:rsidRPr="00B46E42">
        <w:rPr>
          <w:rFonts w:hint="eastAsia"/>
          <w:kern w:val="0"/>
          <w:szCs w:val="21"/>
        </w:rPr>
        <w:t>）</w:t>
      </w:r>
      <w:r w:rsidRPr="00F375B8">
        <w:rPr>
          <w:rFonts w:hint="eastAsia"/>
          <w:b/>
          <w:kern w:val="0"/>
          <w:szCs w:val="21"/>
        </w:rPr>
        <w:t>关联方交易</w:t>
      </w:r>
      <w:r>
        <w:rPr>
          <w:rFonts w:hint="eastAsia"/>
          <w:b/>
          <w:kern w:val="0"/>
          <w:szCs w:val="21"/>
        </w:rPr>
        <w:t>的影响</w:t>
      </w:r>
      <w:r w:rsidRPr="00B46E42">
        <w:rPr>
          <w:rFonts w:hint="eastAsia"/>
          <w:kern w:val="0"/>
          <w:szCs w:val="21"/>
        </w:rPr>
        <w:t>。青岛海尔股权复杂</w:t>
      </w:r>
      <w:r>
        <w:rPr>
          <w:rFonts w:hint="eastAsia"/>
          <w:kern w:val="0"/>
          <w:szCs w:val="21"/>
        </w:rPr>
        <w:t>，投资对象较多，存在着较多的关联方。由于关联方交易的主观性、</w:t>
      </w:r>
      <w:r w:rsidRPr="00B46E42">
        <w:rPr>
          <w:rFonts w:hint="eastAsia"/>
          <w:kern w:val="0"/>
          <w:szCs w:val="21"/>
        </w:rPr>
        <w:t>不公允性和不具备商业实质，从而在理论上，</w:t>
      </w:r>
      <w:r>
        <w:rPr>
          <w:rFonts w:hint="eastAsia"/>
          <w:kern w:val="0"/>
          <w:szCs w:val="21"/>
        </w:rPr>
        <w:t>客观地为其</w:t>
      </w:r>
      <w:r w:rsidRPr="00B46E42">
        <w:rPr>
          <w:rFonts w:hint="eastAsia"/>
          <w:kern w:val="0"/>
          <w:szCs w:val="21"/>
        </w:rPr>
        <w:t>提供了利用关联方交易操纵利润、转移</w:t>
      </w:r>
      <w:r>
        <w:rPr>
          <w:rFonts w:hint="eastAsia"/>
          <w:kern w:val="0"/>
          <w:szCs w:val="21"/>
        </w:rPr>
        <w:t>债务和虚增资产的可能性，尤其是在其故意隐瞒关联方的情况下，这种可能性更高。</w:t>
      </w:r>
    </w:p>
    <w:p w:rsidR="009A43AA" w:rsidRDefault="009A43AA" w:rsidP="009A43AA">
      <w:pPr>
        <w:jc w:val="center"/>
        <w:rPr>
          <w:b/>
          <w:kern w:val="0"/>
          <w:szCs w:val="21"/>
        </w:rPr>
      </w:pPr>
    </w:p>
    <w:p w:rsidR="009A43AA" w:rsidRPr="00B46E42" w:rsidRDefault="009A43AA" w:rsidP="009A43AA">
      <w:pPr>
        <w:jc w:val="center"/>
        <w:rPr>
          <w:b/>
          <w:kern w:val="0"/>
          <w:szCs w:val="21"/>
        </w:rPr>
      </w:pPr>
      <w:r w:rsidRPr="00B46E42">
        <w:rPr>
          <w:rFonts w:hint="eastAsia"/>
          <w:b/>
          <w:kern w:val="0"/>
          <w:szCs w:val="21"/>
        </w:rPr>
        <w:t>表</w:t>
      </w:r>
      <w:r w:rsidRPr="00B46E42">
        <w:rPr>
          <w:rFonts w:hint="eastAsia"/>
          <w:b/>
          <w:kern w:val="0"/>
          <w:szCs w:val="21"/>
        </w:rPr>
        <w:t xml:space="preserve">4 </w:t>
      </w:r>
      <w:r w:rsidRPr="00B46E42">
        <w:rPr>
          <w:rFonts w:hint="eastAsia"/>
          <w:b/>
          <w:kern w:val="0"/>
          <w:szCs w:val="21"/>
        </w:rPr>
        <w:t>青岛海尔应收账款关联方占比状况</w:t>
      </w:r>
    </w:p>
    <w:tbl>
      <w:tblPr>
        <w:tblStyle w:val="a3"/>
        <w:tblW w:w="0" w:type="auto"/>
        <w:tblLook w:val="01E0" w:firstRow="1" w:lastRow="1" w:firstColumn="1" w:lastColumn="1" w:noHBand="0" w:noVBand="0"/>
      </w:tblPr>
      <w:tblGrid>
        <w:gridCol w:w="1356"/>
        <w:gridCol w:w="1385"/>
        <w:gridCol w:w="1385"/>
        <w:gridCol w:w="1385"/>
        <w:gridCol w:w="1399"/>
        <w:gridCol w:w="1386"/>
      </w:tblGrid>
      <w:tr w:rsidR="009A43AA">
        <w:tc>
          <w:tcPr>
            <w:tcW w:w="1420" w:type="dxa"/>
          </w:tcPr>
          <w:p w:rsidR="009A43AA" w:rsidRDefault="009A43AA" w:rsidP="009A43AA">
            <w:pPr>
              <w:rPr>
                <w:kern w:val="0"/>
                <w:szCs w:val="21"/>
              </w:rPr>
            </w:pPr>
            <w:r>
              <w:rPr>
                <w:rFonts w:hint="eastAsia"/>
                <w:kern w:val="0"/>
                <w:szCs w:val="21"/>
              </w:rPr>
              <w:t>项目</w:t>
            </w:r>
          </w:p>
        </w:tc>
        <w:tc>
          <w:tcPr>
            <w:tcW w:w="1420" w:type="dxa"/>
          </w:tcPr>
          <w:p w:rsidR="009A43AA" w:rsidRDefault="009A43AA" w:rsidP="009A43AA">
            <w:pPr>
              <w:rPr>
                <w:kern w:val="0"/>
                <w:szCs w:val="21"/>
              </w:rPr>
            </w:pPr>
            <w:r>
              <w:rPr>
                <w:rFonts w:hint="eastAsia"/>
                <w:kern w:val="0"/>
                <w:szCs w:val="21"/>
              </w:rPr>
              <w:t>2008</w:t>
            </w:r>
            <w:r>
              <w:rPr>
                <w:rFonts w:hint="eastAsia"/>
                <w:kern w:val="0"/>
                <w:szCs w:val="21"/>
              </w:rPr>
              <w:t>年</w:t>
            </w:r>
          </w:p>
        </w:tc>
        <w:tc>
          <w:tcPr>
            <w:tcW w:w="1420" w:type="dxa"/>
          </w:tcPr>
          <w:p w:rsidR="009A43AA" w:rsidRDefault="009A43AA" w:rsidP="009A43AA">
            <w:pPr>
              <w:rPr>
                <w:kern w:val="0"/>
                <w:szCs w:val="21"/>
              </w:rPr>
            </w:pPr>
            <w:r>
              <w:rPr>
                <w:rFonts w:hint="eastAsia"/>
                <w:kern w:val="0"/>
                <w:szCs w:val="21"/>
              </w:rPr>
              <w:t>2009</w:t>
            </w:r>
            <w:r>
              <w:rPr>
                <w:rFonts w:hint="eastAsia"/>
                <w:kern w:val="0"/>
                <w:szCs w:val="21"/>
              </w:rPr>
              <w:t>年</w:t>
            </w:r>
          </w:p>
        </w:tc>
        <w:tc>
          <w:tcPr>
            <w:tcW w:w="1420" w:type="dxa"/>
          </w:tcPr>
          <w:p w:rsidR="009A43AA" w:rsidRDefault="009A43AA" w:rsidP="009A43AA">
            <w:pPr>
              <w:rPr>
                <w:kern w:val="0"/>
                <w:szCs w:val="21"/>
              </w:rPr>
            </w:pPr>
            <w:r>
              <w:rPr>
                <w:rFonts w:hint="eastAsia"/>
                <w:kern w:val="0"/>
                <w:szCs w:val="21"/>
              </w:rPr>
              <w:t>2010</w:t>
            </w:r>
            <w:r>
              <w:rPr>
                <w:rFonts w:hint="eastAsia"/>
                <w:kern w:val="0"/>
                <w:szCs w:val="21"/>
              </w:rPr>
              <w:t>年</w:t>
            </w:r>
          </w:p>
        </w:tc>
        <w:tc>
          <w:tcPr>
            <w:tcW w:w="1421" w:type="dxa"/>
          </w:tcPr>
          <w:p w:rsidR="009A43AA" w:rsidRDefault="009A43AA" w:rsidP="009A43AA">
            <w:pPr>
              <w:rPr>
                <w:kern w:val="0"/>
                <w:szCs w:val="21"/>
              </w:rPr>
            </w:pPr>
            <w:r>
              <w:rPr>
                <w:rFonts w:hint="eastAsia"/>
                <w:kern w:val="0"/>
                <w:szCs w:val="21"/>
              </w:rPr>
              <w:t>2011</w:t>
            </w:r>
            <w:r>
              <w:rPr>
                <w:rFonts w:hint="eastAsia"/>
                <w:kern w:val="0"/>
                <w:szCs w:val="21"/>
              </w:rPr>
              <w:t>年</w:t>
            </w:r>
          </w:p>
        </w:tc>
        <w:tc>
          <w:tcPr>
            <w:tcW w:w="1421" w:type="dxa"/>
          </w:tcPr>
          <w:p w:rsidR="009A43AA" w:rsidRDefault="009A43AA" w:rsidP="009A43AA">
            <w:pPr>
              <w:rPr>
                <w:kern w:val="0"/>
                <w:szCs w:val="21"/>
              </w:rPr>
            </w:pPr>
            <w:r>
              <w:rPr>
                <w:rFonts w:hint="eastAsia"/>
                <w:kern w:val="0"/>
                <w:szCs w:val="21"/>
              </w:rPr>
              <w:t>2012</w:t>
            </w:r>
            <w:r>
              <w:rPr>
                <w:rFonts w:hint="eastAsia"/>
                <w:kern w:val="0"/>
                <w:szCs w:val="21"/>
              </w:rPr>
              <w:t>年</w:t>
            </w:r>
          </w:p>
        </w:tc>
      </w:tr>
      <w:tr w:rsidR="009A43AA">
        <w:tc>
          <w:tcPr>
            <w:tcW w:w="1420" w:type="dxa"/>
          </w:tcPr>
          <w:p w:rsidR="009A43AA" w:rsidRDefault="009A43AA" w:rsidP="009A43AA">
            <w:pPr>
              <w:rPr>
                <w:kern w:val="0"/>
                <w:szCs w:val="21"/>
              </w:rPr>
            </w:pPr>
            <w:r>
              <w:rPr>
                <w:rFonts w:hint="eastAsia"/>
                <w:kern w:val="0"/>
                <w:szCs w:val="21"/>
              </w:rPr>
              <w:t>比率</w:t>
            </w:r>
          </w:p>
        </w:tc>
        <w:tc>
          <w:tcPr>
            <w:tcW w:w="1420" w:type="dxa"/>
          </w:tcPr>
          <w:p w:rsidR="009A43AA" w:rsidRPr="00BA09A8" w:rsidRDefault="009A43AA" w:rsidP="009A43AA">
            <w:pPr>
              <w:rPr>
                <w:kern w:val="0"/>
                <w:szCs w:val="21"/>
              </w:rPr>
            </w:pPr>
            <w:r w:rsidRPr="00BA09A8">
              <w:rPr>
                <w:kern w:val="0"/>
                <w:szCs w:val="21"/>
              </w:rPr>
              <w:t>29.12%</w:t>
            </w:r>
          </w:p>
        </w:tc>
        <w:tc>
          <w:tcPr>
            <w:tcW w:w="1420" w:type="dxa"/>
          </w:tcPr>
          <w:p w:rsidR="009A43AA" w:rsidRPr="00BA09A8" w:rsidRDefault="009A43AA" w:rsidP="009A43AA">
            <w:pPr>
              <w:rPr>
                <w:kern w:val="0"/>
                <w:szCs w:val="21"/>
              </w:rPr>
            </w:pPr>
            <w:r w:rsidRPr="00BA09A8">
              <w:rPr>
                <w:kern w:val="0"/>
                <w:szCs w:val="21"/>
              </w:rPr>
              <w:t>47.86%</w:t>
            </w:r>
          </w:p>
        </w:tc>
        <w:tc>
          <w:tcPr>
            <w:tcW w:w="1420" w:type="dxa"/>
          </w:tcPr>
          <w:p w:rsidR="009A43AA" w:rsidRPr="00BA09A8" w:rsidRDefault="009A43AA" w:rsidP="009A43AA">
            <w:pPr>
              <w:rPr>
                <w:kern w:val="0"/>
                <w:szCs w:val="21"/>
              </w:rPr>
            </w:pPr>
            <w:r w:rsidRPr="00BA09A8">
              <w:rPr>
                <w:kern w:val="0"/>
                <w:szCs w:val="21"/>
              </w:rPr>
              <w:t>44.87%</w:t>
            </w:r>
          </w:p>
        </w:tc>
        <w:tc>
          <w:tcPr>
            <w:tcW w:w="1421" w:type="dxa"/>
          </w:tcPr>
          <w:p w:rsidR="009A43AA" w:rsidRPr="00BA09A8" w:rsidRDefault="009A43AA" w:rsidP="009A43AA">
            <w:pPr>
              <w:rPr>
                <w:kern w:val="0"/>
                <w:szCs w:val="21"/>
              </w:rPr>
            </w:pPr>
            <w:r>
              <w:rPr>
                <w:kern w:val="0"/>
                <w:szCs w:val="21"/>
              </w:rPr>
              <w:t>42</w:t>
            </w:r>
            <w:r>
              <w:rPr>
                <w:rFonts w:hint="eastAsia"/>
                <w:kern w:val="0"/>
                <w:szCs w:val="21"/>
              </w:rPr>
              <w:t>．</w:t>
            </w:r>
            <w:r>
              <w:rPr>
                <w:kern w:val="0"/>
                <w:szCs w:val="21"/>
              </w:rPr>
              <w:t xml:space="preserve">25 </w:t>
            </w:r>
            <w:r w:rsidRPr="00BA09A8">
              <w:rPr>
                <w:kern w:val="0"/>
                <w:szCs w:val="21"/>
              </w:rPr>
              <w:t>%</w:t>
            </w:r>
          </w:p>
        </w:tc>
        <w:tc>
          <w:tcPr>
            <w:tcW w:w="1421" w:type="dxa"/>
          </w:tcPr>
          <w:p w:rsidR="009A43AA" w:rsidRPr="00BA09A8" w:rsidRDefault="009A43AA" w:rsidP="009A43AA">
            <w:pPr>
              <w:rPr>
                <w:kern w:val="0"/>
                <w:szCs w:val="21"/>
              </w:rPr>
            </w:pPr>
            <w:r w:rsidRPr="00BA09A8">
              <w:rPr>
                <w:kern w:val="0"/>
                <w:szCs w:val="21"/>
              </w:rPr>
              <w:t>46.51%</w:t>
            </w:r>
          </w:p>
        </w:tc>
      </w:tr>
    </w:tbl>
    <w:p w:rsidR="009A43AA" w:rsidRDefault="009A43AA" w:rsidP="009A43AA">
      <w:pPr>
        <w:rPr>
          <w:kern w:val="0"/>
          <w:szCs w:val="21"/>
        </w:rPr>
      </w:pPr>
      <w:r>
        <w:rPr>
          <w:rFonts w:hint="eastAsia"/>
          <w:kern w:val="0"/>
          <w:szCs w:val="21"/>
        </w:rPr>
        <w:t xml:space="preserve">     </w:t>
      </w:r>
      <w:r>
        <w:rPr>
          <w:rFonts w:hint="eastAsia"/>
          <w:kern w:val="0"/>
          <w:szCs w:val="21"/>
        </w:rPr>
        <w:t>从上表中我们看出，除了</w:t>
      </w:r>
      <w:r>
        <w:rPr>
          <w:rFonts w:hint="eastAsia"/>
          <w:kern w:val="0"/>
          <w:szCs w:val="21"/>
        </w:rPr>
        <w:t>2008</w:t>
      </w:r>
      <w:r>
        <w:rPr>
          <w:rFonts w:hint="eastAsia"/>
          <w:kern w:val="0"/>
          <w:szCs w:val="21"/>
        </w:rPr>
        <w:t>年外，其他四年应收账款关联方占比均比较高，保持在</w:t>
      </w:r>
      <w:r>
        <w:rPr>
          <w:rFonts w:hint="eastAsia"/>
          <w:kern w:val="0"/>
          <w:szCs w:val="21"/>
        </w:rPr>
        <w:t>40%</w:t>
      </w:r>
      <w:r>
        <w:rPr>
          <w:rFonts w:hint="eastAsia"/>
          <w:kern w:val="0"/>
          <w:szCs w:val="21"/>
        </w:rPr>
        <w:t>以上，由于应收账款通常是由于销售商品和提供劳务所产生，因此从这一点我们推测青岛海尔的销售与其关联方密切相关。由于关联方之间通常存在着控制、共同控制和重大影响，</w:t>
      </w:r>
      <w:r>
        <w:rPr>
          <w:rFonts w:hint="eastAsia"/>
          <w:kern w:val="0"/>
          <w:szCs w:val="21"/>
        </w:rPr>
        <w:lastRenderedPageBreak/>
        <w:t>其财务政策和经营政策通常相互影响，因此在一定程度上削弱了交易的独立性和公允性，同时应收账款也可能是以一种变相的融资方式注入转移到关联方，从而造成资金的占用。因此从关联方交易出发，我们推断青岛海尔应收账款的质量可能存在疑虑，需要重点关注，当然这需要结合收入分析综合判断。</w:t>
      </w:r>
    </w:p>
    <w:p w:rsidR="009A43AA" w:rsidRDefault="009A43AA" w:rsidP="009A43AA">
      <w:pPr>
        <w:rPr>
          <w:b/>
          <w:kern w:val="0"/>
          <w:sz w:val="24"/>
        </w:rPr>
      </w:pPr>
      <w:r w:rsidRPr="00963C1C">
        <w:rPr>
          <w:rFonts w:hint="eastAsia"/>
          <w:b/>
          <w:kern w:val="0"/>
          <w:sz w:val="24"/>
        </w:rPr>
        <w:t xml:space="preserve">3 </w:t>
      </w:r>
      <w:r w:rsidRPr="00963C1C">
        <w:rPr>
          <w:rFonts w:hint="eastAsia"/>
          <w:b/>
          <w:kern w:val="0"/>
          <w:sz w:val="24"/>
        </w:rPr>
        <w:t>收入</w:t>
      </w:r>
      <w:r>
        <w:rPr>
          <w:rFonts w:hint="eastAsia"/>
          <w:b/>
          <w:kern w:val="0"/>
          <w:sz w:val="24"/>
        </w:rPr>
        <w:t>确认</w:t>
      </w:r>
      <w:r w:rsidRPr="00963C1C">
        <w:rPr>
          <w:rFonts w:hint="eastAsia"/>
          <w:b/>
          <w:kern w:val="0"/>
          <w:sz w:val="24"/>
        </w:rPr>
        <w:t>政策分析</w:t>
      </w:r>
    </w:p>
    <w:p w:rsidR="009A43AA" w:rsidRPr="00C21CD6" w:rsidRDefault="009A43AA" w:rsidP="009A43AA">
      <w:pPr>
        <w:autoSpaceDE w:val="0"/>
        <w:autoSpaceDN w:val="0"/>
        <w:adjustRightInd w:val="0"/>
        <w:rPr>
          <w:rFonts w:ascii="宋体" w:cs="宋体"/>
          <w:kern w:val="0"/>
          <w:szCs w:val="21"/>
        </w:rPr>
      </w:pPr>
      <w:r w:rsidRPr="004E7A03">
        <w:rPr>
          <w:rFonts w:hint="eastAsia"/>
          <w:b/>
          <w:kern w:val="0"/>
          <w:szCs w:val="21"/>
        </w:rPr>
        <w:t>（</w:t>
      </w:r>
      <w:r>
        <w:rPr>
          <w:rFonts w:hint="eastAsia"/>
          <w:b/>
          <w:kern w:val="0"/>
          <w:szCs w:val="21"/>
        </w:rPr>
        <w:t>1</w:t>
      </w:r>
      <w:r w:rsidRPr="004E7A03">
        <w:rPr>
          <w:rFonts w:hint="eastAsia"/>
          <w:b/>
          <w:kern w:val="0"/>
          <w:szCs w:val="21"/>
        </w:rPr>
        <w:t>）</w:t>
      </w:r>
      <w:r>
        <w:rPr>
          <w:rFonts w:hint="eastAsia"/>
          <w:b/>
          <w:kern w:val="0"/>
          <w:szCs w:val="21"/>
        </w:rPr>
        <w:t>收入政策关注重点分析。</w:t>
      </w:r>
      <w:r w:rsidRPr="00C21CD6">
        <w:rPr>
          <w:rFonts w:hint="eastAsia"/>
          <w:kern w:val="0"/>
          <w:szCs w:val="21"/>
        </w:rPr>
        <w:t>收入是企业在日常活动中形成的、会导致所有者权益增加的、与所有者投入资本无关的经济利益的总流入。作为一家典型的制造企业，销售收入是青岛海尔收入的主要来源，因此我们将重点关注销售收入的分析，基于收入确认的高度主观判断性，以及青岛海尔财务报告所提供的资料有限的局限性，我们将采用定性分析的方法，重点关注家电行业收入确认的难点，分析的出发点是：何时在财务报表中确认收入才是恰当的</w:t>
      </w:r>
      <w:r>
        <w:rPr>
          <w:rFonts w:hint="eastAsia"/>
          <w:kern w:val="0"/>
          <w:szCs w:val="21"/>
        </w:rPr>
        <w:t>，主要从五个方面入手：（一）</w:t>
      </w:r>
      <w:r w:rsidRPr="00C21CD6">
        <w:rPr>
          <w:rFonts w:hint="eastAsia"/>
          <w:kern w:val="0"/>
          <w:szCs w:val="21"/>
        </w:rPr>
        <w:t>，青岛海尔的收入确认是否真的基于“风险和报酬实质转移”标准，收入准则规定，</w:t>
      </w:r>
      <w:r w:rsidRPr="00C21CD6">
        <w:rPr>
          <w:rFonts w:ascii="宋体" w:cs="宋体" w:hint="eastAsia"/>
          <w:kern w:val="0"/>
          <w:szCs w:val="21"/>
        </w:rPr>
        <w:t>附有退货条款的销售，如果企业无法根据以往经验合理估计退货比例，在退货期届满前，不得确认销售收入。青岛海尔作为制造企业，因产品质量问题或者其他原因发生退货是很正常的，因此需要合理关注其是否在不能合理确认退货率的情况下全部确认当期收入，从而存在虚增收入的可能；</w:t>
      </w:r>
      <w:r>
        <w:rPr>
          <w:rFonts w:ascii="宋体" w:cs="宋体" w:hint="eastAsia"/>
          <w:kern w:val="0"/>
          <w:szCs w:val="21"/>
        </w:rPr>
        <w:t>（二）</w:t>
      </w:r>
      <w:r w:rsidRPr="00C21CD6">
        <w:rPr>
          <w:rFonts w:ascii="宋体" w:cs="宋体" w:hint="eastAsia"/>
          <w:kern w:val="0"/>
          <w:szCs w:val="21"/>
        </w:rPr>
        <w:t>青岛海尔是否合理区分了预收账款和收入确认的界限，从而是否存在提前确认收入的可能性。对于青岛海尔来说，客户在发货前提前付款是一个很正常的情况，但这并不能说明已经符合收入确认的条件。在通常情况下可能是青岛海尔的销售政策所致，因此需要其他条件综合判断预收账款是否符合收入确认条件，而不能仅仅以已经收到款项作为判断依据。将预收账款提前确认为收入，可能会给管理层提供人为提高当期收益的机会，从而降低财务报告的可信度，误导投资者。</w:t>
      </w:r>
      <w:r>
        <w:rPr>
          <w:rFonts w:ascii="宋体" w:cs="宋体" w:hint="eastAsia"/>
          <w:kern w:val="0"/>
          <w:szCs w:val="21"/>
        </w:rPr>
        <w:t>（三）</w:t>
      </w:r>
      <w:r w:rsidRPr="00C21CD6">
        <w:rPr>
          <w:rFonts w:ascii="宋体" w:cs="宋体" w:hint="eastAsia"/>
          <w:kern w:val="0"/>
          <w:szCs w:val="21"/>
        </w:rPr>
        <w:t>由于青岛海尔所属的家电行业属于我国政府补贴行业，政府可能会出于各种原因给予企业一定的补贴，但根据会计准则，政府补助属于非经常性收益，不属于企业的收入。对于处于行业领头地位的青岛海尔会获得政府的各种补贴，并且数额重大，因此需要关注其是否合理区分政府补助和收入的界限。</w:t>
      </w:r>
      <w:r>
        <w:rPr>
          <w:rFonts w:ascii="宋体" w:cs="宋体" w:hint="eastAsia"/>
          <w:kern w:val="0"/>
          <w:szCs w:val="21"/>
        </w:rPr>
        <w:t>（四）</w:t>
      </w:r>
      <w:r w:rsidRPr="00C21CD6">
        <w:rPr>
          <w:rFonts w:ascii="宋体" w:cs="宋体" w:hint="eastAsia"/>
          <w:kern w:val="0"/>
          <w:szCs w:val="21"/>
        </w:rPr>
        <w:t>青岛海尔的销售模式中存在着代理代销业务，这一业务在很大程度上也着影响着收入的质量。代理代销业务分为买断式和非买断式两种，二者的差别在于风险和报酬是否转移。对于买断式，由于风险和报酬已经实质转移，可视同销售，确认收入；对于非买断式，由于风险和报酬仍保留在企业，因此在发出商品时不能确认收入，等收到销售清单时才能确认。因此需要重点关注青岛海尔非买断式代销的收入确认，看其是否存在提前确认收入的可能性。</w:t>
      </w:r>
      <w:r>
        <w:rPr>
          <w:rFonts w:ascii="宋体" w:cs="宋体" w:hint="eastAsia"/>
          <w:kern w:val="0"/>
          <w:szCs w:val="21"/>
        </w:rPr>
        <w:t>（五）</w:t>
      </w:r>
      <w:r w:rsidRPr="00C21CD6">
        <w:rPr>
          <w:rFonts w:ascii="宋体" w:cs="宋体" w:hint="eastAsia"/>
          <w:kern w:val="0"/>
          <w:szCs w:val="21"/>
        </w:rPr>
        <w:t>由于青岛海尔存在着众多关联方，因此需要关注青岛海尔是否存在利用关联方交易虚增收入的可能性，由于会计准则并没有禁止确认源自关联叫哟的收入，而是要求披露与此相关的关联交易的性质、条件、金额和定价政策，因此对于关联方交易我们应重点关注青岛海尔关联交易的实质，这一分析将在下面具体讨论，此处不再赘述。</w:t>
      </w:r>
    </w:p>
    <w:p w:rsidR="009A43AA" w:rsidRPr="00E21C51" w:rsidRDefault="009A43AA" w:rsidP="009A43AA">
      <w:pPr>
        <w:rPr>
          <w:kern w:val="0"/>
          <w:szCs w:val="21"/>
        </w:rPr>
      </w:pPr>
      <w:r w:rsidRPr="00B94057">
        <w:rPr>
          <w:rFonts w:hint="eastAsia"/>
          <w:b/>
          <w:kern w:val="0"/>
          <w:szCs w:val="21"/>
        </w:rPr>
        <w:t>（</w:t>
      </w:r>
      <w:r w:rsidRPr="00B94057">
        <w:rPr>
          <w:rFonts w:hint="eastAsia"/>
          <w:b/>
          <w:kern w:val="0"/>
          <w:szCs w:val="21"/>
        </w:rPr>
        <w:t>2</w:t>
      </w:r>
      <w:r w:rsidRPr="00B94057">
        <w:rPr>
          <w:rFonts w:hint="eastAsia"/>
          <w:b/>
          <w:kern w:val="0"/>
          <w:szCs w:val="21"/>
        </w:rPr>
        <w:t>）主营业务收入增长趋势分析。</w:t>
      </w:r>
      <w:r w:rsidRPr="00E21C51">
        <w:rPr>
          <w:rFonts w:hint="eastAsia"/>
          <w:kern w:val="0"/>
          <w:szCs w:val="21"/>
        </w:rPr>
        <w:t>基于上面的定性分析，我们绘制主营业务收入增长趋势变化图表（图</w:t>
      </w:r>
      <w:r w:rsidRPr="00E21C51">
        <w:rPr>
          <w:rFonts w:hint="eastAsia"/>
          <w:kern w:val="0"/>
          <w:szCs w:val="21"/>
        </w:rPr>
        <w:t>1</w:t>
      </w:r>
      <w:r w:rsidRPr="00E21C51">
        <w:rPr>
          <w:rFonts w:hint="eastAsia"/>
          <w:kern w:val="0"/>
          <w:szCs w:val="21"/>
        </w:rPr>
        <w:t>和表</w:t>
      </w:r>
      <w:r w:rsidRPr="00E21C51">
        <w:rPr>
          <w:rFonts w:hint="eastAsia"/>
          <w:kern w:val="0"/>
          <w:szCs w:val="21"/>
        </w:rPr>
        <w:t>4</w:t>
      </w:r>
      <w:r w:rsidRPr="00E21C51">
        <w:rPr>
          <w:rFonts w:hint="eastAsia"/>
          <w:kern w:val="0"/>
          <w:szCs w:val="21"/>
        </w:rPr>
        <w:t>），以便从整体上考察青岛海尔收入确认的合理性</w:t>
      </w:r>
      <w:r>
        <w:rPr>
          <w:rFonts w:hint="eastAsia"/>
          <w:kern w:val="0"/>
          <w:szCs w:val="21"/>
        </w:rPr>
        <w:t>。</w:t>
      </w:r>
    </w:p>
    <w:p w:rsidR="009A43AA" w:rsidRPr="001305C3" w:rsidRDefault="009A43AA" w:rsidP="009A43AA">
      <w:pPr>
        <w:rPr>
          <w:b/>
          <w:kern w:val="0"/>
          <w:szCs w:val="21"/>
        </w:rPr>
      </w:pPr>
    </w:p>
    <w:p w:rsidR="009A43AA" w:rsidRPr="00F21DBD" w:rsidRDefault="00A14000" w:rsidP="009A43AA">
      <w:pPr>
        <w:jc w:val="center"/>
      </w:pPr>
      <w:r>
        <w:rPr>
          <w:noProof/>
        </w:rPr>
        <w:lastRenderedPageBreak/>
        <mc:AlternateContent>
          <mc:Choice Requires="wpc">
            <w:drawing>
              <wp:inline distT="0" distB="0" distL="0" distR="0">
                <wp:extent cx="3390900" cy="1885950"/>
                <wp:effectExtent l="3175" t="9525" r="6350" b="9525"/>
                <wp:docPr id="47" name="画布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13"/>
                        <wps:cNvSpPr>
                          <a:spLocks noChangeArrowheads="1"/>
                        </wps:cNvSpPr>
                        <wps:spPr bwMode="auto">
                          <a:xfrm>
                            <a:off x="114300" y="0"/>
                            <a:ext cx="3276600" cy="1885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Rectangle 14"/>
                        <wps:cNvSpPr>
                          <a:spLocks noChangeArrowheads="1"/>
                        </wps:cNvSpPr>
                        <wps:spPr bwMode="auto">
                          <a:xfrm>
                            <a:off x="657225" y="542925"/>
                            <a:ext cx="2581275" cy="98107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Line 15"/>
                        <wps:cNvCnPr>
                          <a:cxnSpLocks noChangeShapeType="1"/>
                        </wps:cNvCnPr>
                        <wps:spPr bwMode="auto">
                          <a:xfrm>
                            <a:off x="657225" y="1323975"/>
                            <a:ext cx="25812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 name="Line 16"/>
                        <wps:cNvCnPr>
                          <a:cxnSpLocks noChangeShapeType="1"/>
                        </wps:cNvCnPr>
                        <wps:spPr bwMode="auto">
                          <a:xfrm>
                            <a:off x="657225" y="1133475"/>
                            <a:ext cx="25812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 name="Line 17"/>
                        <wps:cNvCnPr>
                          <a:cxnSpLocks noChangeShapeType="1"/>
                        </wps:cNvCnPr>
                        <wps:spPr bwMode="auto">
                          <a:xfrm>
                            <a:off x="657225" y="933450"/>
                            <a:ext cx="25812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 name="Line 18"/>
                        <wps:cNvCnPr>
                          <a:cxnSpLocks noChangeShapeType="1"/>
                        </wps:cNvCnPr>
                        <wps:spPr bwMode="auto">
                          <a:xfrm>
                            <a:off x="657225" y="742950"/>
                            <a:ext cx="25812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 name="Line 19"/>
                        <wps:cNvCnPr>
                          <a:cxnSpLocks noChangeShapeType="1"/>
                        </wps:cNvCnPr>
                        <wps:spPr bwMode="auto">
                          <a:xfrm>
                            <a:off x="657225" y="542925"/>
                            <a:ext cx="25812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 name="Rectangle 20"/>
                        <wps:cNvSpPr>
                          <a:spLocks noChangeArrowheads="1"/>
                        </wps:cNvSpPr>
                        <wps:spPr bwMode="auto">
                          <a:xfrm>
                            <a:off x="657225" y="542925"/>
                            <a:ext cx="2581275" cy="981075"/>
                          </a:xfrm>
                          <a:prstGeom prst="rect">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21"/>
                        <wps:cNvSpPr>
                          <a:spLocks noChangeArrowheads="1"/>
                        </wps:cNvSpPr>
                        <wps:spPr bwMode="auto">
                          <a:xfrm>
                            <a:off x="809625" y="1228725"/>
                            <a:ext cx="209550" cy="295275"/>
                          </a:xfrm>
                          <a:prstGeom prst="rect">
                            <a:avLst/>
                          </a:prstGeom>
                          <a:solidFill>
                            <a:srgbClr val="9999FF"/>
                          </a:solidFill>
                          <a:ln w="9525">
                            <a:solidFill>
                              <a:srgbClr val="000000"/>
                            </a:solidFill>
                            <a:miter lim="800000"/>
                            <a:headEnd/>
                            <a:tailEnd/>
                          </a:ln>
                        </wps:spPr>
                        <wps:bodyPr rot="0" vert="horz" wrap="square" lIns="91440" tIns="45720" rIns="91440" bIns="45720" anchor="t" anchorCtr="0" upright="1">
                          <a:noAutofit/>
                        </wps:bodyPr>
                      </wps:wsp>
                      <wps:wsp>
                        <wps:cNvPr id="16" name="Rectangle 22"/>
                        <wps:cNvSpPr>
                          <a:spLocks noChangeArrowheads="1"/>
                        </wps:cNvSpPr>
                        <wps:spPr bwMode="auto">
                          <a:xfrm>
                            <a:off x="1323975" y="1200150"/>
                            <a:ext cx="209550" cy="323850"/>
                          </a:xfrm>
                          <a:prstGeom prst="rect">
                            <a:avLst/>
                          </a:prstGeom>
                          <a:solidFill>
                            <a:srgbClr val="9999FF"/>
                          </a:solidFill>
                          <a:ln w="9525">
                            <a:solidFill>
                              <a:srgbClr val="000000"/>
                            </a:solidFill>
                            <a:miter lim="800000"/>
                            <a:headEnd/>
                            <a:tailEnd/>
                          </a:ln>
                        </wps:spPr>
                        <wps:bodyPr rot="0" vert="horz" wrap="square" lIns="91440" tIns="45720" rIns="91440" bIns="45720" anchor="t" anchorCtr="0" upright="1">
                          <a:noAutofit/>
                        </wps:bodyPr>
                      </wps:wsp>
                      <wps:wsp>
                        <wps:cNvPr id="17" name="Rectangle 23"/>
                        <wps:cNvSpPr>
                          <a:spLocks noChangeArrowheads="1"/>
                        </wps:cNvSpPr>
                        <wps:spPr bwMode="auto">
                          <a:xfrm>
                            <a:off x="1838325" y="933450"/>
                            <a:ext cx="219075" cy="590550"/>
                          </a:xfrm>
                          <a:prstGeom prst="rect">
                            <a:avLst/>
                          </a:prstGeom>
                          <a:solidFill>
                            <a:srgbClr val="9999FF"/>
                          </a:solidFill>
                          <a:ln w="9525">
                            <a:solidFill>
                              <a:srgbClr val="000000"/>
                            </a:solidFill>
                            <a:miter lim="800000"/>
                            <a:headEnd/>
                            <a:tailEnd/>
                          </a:ln>
                        </wps:spPr>
                        <wps:bodyPr rot="0" vert="horz" wrap="square" lIns="91440" tIns="45720" rIns="91440" bIns="45720" anchor="t" anchorCtr="0" upright="1">
                          <a:noAutofit/>
                        </wps:bodyPr>
                      </wps:wsp>
                      <wps:wsp>
                        <wps:cNvPr id="18" name="Rectangle 24"/>
                        <wps:cNvSpPr>
                          <a:spLocks noChangeArrowheads="1"/>
                        </wps:cNvSpPr>
                        <wps:spPr bwMode="auto">
                          <a:xfrm>
                            <a:off x="2362200" y="800100"/>
                            <a:ext cx="209550" cy="723900"/>
                          </a:xfrm>
                          <a:prstGeom prst="rect">
                            <a:avLst/>
                          </a:prstGeom>
                          <a:solidFill>
                            <a:srgbClr val="9999FF"/>
                          </a:solidFill>
                          <a:ln w="9525">
                            <a:solidFill>
                              <a:srgbClr val="000000"/>
                            </a:solidFill>
                            <a:miter lim="800000"/>
                            <a:headEnd/>
                            <a:tailEnd/>
                          </a:ln>
                        </wps:spPr>
                        <wps:bodyPr rot="0" vert="horz" wrap="square" lIns="91440" tIns="45720" rIns="91440" bIns="45720" anchor="t" anchorCtr="0" upright="1">
                          <a:noAutofit/>
                        </wps:bodyPr>
                      </wps:wsp>
                      <wps:wsp>
                        <wps:cNvPr id="19" name="Rectangle 25"/>
                        <wps:cNvSpPr>
                          <a:spLocks noChangeArrowheads="1"/>
                        </wps:cNvSpPr>
                        <wps:spPr bwMode="auto">
                          <a:xfrm>
                            <a:off x="2876550" y="742950"/>
                            <a:ext cx="209550" cy="781050"/>
                          </a:xfrm>
                          <a:prstGeom prst="rect">
                            <a:avLst/>
                          </a:prstGeom>
                          <a:solidFill>
                            <a:srgbClr val="9999FF"/>
                          </a:solidFill>
                          <a:ln w="9525">
                            <a:solidFill>
                              <a:srgbClr val="000000"/>
                            </a:solidFill>
                            <a:miter lim="800000"/>
                            <a:headEnd/>
                            <a:tailEnd/>
                          </a:ln>
                        </wps:spPr>
                        <wps:bodyPr rot="0" vert="horz" wrap="square" lIns="91440" tIns="45720" rIns="91440" bIns="45720" anchor="t" anchorCtr="0" upright="1">
                          <a:noAutofit/>
                        </wps:bodyPr>
                      </wps:wsp>
                      <wps:wsp>
                        <wps:cNvPr id="20" name="Line 26"/>
                        <wps:cNvCnPr>
                          <a:cxnSpLocks noChangeShapeType="1"/>
                        </wps:cNvCnPr>
                        <wps:spPr bwMode="auto">
                          <a:xfrm>
                            <a:off x="657225" y="542925"/>
                            <a:ext cx="635" cy="9810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 name="Line 27"/>
                        <wps:cNvCnPr>
                          <a:cxnSpLocks noChangeShapeType="1"/>
                        </wps:cNvCnPr>
                        <wps:spPr bwMode="auto">
                          <a:xfrm>
                            <a:off x="657225" y="1524000"/>
                            <a:ext cx="4762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 name="Line 28"/>
                        <wps:cNvCnPr>
                          <a:cxnSpLocks noChangeShapeType="1"/>
                        </wps:cNvCnPr>
                        <wps:spPr bwMode="auto">
                          <a:xfrm>
                            <a:off x="657225" y="1323975"/>
                            <a:ext cx="4762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3" name="Line 29"/>
                        <wps:cNvCnPr>
                          <a:cxnSpLocks noChangeShapeType="1"/>
                        </wps:cNvCnPr>
                        <wps:spPr bwMode="auto">
                          <a:xfrm>
                            <a:off x="657225" y="1133475"/>
                            <a:ext cx="4762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 name="Line 30"/>
                        <wps:cNvCnPr>
                          <a:cxnSpLocks noChangeShapeType="1"/>
                        </wps:cNvCnPr>
                        <wps:spPr bwMode="auto">
                          <a:xfrm>
                            <a:off x="657225" y="933450"/>
                            <a:ext cx="4762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 name="Line 31"/>
                        <wps:cNvCnPr>
                          <a:cxnSpLocks noChangeShapeType="1"/>
                        </wps:cNvCnPr>
                        <wps:spPr bwMode="auto">
                          <a:xfrm>
                            <a:off x="657225" y="742950"/>
                            <a:ext cx="4762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 name="Line 32"/>
                        <wps:cNvCnPr>
                          <a:cxnSpLocks noChangeShapeType="1"/>
                        </wps:cNvCnPr>
                        <wps:spPr bwMode="auto">
                          <a:xfrm>
                            <a:off x="657225" y="542925"/>
                            <a:ext cx="4762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7" name="Line 33"/>
                        <wps:cNvCnPr>
                          <a:cxnSpLocks noChangeShapeType="1"/>
                        </wps:cNvCnPr>
                        <wps:spPr bwMode="auto">
                          <a:xfrm>
                            <a:off x="657225" y="1524000"/>
                            <a:ext cx="258127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 name="Line 34"/>
                        <wps:cNvCnPr>
                          <a:cxnSpLocks noChangeShapeType="1"/>
                        </wps:cNvCnPr>
                        <wps:spPr bwMode="auto">
                          <a:xfrm flipV="1">
                            <a:off x="657225" y="1476375"/>
                            <a:ext cx="635" cy="476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 name="Line 35"/>
                        <wps:cNvCnPr>
                          <a:cxnSpLocks noChangeShapeType="1"/>
                        </wps:cNvCnPr>
                        <wps:spPr bwMode="auto">
                          <a:xfrm flipV="1">
                            <a:off x="1171575" y="1476375"/>
                            <a:ext cx="635" cy="476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 name="Line 36"/>
                        <wps:cNvCnPr>
                          <a:cxnSpLocks noChangeShapeType="1"/>
                        </wps:cNvCnPr>
                        <wps:spPr bwMode="auto">
                          <a:xfrm flipV="1">
                            <a:off x="1685925" y="1476375"/>
                            <a:ext cx="635" cy="476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1" name="Line 37"/>
                        <wps:cNvCnPr>
                          <a:cxnSpLocks noChangeShapeType="1"/>
                        </wps:cNvCnPr>
                        <wps:spPr bwMode="auto">
                          <a:xfrm flipV="1">
                            <a:off x="2209800" y="1476375"/>
                            <a:ext cx="635" cy="476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2" name="Line 38"/>
                        <wps:cNvCnPr>
                          <a:cxnSpLocks noChangeShapeType="1"/>
                        </wps:cNvCnPr>
                        <wps:spPr bwMode="auto">
                          <a:xfrm flipV="1">
                            <a:off x="2724150" y="1476375"/>
                            <a:ext cx="635" cy="476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3" name="Line 39"/>
                        <wps:cNvCnPr>
                          <a:cxnSpLocks noChangeShapeType="1"/>
                        </wps:cNvCnPr>
                        <wps:spPr bwMode="auto">
                          <a:xfrm flipV="1">
                            <a:off x="3238500" y="1476375"/>
                            <a:ext cx="635" cy="476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 name="Rectangle 40"/>
                        <wps:cNvSpPr>
                          <a:spLocks noChangeArrowheads="1"/>
                        </wps:cNvSpPr>
                        <wps:spPr bwMode="auto">
                          <a:xfrm>
                            <a:off x="466725" y="123825"/>
                            <a:ext cx="24771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43AA" w:rsidRDefault="009A43AA" w:rsidP="009A43AA">
                              <w:r>
                                <w:rPr>
                                  <w:rFonts w:ascii="宋体" w:cs="宋体" w:hint="eastAsia"/>
                                  <w:color w:val="000000"/>
                                  <w:sz w:val="24"/>
                                </w:rPr>
                                <w:t>图1 青岛海尔主营业务收入增长趋势</w:t>
                              </w:r>
                            </w:p>
                          </w:txbxContent>
                        </wps:txbx>
                        <wps:bodyPr rot="0" vert="horz" wrap="none" lIns="0" tIns="0" rIns="0" bIns="0" anchor="t" anchorCtr="0" upright="1">
                          <a:spAutoFit/>
                        </wps:bodyPr>
                      </wps:wsp>
                      <wps:wsp>
                        <wps:cNvPr id="35" name="Rectangle 41"/>
                        <wps:cNvSpPr>
                          <a:spLocks noChangeArrowheads="1"/>
                        </wps:cNvSpPr>
                        <wps:spPr bwMode="auto">
                          <a:xfrm>
                            <a:off x="466725" y="1457325"/>
                            <a:ext cx="768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43AA" w:rsidRDefault="009A43AA" w:rsidP="009A43AA">
                              <w:r>
                                <w:rPr>
                                  <w:rFonts w:ascii="宋体" w:cs="宋体"/>
                                  <w:color w:val="000000"/>
                                  <w:sz w:val="24"/>
                                </w:rPr>
                                <w:t>0</w:t>
                              </w:r>
                            </w:p>
                          </w:txbxContent>
                        </wps:txbx>
                        <wps:bodyPr rot="0" vert="horz" wrap="none" lIns="0" tIns="0" rIns="0" bIns="0" anchor="t" anchorCtr="0" upright="1">
                          <a:spAutoFit/>
                        </wps:bodyPr>
                      </wps:wsp>
                      <wps:wsp>
                        <wps:cNvPr id="36" name="Rectangle 42"/>
                        <wps:cNvSpPr>
                          <a:spLocks noChangeArrowheads="1"/>
                        </wps:cNvSpPr>
                        <wps:spPr bwMode="auto">
                          <a:xfrm>
                            <a:off x="314325" y="1257300"/>
                            <a:ext cx="2292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43AA" w:rsidRDefault="009A43AA" w:rsidP="009A43AA">
                              <w:r>
                                <w:rPr>
                                  <w:rFonts w:ascii="宋体" w:cs="宋体"/>
                                  <w:color w:val="000000"/>
                                  <w:sz w:val="24"/>
                                </w:rPr>
                                <w:t>200</w:t>
                              </w:r>
                            </w:p>
                          </w:txbxContent>
                        </wps:txbx>
                        <wps:bodyPr rot="0" vert="horz" wrap="none" lIns="0" tIns="0" rIns="0" bIns="0" anchor="t" anchorCtr="0" upright="1">
                          <a:spAutoFit/>
                        </wps:bodyPr>
                      </wps:wsp>
                      <wps:wsp>
                        <wps:cNvPr id="37" name="Rectangle 43"/>
                        <wps:cNvSpPr>
                          <a:spLocks noChangeArrowheads="1"/>
                        </wps:cNvSpPr>
                        <wps:spPr bwMode="auto">
                          <a:xfrm>
                            <a:off x="314325" y="1066800"/>
                            <a:ext cx="2292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43AA" w:rsidRDefault="009A43AA" w:rsidP="009A43AA">
                              <w:r>
                                <w:rPr>
                                  <w:rFonts w:ascii="宋体" w:cs="宋体"/>
                                  <w:color w:val="000000"/>
                                  <w:sz w:val="24"/>
                                </w:rPr>
                                <w:t>400</w:t>
                              </w:r>
                            </w:p>
                          </w:txbxContent>
                        </wps:txbx>
                        <wps:bodyPr rot="0" vert="horz" wrap="none" lIns="0" tIns="0" rIns="0" bIns="0" anchor="t" anchorCtr="0" upright="1">
                          <a:spAutoFit/>
                        </wps:bodyPr>
                      </wps:wsp>
                      <wps:wsp>
                        <wps:cNvPr id="38" name="Rectangle 44"/>
                        <wps:cNvSpPr>
                          <a:spLocks noChangeArrowheads="1"/>
                        </wps:cNvSpPr>
                        <wps:spPr bwMode="auto">
                          <a:xfrm>
                            <a:off x="314325" y="866775"/>
                            <a:ext cx="2292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43AA" w:rsidRDefault="009A43AA" w:rsidP="009A43AA">
                              <w:r>
                                <w:rPr>
                                  <w:rFonts w:ascii="宋体" w:cs="宋体"/>
                                  <w:color w:val="000000"/>
                                  <w:sz w:val="24"/>
                                </w:rPr>
                                <w:t>600</w:t>
                              </w:r>
                            </w:p>
                          </w:txbxContent>
                        </wps:txbx>
                        <wps:bodyPr rot="0" vert="horz" wrap="none" lIns="0" tIns="0" rIns="0" bIns="0" anchor="t" anchorCtr="0" upright="1">
                          <a:spAutoFit/>
                        </wps:bodyPr>
                      </wps:wsp>
                      <wps:wsp>
                        <wps:cNvPr id="39" name="Rectangle 45"/>
                        <wps:cNvSpPr>
                          <a:spLocks noChangeArrowheads="1"/>
                        </wps:cNvSpPr>
                        <wps:spPr bwMode="auto">
                          <a:xfrm>
                            <a:off x="314325" y="676275"/>
                            <a:ext cx="2292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43AA" w:rsidRDefault="009A43AA" w:rsidP="009A43AA">
                              <w:r>
                                <w:rPr>
                                  <w:rFonts w:ascii="宋体" w:cs="宋体"/>
                                  <w:color w:val="000000"/>
                                  <w:sz w:val="24"/>
                                </w:rPr>
                                <w:t>800</w:t>
                              </w:r>
                            </w:p>
                          </w:txbxContent>
                        </wps:txbx>
                        <wps:bodyPr rot="0" vert="horz" wrap="none" lIns="0" tIns="0" rIns="0" bIns="0" anchor="t" anchorCtr="0" upright="1">
                          <a:spAutoFit/>
                        </wps:bodyPr>
                      </wps:wsp>
                      <wps:wsp>
                        <wps:cNvPr id="40" name="Rectangle 46"/>
                        <wps:cNvSpPr>
                          <a:spLocks noChangeArrowheads="1"/>
                        </wps:cNvSpPr>
                        <wps:spPr bwMode="auto">
                          <a:xfrm>
                            <a:off x="161925" y="476250"/>
                            <a:ext cx="3816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43AA" w:rsidRDefault="009A43AA" w:rsidP="009A43AA">
                              <w:r>
                                <w:rPr>
                                  <w:rFonts w:ascii="宋体" w:cs="宋体"/>
                                  <w:color w:val="000000"/>
                                  <w:sz w:val="24"/>
                                </w:rPr>
                                <w:t>1,000</w:t>
                              </w:r>
                            </w:p>
                          </w:txbxContent>
                        </wps:txbx>
                        <wps:bodyPr rot="0" vert="horz" wrap="none" lIns="0" tIns="0" rIns="0" bIns="0" anchor="t" anchorCtr="0" upright="1">
                          <a:spAutoFit/>
                        </wps:bodyPr>
                      </wps:wsp>
                      <wps:wsp>
                        <wps:cNvPr id="41" name="Rectangle 47"/>
                        <wps:cNvSpPr>
                          <a:spLocks noChangeArrowheads="1"/>
                        </wps:cNvSpPr>
                        <wps:spPr bwMode="auto">
                          <a:xfrm>
                            <a:off x="762000" y="1657350"/>
                            <a:ext cx="3054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43AA" w:rsidRDefault="009A43AA" w:rsidP="009A43AA">
                              <w:r>
                                <w:rPr>
                                  <w:rFonts w:ascii="宋体" w:cs="宋体"/>
                                  <w:color w:val="000000"/>
                                  <w:sz w:val="24"/>
                                </w:rPr>
                                <w:t>2008</w:t>
                              </w:r>
                            </w:p>
                          </w:txbxContent>
                        </wps:txbx>
                        <wps:bodyPr rot="0" vert="horz" wrap="none" lIns="0" tIns="0" rIns="0" bIns="0" anchor="t" anchorCtr="0" upright="1">
                          <a:spAutoFit/>
                        </wps:bodyPr>
                      </wps:wsp>
                      <wps:wsp>
                        <wps:cNvPr id="42" name="Rectangle 48"/>
                        <wps:cNvSpPr>
                          <a:spLocks noChangeArrowheads="1"/>
                        </wps:cNvSpPr>
                        <wps:spPr bwMode="auto">
                          <a:xfrm>
                            <a:off x="1276350" y="1657350"/>
                            <a:ext cx="3054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43AA" w:rsidRDefault="009A43AA" w:rsidP="009A43AA">
                              <w:r>
                                <w:rPr>
                                  <w:rFonts w:ascii="宋体" w:cs="宋体"/>
                                  <w:color w:val="000000"/>
                                  <w:sz w:val="24"/>
                                </w:rPr>
                                <w:t>2009</w:t>
                              </w:r>
                            </w:p>
                          </w:txbxContent>
                        </wps:txbx>
                        <wps:bodyPr rot="0" vert="horz" wrap="none" lIns="0" tIns="0" rIns="0" bIns="0" anchor="t" anchorCtr="0" upright="1">
                          <a:spAutoFit/>
                        </wps:bodyPr>
                      </wps:wsp>
                      <wps:wsp>
                        <wps:cNvPr id="43" name="Rectangle 49"/>
                        <wps:cNvSpPr>
                          <a:spLocks noChangeArrowheads="1"/>
                        </wps:cNvSpPr>
                        <wps:spPr bwMode="auto">
                          <a:xfrm>
                            <a:off x="1800225" y="1657350"/>
                            <a:ext cx="3054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43AA" w:rsidRDefault="009A43AA" w:rsidP="009A43AA">
                              <w:r>
                                <w:rPr>
                                  <w:rFonts w:ascii="宋体" w:cs="宋体"/>
                                  <w:color w:val="000000"/>
                                  <w:sz w:val="24"/>
                                </w:rPr>
                                <w:t>2010</w:t>
                              </w:r>
                            </w:p>
                          </w:txbxContent>
                        </wps:txbx>
                        <wps:bodyPr rot="0" vert="horz" wrap="none" lIns="0" tIns="0" rIns="0" bIns="0" anchor="t" anchorCtr="0" upright="1">
                          <a:spAutoFit/>
                        </wps:bodyPr>
                      </wps:wsp>
                      <wps:wsp>
                        <wps:cNvPr id="44" name="Rectangle 50"/>
                        <wps:cNvSpPr>
                          <a:spLocks noChangeArrowheads="1"/>
                        </wps:cNvSpPr>
                        <wps:spPr bwMode="auto">
                          <a:xfrm>
                            <a:off x="2314575" y="1657350"/>
                            <a:ext cx="3054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43AA" w:rsidRDefault="009A43AA" w:rsidP="009A43AA">
                              <w:r>
                                <w:rPr>
                                  <w:rFonts w:ascii="宋体" w:cs="宋体"/>
                                  <w:color w:val="000000"/>
                                  <w:sz w:val="24"/>
                                </w:rPr>
                                <w:t>2011</w:t>
                              </w:r>
                            </w:p>
                          </w:txbxContent>
                        </wps:txbx>
                        <wps:bodyPr rot="0" vert="horz" wrap="none" lIns="0" tIns="0" rIns="0" bIns="0" anchor="t" anchorCtr="0" upright="1">
                          <a:spAutoFit/>
                        </wps:bodyPr>
                      </wps:wsp>
                      <wps:wsp>
                        <wps:cNvPr id="45" name="Rectangle 51"/>
                        <wps:cNvSpPr>
                          <a:spLocks noChangeArrowheads="1"/>
                        </wps:cNvSpPr>
                        <wps:spPr bwMode="auto">
                          <a:xfrm>
                            <a:off x="2828925" y="1657350"/>
                            <a:ext cx="3054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43AA" w:rsidRDefault="009A43AA" w:rsidP="009A43AA">
                              <w:r>
                                <w:rPr>
                                  <w:rFonts w:ascii="宋体" w:cs="宋体"/>
                                  <w:color w:val="000000"/>
                                  <w:sz w:val="24"/>
                                </w:rPr>
                                <w:t>2012</w:t>
                              </w:r>
                            </w:p>
                          </w:txbxContent>
                        </wps:txbx>
                        <wps:bodyPr rot="0" vert="horz" wrap="none" lIns="0" tIns="0" rIns="0" bIns="0" anchor="t" anchorCtr="0" upright="1">
                          <a:spAutoFit/>
                        </wps:bodyPr>
                      </wps:wsp>
                      <wps:wsp>
                        <wps:cNvPr id="46" name="Rectangle 52"/>
                        <wps:cNvSpPr>
                          <a:spLocks noChangeArrowheads="1"/>
                        </wps:cNvSpPr>
                        <wps:spPr bwMode="auto">
                          <a:xfrm>
                            <a:off x="114300" y="0"/>
                            <a:ext cx="3276600" cy="18859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id="画布 11" o:spid="_x0000_s1026" editas="canvas" style="width:267pt;height:148.5pt;mso-position-horizontal-relative:char;mso-position-vertical-relative:line" coordsize="33909,18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3909;height:18859;visibility:visible;mso-wrap-style:square">
                  <v:fill o:detectmouseclick="t"/>
                  <v:path o:connecttype="none"/>
                </v:shape>
                <v:rect id="Rectangle 13" o:spid="_x0000_s1028" style="position:absolute;left:1143;width:32766;height:18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WGsAA&#10;AADaAAAADwAAAGRycy9kb3ducmV2LnhtbERPTWvCQBC9C/6HZYTedKMFqWk2IhZLe9R48TbNjkk0&#10;Oxuya5L217tCwdPweJ+TrAdTi45aV1lWMJ9FIIhzqysuFByz3fQNhPPIGmvLpOCXHKzT8SjBWNue&#10;99QdfCFCCLsYFZTeN7GULi/JoJvZhjhwZ9sa9AG2hdQt9iHc1HIRRUtpsOLQUGJD25Ly6+FmFPxU&#10;iyP+7bPPyKx2r/57yC6304dSL5Nh8w7C0+Cf4n/3lw7z4fHK48r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WGsAAAADaAAAADwAAAAAAAAAAAAAAAACYAgAAZHJzL2Rvd25y&#10;ZXYueG1sUEsFBgAAAAAEAAQA9QAAAIUDAAAAAA==&#10;"/>
                <v:rect id="Rectangle 14" o:spid="_x0000_s1029" style="position:absolute;left:6572;top:5429;width:25813;height:9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zxhMIA&#10;AADaAAAADwAAAGRycy9kb3ducmV2LnhtbESPS2vDMBCE74X8B7GF3hq5cQnBiWJCoI9byIOcF2tr&#10;u7ZWRtok7r+PCoUeh5n5hlmVo+vVlUJsPRt4mWagiCtvW64NnI5vzwtQUZAt9p7JwA9FKNeThxUW&#10;1t94T9eD1CpBOBZooBEZCq1j1ZDDOPUDcfK+fHAoSYZa24C3BHe9nmXZXDtsOS00ONC2oao7XJwB&#10;fZwH6fLX/HsvcbZxl/ePXXU25ulx3CxBCY3yH/5rf1oDOfxeSTdA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DPGEwgAAANoAAAAPAAAAAAAAAAAAAAAAAJgCAABkcnMvZG93&#10;bnJldi54bWxQSwUGAAAAAAQABAD1AAAAhwMAAAAA&#10;" fillcolor="silver" stroked="f"/>
                <v:line id="Line 15" o:spid="_x0000_s1030" style="position:absolute;visibility:visible;mso-wrap-style:square" from="6572,13239" to="32385,13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jwJMMAAADaAAAADwAAAGRycy9kb3ducmV2LnhtbESPQWvCQBSE74X+h+UVetONpWqMrlJK&#10;RXvTqODxkX0mi9m3Ibtq/PduQehxmJlvmNmis7W4UuuNYwWDfgKCuHDacKlgv1v2UhA+IGusHZOC&#10;O3lYzF9fZphpd+MtXfNQighhn6GCKoQmk9IXFVn0fdcQR+/kWoshyraUusVbhNtafiTJSFo0HBcq&#10;bOi7ouKcX6wCsxmthr/jw+Qgf1ZhcEzPqbF7pd7fuq8piEBd+A8/22ut4BP+rsQb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5Y8CTDAAAA2gAAAA8AAAAAAAAAAAAA&#10;AAAAoQIAAGRycy9kb3ducmV2LnhtbFBLBQYAAAAABAAEAPkAAACRAwAAAAA=&#10;" strokeweight="0"/>
                <v:line id="Line 16" o:spid="_x0000_s1031" style="position:absolute;visibility:visible;mso-wrap-style:square" from="6572,11334" to="32385,113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lfusIAAADaAAAADwAAAGRycy9kb3ducmV2LnhtbESPT4vCMBTE7wt+h/AEb2uqoFurUUQU&#10;d2/rP/D4aJ5tsHkpTdTut98IgsdhZn7DzBatrcSdGm8cKxj0ExDEudOGCwXHw+YzBeEDssbKMSn4&#10;Iw+Leedjhpl2D97RfR8KESHsM1RQhlBnUvq8JIu+72ri6F1cYzFE2RRSN/iIcFvJYZKMpUXDcaHE&#10;mlYl5df9zSowv+Pt6OfrNDnJ9TYMzuk1NfaoVK/bLqcgArXhHX61v7WCCTyvxBs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FlfusIAAADaAAAADwAAAAAAAAAAAAAA&#10;AAChAgAAZHJzL2Rvd25yZXYueG1sUEsFBgAAAAAEAAQA+QAAAJADAAAAAA==&#10;" strokeweight="0"/>
                <v:line id="Line 17" o:spid="_x0000_s1032" style="position:absolute;visibility:visible;mso-wrap-style:square" from="6572,9334" to="32385,9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sos8EAAADbAAAADwAAAGRycy9kb3ducmV2LnhtbERPTYvCMBC9L+x/CLPgbU0rqLUaZVlc&#10;1JvrKngcmrENNpPSZLX+eyMI3ubxPme26GwtLtR641hB2k9AEBdOGy4V7P9+PjMQPiBrrB2Tght5&#10;WMzf32aYa3flX7rsQiliCPscFVQhNLmUvqjIou+7hjhyJ9daDBG2pdQtXmO4reUgSUbSouHYUGFD&#10;3xUV592/VWC2o9VwMz5MDnK5CukxO2fG7pXqfXRfUxCBuvASP91rHeen8PglHiDn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yyizwQAAANsAAAAPAAAAAAAAAAAAAAAA&#10;AKECAABkcnMvZG93bnJldi54bWxQSwUGAAAAAAQABAD5AAAAjwMAAAAA&#10;" strokeweight="0"/>
                <v:line id="Line 18" o:spid="_x0000_s1033" style="position:absolute;visibility:visible;mso-wrap-style:square" from="6572,7429" to="32385,7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m2xMAAAADbAAAADwAAAGRycy9kb3ducmV2LnhtbERPTYvCMBC9C/sfwix401RB7VajLMuK&#10;elNXwePQzLbBZlKaqPXfG0HwNo/3ObNFaytxpcYbxwoG/QQEce604ULB4W/ZS0H4gKyxckwK7uRh&#10;Mf/ozDDT7sY7uu5DIWII+wwVlCHUmZQ+L8mi77uaOHL/rrEYImwKqRu8xXBbyWGSjKVFw7GhxJp+&#10;SsrP+4tVYLbj1WgzOX4d5e8qDE7pOTX2oFT3s/2eggjUhrf45V7rOH8Iz1/iAXL+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wZtsTAAAAA2wAAAA8AAAAAAAAAAAAAAAAA&#10;oQIAAGRycy9kb3ducmV2LnhtbFBLBQYAAAAABAAEAPkAAACOAwAAAAA=&#10;" strokeweight="0"/>
                <v:line id="Line 19" o:spid="_x0000_s1034" style="position:absolute;visibility:visible;mso-wrap-style:square" from="6572,5429" to="32385,5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UTX8IAAADbAAAADwAAAGRycy9kb3ducmV2LnhtbERPTWvCQBC9C/6HZQRvdaNSm8asImKx&#10;3lproMchOyaL2dmQ3Wr677tCwds83ufk69424kqdN44VTCcJCOLSacOVgtPX21MKwgdkjY1jUvBL&#10;Htar4SDHTLsbf9L1GCoRQ9hnqKAOoc2k9GVNFv3EtcSRO7vOYoiwq6Tu8BbDbSNnSbKQFg3Hhhpb&#10;2tZUXo4/VoH5WOyfDy/FayF3+zD9Ti+psSelxqN+swQRqA8P8b/7Xcf5c7j/Eg+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1UTX8IAAADbAAAADwAAAAAAAAAAAAAA&#10;AAChAgAAZHJzL2Rvd25yZXYueG1sUEsFBgAAAAAEAAQA+QAAAJADAAAAAA==&#10;" strokeweight="0"/>
                <v:rect id="Rectangle 20" o:spid="_x0000_s1035" style="position:absolute;left:6572;top:5429;width:25813;height:9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IWhMEA&#10;AADbAAAADwAAAGRycy9kb3ducmV2LnhtbESPQYvCMBCF74L/IYzgTVMXkaUaRYUFERHUZc9DMza1&#10;zaQ0Uau/3gjC3mZ4733zZrZobSVu1PjCsYLRMAFBnDldcK7g9/Qz+AbhA7LGyjEpeJCHxbzbmWGq&#10;3Z0PdDuGXEQI+xQVmBDqVEqfGbLoh64mjtrZNRZDXJtc6gbvEW4r+ZUkE2mx4HjBYE1rQ1l5vNpI&#10;2ZpHfXhyWZQ7uzpdljZ3+z+l+r12OQURqA3/5k96o2P9Mbx/iQPI+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SFoTBAAAA2wAAAA8AAAAAAAAAAAAAAAAAmAIAAGRycy9kb3du&#10;cmV2LnhtbFBLBQYAAAAABAAEAPUAAACGAwAAAAA=&#10;" filled="f" strokecolor="gray"/>
                <v:rect id="Rectangle 21" o:spid="_x0000_s1036" style="position:absolute;left:8096;top:12287;width:2095;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OincEA&#10;AADbAAAADwAAAGRycy9kb3ducmV2LnhtbERPTYvCMBC9C/sfwizsTVOFFalGEWFhUfegVcTb0Ixt&#10;sZmUJNr67zeC4G0e73Nmi87U4k7OV5YVDAcJCOLc6ooLBYfspz8B4QOyxtoyKXiQh8X8ozfDVNuW&#10;d3Tfh0LEEPYpKihDaFIpfV6SQT+wDXHkLtYZDBG6QmqHbQw3tRwlyVgarDg2lNjQqqT8ur8ZBVm9&#10;OU7W7jwyj/HpD9tmu14Nt0p9fXbLKYhAXXiLX+5fHed/w/OXeIC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Top3BAAAA2wAAAA8AAAAAAAAAAAAAAAAAmAIAAGRycy9kb3du&#10;cmV2LnhtbFBLBQYAAAAABAAEAPUAAACGAwAAAAA=&#10;" fillcolor="#99f"/>
                <v:rect id="Rectangle 22" o:spid="_x0000_s1037" style="position:absolute;left:13239;top:12001;width:2096;height:3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E86sEA&#10;AADbAAAADwAAAGRycy9kb3ducmV2LnhtbERPS4vCMBC+C/sfwix4s6keilSjiLCw+Dj4Ytnb0Ixt&#10;2WZSkqyt/94Igrf5+J4zX/amETdyvrasYJykIIgLq2suFZxPX6MpCB+QNTaWScGdPCwXH4M55tp2&#10;fKDbMZQihrDPUUEVQptL6YuKDPrEtsSRu1pnMEToSqkddjHcNHKSppk0WHNsqLCldUXF3/HfKDg1&#10;28t0434n5p797LFrd5v1eKfU8LNfzUAE6sNb/HJ/6zg/g+cv8Q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EBPOrBAAAA2wAAAA8AAAAAAAAAAAAAAAAAmAIAAGRycy9kb3du&#10;cmV2LnhtbFBLBQYAAAAABAAEAPUAAACGAwAAAAA=&#10;" fillcolor="#99f"/>
                <v:rect id="Rectangle 23" o:spid="_x0000_s1038" style="position:absolute;left:18383;top:9334;width:2191;height:5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ZccMA&#10;AADbAAAADwAAAGRycy9kb3ducmV2LnhtbERPTWvCQBC9C/0PyxR6Mxs9WEmzShEKxaYHjVK8Ddkx&#10;Cc3Oht2tSf59Vyj0No/3Ofl2NJ24kfOtZQWLJAVBXFndcq3gVL7N1yB8QNbYWSYFE3nYbh5mOWba&#10;Dnyg2zHUIoawz1BBE0KfSemrhgz6xPbEkbtaZzBE6GqpHQ4x3HRymaYrabDl2NBgT7uGqu/jj1FQ&#10;dh/n9d5dlmZafX3i0Bf73aJQ6ulxfH0BEWgM/+I/97uO85/h/ks8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2ZccMAAADbAAAADwAAAAAAAAAAAAAAAACYAgAAZHJzL2Rv&#10;d25yZXYueG1sUEsFBgAAAAAEAAQA9QAAAIgDAAAAAA==&#10;" fillcolor="#99f"/>
                <v:rect id="Rectangle 24" o:spid="_x0000_s1039" style="position:absolute;left:23622;top:8001;width:2095;height:7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INA8QA&#10;AADbAAAADwAAAGRycy9kb3ducmV2LnhtbESPT2vCQBDF74LfYRnBm270IJK6ShEEsXqofyi9Ddlp&#10;EpqdDbtbE7995yB4m+G9ee83q03vGnWnEGvPBmbTDBRx4W3NpYHrZTdZgooJ2WLjmQw8KMJmPRys&#10;MLe+40+6n1OpJIRjjgaqlNpc61hU5DBOfUss2o8PDpOsodQ2YCfhrtHzLFtohzVLQ4UtbSsqfs9/&#10;zsCl+bgtD+F77h6LrxN27fGwnR2NGY/69zdQifr0Mj+v91bwBVZ+kQH0+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DQPEAAAA2wAAAA8AAAAAAAAAAAAAAAAAmAIAAGRycy9k&#10;b3ducmV2LnhtbFBLBQYAAAAABAAEAPUAAACJAwAAAAA=&#10;" fillcolor="#99f"/>
                <v:rect id="Rectangle 25" o:spid="_x0000_s1040" style="position:absolute;left:28765;top:7429;width:2096;height:7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6omMEA&#10;AADbAAAADwAAAGRycy9kb3ducmV2LnhtbERPS4vCMBC+C/6HMII3TfUgbjWKCIK4elgfiLehGdti&#10;MylJ1tZ/b4SFvc3H95z5sjWVeJLzpWUFo2ECgjizuuRcwfm0GUxB+ICssbJMCl7kYbnoduaYatvw&#10;Dz2PIRcxhH2KCooQ6lRKnxVk0A9tTRy5u3UGQ4Qul9phE8NNJcdJMpEGS44NBda0Lih7HH+NglP1&#10;fZnu3G1sXpPrAZt6v1uP9kr1e+1qBiJQG/7Ff+6tjvO/4PNLPEA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CeqJjBAAAA2wAAAA8AAAAAAAAAAAAAAAAAmAIAAGRycy9kb3du&#10;cmV2LnhtbFBLBQYAAAAABAAEAPUAAACGAwAAAAA=&#10;" fillcolor="#99f"/>
                <v:line id="Line 26" o:spid="_x0000_s1041" style="position:absolute;visibility:visible;mso-wrap-style:square" from="6572,5429" to="6578,15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tHlb8AAADbAAAADwAAAGRycy9kb3ducmV2LnhtbERPy4rCMBTdD/gP4QruxlRBrdUoIg6O&#10;O5/g8tJc22BzU5qMdv7eLASXh/OeL1tbiQc13jhWMOgnIIhzpw0XCs6nn+8UhA/IGivHpOCfPCwX&#10;na85Zto9+UCPYyhEDGGfoYIyhDqT0uclWfR9VxNH7uYaiyHCppC6wWcMt5UcJslYWjQcG0qsaV1S&#10;fj/+WQVmP96OdpPL9CI32zC4pvfU2LNSvW67moEI1IaP+O3+1QqGcX38En+AXLw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etHlb8AAADbAAAADwAAAAAAAAAAAAAAAACh&#10;AgAAZHJzL2Rvd25yZXYueG1sUEsFBgAAAAAEAAQA+QAAAI0DAAAAAA==&#10;" strokeweight="0"/>
                <v:line id="Line 27" o:spid="_x0000_s1042" style="position:absolute;visibility:visible;mso-wrap-style:square" from="6572,15240" to="7048,15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fiDsMAAADbAAAADwAAAGRycy9kb3ducmV2LnhtbESPQWvCQBSE70L/w/IK3nQTQU1TVyml&#10;Rb1pqtDjI/uaLGbfhuxW4793BcHjMDPfMItVbxtxps4bxwrScQKCuHTacKXg8PM9ykD4gKyxcUwK&#10;ruRhtXwZLDDX7sJ7OhehEhHCPkcFdQhtLqUva7Lox64ljt6f6yyGKLtK6g4vEW4bOUmSmbRoOC7U&#10;2NJnTeWp+LcKzG62nm7nx7ej/FqH9Dc7ZcYelBq+9h/vIAL14Rl+tDdawSSF+5f4A+Ty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Kn4g7DAAAA2wAAAA8AAAAAAAAAAAAA&#10;AAAAoQIAAGRycy9kb3ducmV2LnhtbFBLBQYAAAAABAAEAPkAAACRAwAAAAA=&#10;" strokeweight="0"/>
                <v:line id="Line 28" o:spid="_x0000_s1043" style="position:absolute;visibility:visible;mso-wrap-style:square" from="6572,13239" to="7048,13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V8ecMAAADbAAAADwAAAGRycy9kb3ducmV2LnhtbESPT4vCMBTE7wt+h/AW9ramFlZr1ygi&#10;iuvNv7DHR/O2DTYvpYna/fZGEDwOM/MbZjLrbC2u1HrjWMGgn4AgLpw2XCo4HlafGQgfkDXWjknB&#10;P3mYTXtvE8y1u/GOrvtQighhn6OCKoQml9IXFVn0fdcQR+/PtRZDlG0pdYu3CLe1TJNkKC0ajgsV&#10;NrSoqDjvL1aB2Q7XX5vRaXySy3UY/GbnzNijUh/v3fwbRKAuvMLP9o9WkKbw+BJ/gJ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1fHnDAAAA2wAAAA8AAAAAAAAAAAAA&#10;AAAAoQIAAGRycy9kb3ducmV2LnhtbFBLBQYAAAAABAAEAPkAAACRAwAAAAA=&#10;" strokeweight="0"/>
                <v:line id="Line 29" o:spid="_x0000_s1044" style="position:absolute;visibility:visible;mso-wrap-style:square" from="6572,11334" to="7048,113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Z4sQAAADbAAAADwAAAGRycy9kb3ducmV2LnhtbESPQWvCQBSE74X+h+UJvdWNFm2MWaWU&#10;Fu3NRgMeH9lnsph9G7Jbjf/eLRR6HGbmGyZfD7YVF+q9caxgMk5AEFdOG64VHPafzykIH5A1to5J&#10;wY08rFePDzlm2l35my5FqEWEsM9QQRNCl0npq4Ys+rHriKN3cr3FEGVfS93jNcJtK6dJMpcWDceF&#10;Bjt6b6g6Fz9WgdnNN7Ov13JRyo9NmBzTc2rsQamn0fC2BBFoCP/hv/ZWK5i+wO+X+AP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OdnixAAAANsAAAAPAAAAAAAAAAAA&#10;AAAAAKECAABkcnMvZG93bnJldi54bWxQSwUGAAAAAAQABAD5AAAAkgMAAAAA&#10;" strokeweight="0"/>
                <v:line id="Line 30" o:spid="_x0000_s1045" style="position:absolute;visibility:visible;mso-wrap-style:square" from="6572,9334" to="7048,9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BBlsQAAADbAAAADwAAAGRycy9kb3ducmV2LnhtbESPQWvCQBSE74X+h+UJvdWNUm2MWaWU&#10;Fu3NRgMeH9lnsph9G7Jbjf/eLRR6HGbmGyZfD7YVF+q9caxgMk5AEFdOG64VHPafzykIH5A1to5J&#10;wY08rFePDzlm2l35my5FqEWEsM9QQRNCl0npq4Ys+rHriKN3cr3FEGVfS93jNcJtK6dJMpcWDceF&#10;Bjt6b6g6Fz9WgdnNN7Ov13JRyo9NmBzTc2rsQamn0fC2BBFoCP/hv/ZWK5i+wO+X+AP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0EGWxAAAANsAAAAPAAAAAAAAAAAA&#10;AAAAAKECAABkcnMvZG93bnJldi54bWxQSwUGAAAAAAQABAD5AAAAkgMAAAAA&#10;" strokeweight="0"/>
                <v:line id="Line 31" o:spid="_x0000_s1046" style="position:absolute;visibility:visible;mso-wrap-style:square" from="6572,7429" to="7048,7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zkDcQAAADbAAAADwAAAGRycy9kb3ducmV2LnhtbESPQWvCQBSE7wX/w/IEb81GQZumriJS&#10;ib21qUKPj+xrsph9G7JbE/99t1DwOMzMN8x6O9pWXKn3xrGCeZKCIK6cNlwrOH0eHjMQPiBrbB2T&#10;ght52G4mD2vMtRv4g65lqEWEsM9RQRNCl0vpq4Ys+sR1xNH7dr3FEGVfS93jEOG2lYs0XUmLhuNC&#10;gx3tG6ou5Y9VYN5XxfLt6fx8lq9FmH9ll8zYk1Kz6bh7ARFoDPfwf/uoFSyW8Pcl/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nOQNxAAAANsAAAAPAAAAAAAAAAAA&#10;AAAAAKECAABkcnMvZG93bnJldi54bWxQSwUGAAAAAAQABAD5AAAAkgMAAAAA&#10;" strokeweight="0"/>
                <v:line id="Line 32" o:spid="_x0000_s1047" style="position:absolute;visibility:visible;mso-wrap-style:square" from="6572,5429" to="7048,5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56esQAAADbAAAADwAAAGRycy9kb3ducmV2LnhtbESPzWrDMBCE74W8g9hCb42cQB3HjRxC&#10;aUhzyy/0uFhbW9haGUtJ3LePCoUch5n5hlksB9uKK/XeOFYwGScgiEunDVcKTsf1awbCB2SNrWNS&#10;8EselsXoaYG5djfe0/UQKhEh7HNUUIfQ5VL6siaLfuw64uj9uN5iiLKvpO7xFuG2ldMkSaVFw3Gh&#10;xo4+aiqbw8UqMLt087adnedn+bkJk++syYw9KfXyPKzeQQQawiP83/7SCqYp/H2JP0A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Tnp6xAAAANsAAAAPAAAAAAAAAAAA&#10;AAAAAKECAABkcnMvZG93bnJldi54bWxQSwUGAAAAAAQABAD5AAAAkgMAAAAA&#10;" strokeweight="0"/>
                <v:line id="Line 33" o:spid="_x0000_s1048" style="position:absolute;visibility:visible;mso-wrap-style:square" from="6572,15240" to="32385,15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Lf4cIAAADbAAAADwAAAGRycy9kb3ducmV2LnhtbESPQYvCMBSE78L+h/AWvGmqsFqrUZbF&#10;Rb25roLHR/Nsg81LaaLWf28EweMwM98ws0VrK3GlxhvHCgb9BARx7rThQsH+/7eXgvABWWPlmBTc&#10;ycNi/tGZYabdjf/ouguFiBD2GSooQ6gzKX1ekkXfdzVx9E6usRiibAqpG7xFuK3kMElG0qLhuFBi&#10;TT8l5efdxSow29HqazM+TA5yuQqDY3pOjd0r1f1sv6cgArXhHX6111rBcAzPL/EH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gLf4cIAAADbAAAADwAAAAAAAAAAAAAA&#10;AAChAgAAZHJzL2Rvd25yZXYueG1sUEsFBgAAAAAEAAQA+QAAAJADAAAAAA==&#10;" strokeweight="0"/>
                <v:line id="Line 34" o:spid="_x0000_s1049" style="position:absolute;flip:y;visibility:visible;mso-wrap-style:square" from="6572,14763" to="6578,15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2UGsIAAADbAAAADwAAAGRycy9kb3ducmV2LnhtbERPy2oCMRTdF/yHcIXuakYXWkajiNIi&#10;BVt8LdxdJ9eZwcnNkEQn/ftmUXB5OO/ZIppGPMj52rKC4SADQVxYXXOp4Hj4eHsH4QOyxsYyKfgl&#10;D4t572WGubYd7+ixD6VIIexzVFCF0OZS+qIig35gW+LEXa0zGBJ0pdQOuxRuGjnKsrE0WHNqqLCl&#10;VUXFbX83CnbfE764z3u8xUu3/Tmfyq/TeqnUaz8upyACxfAU/7s3WsEojU1f0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82UGsIAAADbAAAADwAAAAAAAAAAAAAA&#10;AAChAgAAZHJzL2Rvd25yZXYueG1sUEsFBgAAAAAEAAQA+QAAAJADAAAAAA==&#10;" strokeweight="0"/>
                <v:line id="Line 35" o:spid="_x0000_s1050" style="position:absolute;flip:y;visibility:visible;mso-wrap-style:square" from="11715,14763" to="11722,15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ExgcUAAADbAAAADwAAAGRycy9kb3ducmV2LnhtbESPQWsCMRSE74L/ITyhN83WQ6tbo0hL&#10;iwhWtPXQ23Pzuru4eVmS6Kb/3hQEj8PMfMPMFtE04kLO15YVPI4yEMSF1TWXCr6/3ocTED4ga2ws&#10;k4I/8rCY93szzLXteEeXfShFgrDPUUEVQptL6YuKDPqRbYmT92udwZCkK6V22CW4aeQ4y56kwZrT&#10;QoUtvVZUnPZno2D3+cxH93GOp3jsNtufQ7k+vC2VehjE5QuIQDHcw7f2SisYT+H/S/oBcn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ExgcUAAADbAAAADwAAAAAAAAAA&#10;AAAAAAChAgAAZHJzL2Rvd25yZXYueG1sUEsFBgAAAAAEAAQA+QAAAJMDAAAAAA==&#10;" strokeweight="0"/>
                <v:line id="Line 36" o:spid="_x0000_s1051" style="position:absolute;flip:y;visibility:visible;mso-wrap-style:square" from="16859,14763" to="16865,15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IOwcIAAADbAAAADwAAAGRycy9kb3ducmV2LnhtbERPy2oCMRTdF/yHcAV3NWOFVkajiEUp&#10;hVZ8LdxdJ9eZwcnNkEQn/ftmUejycN6zRTSNeJDztWUFo2EGgriwuuZSwfGwfp6A8AFZY2OZFPyQ&#10;h8W89zTDXNuOd/TYh1KkEPY5KqhCaHMpfVGRQT+0LXHirtYZDAm6UmqHXQo3jXzJsldpsObUUGFL&#10;q4qK2/5uFOy+3/jiNvd4i5fua3s+lZ+n96VSg35cTkEEiuFf/Of+0ArGaX36kn6An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IOwcIAAADbAAAADwAAAAAAAAAAAAAA&#10;AAChAgAAZHJzL2Rvd25yZXYueG1sUEsFBgAAAAAEAAQA+QAAAJADAAAAAA==&#10;" strokeweight="0"/>
                <v:line id="Line 37" o:spid="_x0000_s1052" style="position:absolute;flip:y;visibility:visible;mso-wrap-style:square" from="22098,14763" to="22104,15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6rWsUAAADbAAAADwAAAGRycy9kb3ducmV2LnhtbESPQWsCMRSE70L/Q3iF3jSrhSpbo0il&#10;RQQr2nro7bl53V3cvCxJdNN/bwqCx2FmvmGm82gacSHna8sKhoMMBHFhdc2lgu+v9/4EhA/IGhvL&#10;pOCPPMxnD70p5tp2vKPLPpQiQdjnqKAKoc2l9EVFBv3AtsTJ+7XOYEjSlVI77BLcNHKUZS/SYM1p&#10;ocKW3ioqTvuzUbD7HPPRfZzjKR67zfbnUK4Py4VST49x8QoiUAz38K290gqeh/D/Jf0AOb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y6rWsUAAADbAAAADwAAAAAAAAAA&#10;AAAAAAChAgAAZHJzL2Rvd25yZXYueG1sUEsFBgAAAAAEAAQA+QAAAJMDAAAAAA==&#10;" strokeweight="0"/>
                <v:line id="Line 38" o:spid="_x0000_s1053" style="position:absolute;flip:y;visibility:visible;mso-wrap-style:square" from="27241,14763" to="27247,15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1LcUAAADbAAAADwAAAGRycy9kb3ducmV2LnhtbESPQWsCMRSE74L/ITyhN83WQpWtUaSl&#10;RQQr2nro7bl53V3cvCxJdNN/bwqCx2FmvmFmi2gacSHna8sKHkcZCOLC6ppLBd9f78MpCB+QNTaW&#10;ScEfeVjM+70Z5tp2vKPLPpQiQdjnqKAKoc2l9EVFBv3ItsTJ+7XOYEjSlVI77BLcNHKcZc/SYM1p&#10;ocKWXisqTvuzUbD7nPDRfZzjKR67zfbnUK4Pb0ulHgZx+QIiUAz38K290gqexvD/Jf0A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w1LcUAAADbAAAADwAAAAAAAAAA&#10;AAAAAAChAgAAZHJzL2Rvd25yZXYueG1sUEsFBgAAAAAEAAQA+QAAAJMDAAAAAA==&#10;" strokeweight="0"/>
                <v:line id="Line 39" o:spid="_x0000_s1054" style="position:absolute;flip:y;visibility:visible;mso-wrap-style:square" from="32385,14763" to="32391,15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CQtsUAAADbAAAADwAAAGRycy9kb3ducmV2LnhtbESPT2sCMRTE7wW/Q3hCbzVbhVZWo0iL&#10;RYRW/Hfw9ty87i5uXpYkuum3bwoFj8PM/IaZzqNpxI2cry0reB5kIIgLq2suFRz2y6cxCB+QNTaW&#10;ScEPeZjPeg9TzLXteEu3XShFgrDPUUEVQptL6YuKDPqBbYmT922dwZCkK6V22CW4aeQwy16kwZrT&#10;QoUtvVVUXHZXo2D79cpn93GNl3juPjenY7k+vi+UeuzHxQREoBju4f/2SisYjeDvS/oBcv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CQtsUAAADbAAAADwAAAAAAAAAA&#10;AAAAAAChAgAAZHJzL2Rvd25yZXYueG1sUEsFBgAAAAAEAAQA+QAAAJMDAAAAAA==&#10;" strokeweight="0"/>
                <v:rect id="Rectangle 40" o:spid="_x0000_s1055" style="position:absolute;left:4667;top:1238;width:24771;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M4cEA&#10;AADbAAAADwAAAGRycy9kb3ducmV2LnhtbESPzYoCMRCE74LvEFrwphl1W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4TOHBAAAA2wAAAA8AAAAAAAAAAAAAAAAAmAIAAGRycy9kb3du&#10;cmV2LnhtbFBLBQYAAAAABAAEAPUAAACGAwAAAAA=&#10;" filled="f" stroked="f">
                  <v:textbox style="mso-fit-shape-to-text:t" inset="0,0,0,0">
                    <w:txbxContent>
                      <w:p w:rsidR="009A43AA" w:rsidRDefault="009A43AA" w:rsidP="009A43AA">
                        <w:r>
                          <w:rPr>
                            <w:rFonts w:ascii="宋体" w:cs="宋体" w:hint="eastAsia"/>
                            <w:color w:val="000000"/>
                            <w:sz w:val="24"/>
                          </w:rPr>
                          <w:t>图1 青岛海尔主营业务收入增长趋势</w:t>
                        </w:r>
                      </w:p>
                    </w:txbxContent>
                  </v:textbox>
                </v:rect>
                <v:rect id="Rectangle 41" o:spid="_x0000_s1056" style="position:absolute;left:4667;top:14573;width:768;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esEA&#10;AADbAAAADwAAAGRycy9kb3ducmV2LnhtbESPzYoCMRCE74LvEFrwphmV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6XrBAAAA2wAAAA8AAAAAAAAAAAAAAAAAmAIAAGRycy9kb3du&#10;cmV2LnhtbFBLBQYAAAAABAAEAPUAAACGAwAAAAA=&#10;" filled="f" stroked="f">
                  <v:textbox style="mso-fit-shape-to-text:t" inset="0,0,0,0">
                    <w:txbxContent>
                      <w:p w:rsidR="009A43AA" w:rsidRDefault="009A43AA" w:rsidP="009A43AA">
                        <w:r>
                          <w:rPr>
                            <w:rFonts w:ascii="宋体" w:cs="宋体"/>
                            <w:color w:val="000000"/>
                            <w:sz w:val="24"/>
                          </w:rPr>
                          <w:t>0</w:t>
                        </w:r>
                      </w:p>
                    </w:txbxContent>
                  </v:textbox>
                </v:rect>
                <v:rect id="Rectangle 42" o:spid="_x0000_s1057" style="position:absolute;left:3143;top:12573;width:2292;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3DcAA&#10;AADbAAAADwAAAGRycy9kb3ducmV2LnhtbESPzYoCMRCE7wu+Q2jB25pRQW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3DcAAAADbAAAADwAAAAAAAAAAAAAAAACYAgAAZHJzL2Rvd25y&#10;ZXYueG1sUEsFBgAAAAAEAAQA9QAAAIUDAAAAAA==&#10;" filled="f" stroked="f">
                  <v:textbox style="mso-fit-shape-to-text:t" inset="0,0,0,0">
                    <w:txbxContent>
                      <w:p w:rsidR="009A43AA" w:rsidRDefault="009A43AA" w:rsidP="009A43AA">
                        <w:r>
                          <w:rPr>
                            <w:rFonts w:ascii="宋体" w:cs="宋体"/>
                            <w:color w:val="000000"/>
                            <w:sz w:val="24"/>
                          </w:rPr>
                          <w:t>200</w:t>
                        </w:r>
                      </w:p>
                    </w:txbxContent>
                  </v:textbox>
                </v:rect>
                <v:rect id="Rectangle 43" o:spid="_x0000_s1058" style="position:absolute;left:3143;top:10668;width:2292;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fit-shape-to-text:t" inset="0,0,0,0">
                    <w:txbxContent>
                      <w:p w:rsidR="009A43AA" w:rsidRDefault="009A43AA" w:rsidP="009A43AA">
                        <w:r>
                          <w:rPr>
                            <w:rFonts w:ascii="宋体" w:cs="宋体"/>
                            <w:color w:val="000000"/>
                            <w:sz w:val="24"/>
                          </w:rPr>
                          <w:t>400</w:t>
                        </w:r>
                      </w:p>
                    </w:txbxContent>
                  </v:textbox>
                </v:rect>
                <v:rect id="Rectangle 44" o:spid="_x0000_s1059" style="position:absolute;left:3143;top:8667;width:2292;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G5L8A&#10;AADbAAAADwAAAGRycy9kb3ducmV2LnhtbERPS2rDMBDdF3IHMYXsarkO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9UbkvwAAANsAAAAPAAAAAAAAAAAAAAAAAJgCAABkcnMvZG93bnJl&#10;di54bWxQSwUGAAAAAAQABAD1AAAAhAMAAAAA&#10;" filled="f" stroked="f">
                  <v:textbox style="mso-fit-shape-to-text:t" inset="0,0,0,0">
                    <w:txbxContent>
                      <w:p w:rsidR="009A43AA" w:rsidRDefault="009A43AA" w:rsidP="009A43AA">
                        <w:r>
                          <w:rPr>
                            <w:rFonts w:ascii="宋体" w:cs="宋体"/>
                            <w:color w:val="000000"/>
                            <w:sz w:val="24"/>
                          </w:rPr>
                          <w:t>600</w:t>
                        </w:r>
                      </w:p>
                    </w:txbxContent>
                  </v:textbox>
                </v:rect>
                <v:rect id="Rectangle 45" o:spid="_x0000_s1060" style="position:absolute;left:3143;top:6762;width:2292;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fit-shape-to-text:t" inset="0,0,0,0">
                    <w:txbxContent>
                      <w:p w:rsidR="009A43AA" w:rsidRDefault="009A43AA" w:rsidP="009A43AA">
                        <w:r>
                          <w:rPr>
                            <w:rFonts w:ascii="宋体" w:cs="宋体"/>
                            <w:color w:val="000000"/>
                            <w:sz w:val="24"/>
                          </w:rPr>
                          <w:t>800</w:t>
                        </w:r>
                      </w:p>
                    </w:txbxContent>
                  </v:textbox>
                </v:rect>
                <v:rect id="Rectangle 46" o:spid="_x0000_s1061" style="position:absolute;left:1619;top:4762;width:3816;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fit-shape-to-text:t" inset="0,0,0,0">
                    <w:txbxContent>
                      <w:p w:rsidR="009A43AA" w:rsidRDefault="009A43AA" w:rsidP="009A43AA">
                        <w:r>
                          <w:rPr>
                            <w:rFonts w:ascii="宋体" w:cs="宋体"/>
                            <w:color w:val="000000"/>
                            <w:sz w:val="24"/>
                          </w:rPr>
                          <w:t>1,000</w:t>
                        </w:r>
                      </w:p>
                    </w:txbxContent>
                  </v:textbox>
                </v:rect>
                <v:rect id="Rectangle 47" o:spid="_x0000_s1062" style="position:absolute;left:7620;top:16573;width:3054;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cBMAA&#10;AADbAAAADwAAAGRycy9kb3ducmV2LnhtbESPzYoCMRCE7wu+Q2jB25pRlk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mcBMAAAADbAAAADwAAAAAAAAAAAAAAAACYAgAAZHJzL2Rvd25y&#10;ZXYueG1sUEsFBgAAAAAEAAQA9QAAAIUDAAAAAA==&#10;" filled="f" stroked="f">
                  <v:textbox style="mso-fit-shape-to-text:t" inset="0,0,0,0">
                    <w:txbxContent>
                      <w:p w:rsidR="009A43AA" w:rsidRDefault="009A43AA" w:rsidP="009A43AA">
                        <w:r>
                          <w:rPr>
                            <w:rFonts w:ascii="宋体" w:cs="宋体"/>
                            <w:color w:val="000000"/>
                            <w:sz w:val="24"/>
                          </w:rPr>
                          <w:t>2008</w:t>
                        </w:r>
                      </w:p>
                    </w:txbxContent>
                  </v:textbox>
                </v:rect>
                <v:rect id="Rectangle 48" o:spid="_x0000_s1063" style="position:absolute;left:12763;top:16573;width:3054;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fit-shape-to-text:t" inset="0,0,0,0">
                    <w:txbxContent>
                      <w:p w:rsidR="009A43AA" w:rsidRDefault="009A43AA" w:rsidP="009A43AA">
                        <w:r>
                          <w:rPr>
                            <w:rFonts w:ascii="宋体" w:cs="宋体"/>
                            <w:color w:val="000000"/>
                            <w:sz w:val="24"/>
                          </w:rPr>
                          <w:t>2009</w:t>
                        </w:r>
                      </w:p>
                    </w:txbxContent>
                  </v:textbox>
                </v:rect>
                <v:rect id="Rectangle 49" o:spid="_x0000_s1064" style="position:absolute;left:18002;top:16573;width:3054;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en6MEA&#10;AADbAAAADwAAAGRycy9kb3ducmV2LnhtbESPzYoCMRCE74LvEFrwphl1W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Xp+jBAAAA2wAAAA8AAAAAAAAAAAAAAAAAmAIAAGRycy9kb3du&#10;cmV2LnhtbFBLBQYAAAAABAAEAPUAAACGAwAAAAA=&#10;" filled="f" stroked="f">
                  <v:textbox style="mso-fit-shape-to-text:t" inset="0,0,0,0">
                    <w:txbxContent>
                      <w:p w:rsidR="009A43AA" w:rsidRDefault="009A43AA" w:rsidP="009A43AA">
                        <w:r>
                          <w:rPr>
                            <w:rFonts w:ascii="宋体" w:cs="宋体"/>
                            <w:color w:val="000000"/>
                            <w:sz w:val="24"/>
                          </w:rPr>
                          <w:t>2010</w:t>
                        </w:r>
                      </w:p>
                    </w:txbxContent>
                  </v:textbox>
                </v:rect>
                <v:rect id="Rectangle 50" o:spid="_x0000_s1065" style="position:absolute;left:23145;top:16573;width:3055;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nMAA&#10;AADbAAAADwAAAGRycy9kb3ducmV2LnhtbESPzYoCMRCE7wu+Q2jB25pRZ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4/nMAAAADbAAAADwAAAAAAAAAAAAAAAACYAgAAZHJzL2Rvd25y&#10;ZXYueG1sUEsFBgAAAAAEAAQA9QAAAIUDAAAAAA==&#10;" filled="f" stroked="f">
                  <v:textbox style="mso-fit-shape-to-text:t" inset="0,0,0,0">
                    <w:txbxContent>
                      <w:p w:rsidR="009A43AA" w:rsidRDefault="009A43AA" w:rsidP="009A43AA">
                        <w:r>
                          <w:rPr>
                            <w:rFonts w:ascii="宋体" w:cs="宋体"/>
                            <w:color w:val="000000"/>
                            <w:sz w:val="24"/>
                          </w:rPr>
                          <w:t>2011</w:t>
                        </w:r>
                      </w:p>
                    </w:txbxContent>
                  </v:textbox>
                </v:rect>
                <v:rect id="Rectangle 51" o:spid="_x0000_s1066" style="position:absolute;left:28289;top:16573;width:3054;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aB8EA&#10;AADbAAAADwAAAGRycy9kb3ducmV2LnhtbESPzYoCMRCE74LvEFrwphnF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ymgfBAAAA2wAAAA8AAAAAAAAAAAAAAAAAmAIAAGRycy9kb3du&#10;cmV2LnhtbFBLBQYAAAAABAAEAPUAAACGAwAAAAA=&#10;" filled="f" stroked="f">
                  <v:textbox style="mso-fit-shape-to-text:t" inset="0,0,0,0">
                    <w:txbxContent>
                      <w:p w:rsidR="009A43AA" w:rsidRDefault="009A43AA" w:rsidP="009A43AA">
                        <w:r>
                          <w:rPr>
                            <w:rFonts w:ascii="宋体" w:cs="宋体"/>
                            <w:color w:val="000000"/>
                            <w:sz w:val="24"/>
                          </w:rPr>
                          <w:t>2012</w:t>
                        </w:r>
                      </w:p>
                    </w:txbxContent>
                  </v:textbox>
                </v:rect>
                <v:rect id="Rectangle 52" o:spid="_x0000_s1067" style="position:absolute;left:1143;width:32766;height:18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trosMA&#10;AADbAAAADwAAAGRycy9kb3ducmV2LnhtbESPQWvCQBSE70L/w/IKvemmUqVEN5JKhZ6EqlC9PbLP&#10;3ZDs25DdmvTfu4VCj8PMfMOsN6NrxY36UHtW8DzLQBBXXtdsFJyOu+kriBCRNbaeScEPBdgUD5M1&#10;5toP/Em3QzQiQTjkqMDG2OVShsqSwzDzHXHyrr53GJPsjdQ9DgnuWjnPsqV0WHNasNjR1lLVHL6d&#10;gvfusi8XJsjyK9pz49+Gnd0bpZ4ex3IFItIY/8N/7Q+t4GUJv1/SD5D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trosMAAADbAAAADwAAAAAAAAAAAAAAAACYAgAAZHJzL2Rv&#10;d25yZXYueG1sUEsFBgAAAAAEAAQA9QAAAIgDAAAAAA==&#10;" filled="f"/>
                <w10:anchorlock/>
              </v:group>
            </w:pict>
          </mc:Fallback>
        </mc:AlternateContent>
      </w:r>
    </w:p>
    <w:p w:rsidR="009A43AA" w:rsidRDefault="009A43AA" w:rsidP="009A43AA">
      <w:pPr>
        <w:tabs>
          <w:tab w:val="left" w:pos="7605"/>
        </w:tabs>
        <w:jc w:val="center"/>
        <w:rPr>
          <w:b/>
          <w:szCs w:val="21"/>
        </w:rPr>
      </w:pPr>
    </w:p>
    <w:p w:rsidR="009A43AA" w:rsidRPr="00A71A9B" w:rsidRDefault="009A43AA" w:rsidP="009A43AA">
      <w:pPr>
        <w:tabs>
          <w:tab w:val="left" w:pos="7605"/>
        </w:tabs>
        <w:jc w:val="center"/>
        <w:rPr>
          <w:b/>
          <w:szCs w:val="21"/>
        </w:rPr>
      </w:pPr>
      <w:r w:rsidRPr="00A71A9B">
        <w:rPr>
          <w:rFonts w:hint="eastAsia"/>
          <w:b/>
          <w:szCs w:val="21"/>
        </w:rPr>
        <w:t>表</w:t>
      </w:r>
      <w:r w:rsidRPr="00A71A9B">
        <w:rPr>
          <w:rFonts w:hint="eastAsia"/>
          <w:b/>
          <w:szCs w:val="21"/>
        </w:rPr>
        <w:t xml:space="preserve">4  </w:t>
      </w:r>
      <w:r w:rsidRPr="00A71A9B">
        <w:rPr>
          <w:rFonts w:hint="eastAsia"/>
          <w:b/>
          <w:szCs w:val="21"/>
        </w:rPr>
        <w:t>青岛海尔主营业务收入</w:t>
      </w:r>
      <w:r>
        <w:rPr>
          <w:rFonts w:hint="eastAsia"/>
          <w:b/>
          <w:szCs w:val="21"/>
        </w:rPr>
        <w:t>增长趋势</w:t>
      </w:r>
      <w:r w:rsidRPr="00A71A9B">
        <w:rPr>
          <w:rFonts w:hint="eastAsia"/>
          <w:b/>
          <w:szCs w:val="21"/>
        </w:rPr>
        <w:t>（单位：</w:t>
      </w:r>
      <w:r>
        <w:rPr>
          <w:rFonts w:hint="eastAsia"/>
          <w:b/>
          <w:szCs w:val="21"/>
        </w:rPr>
        <w:t>忆</w:t>
      </w:r>
      <w:r w:rsidRPr="00A71A9B">
        <w:rPr>
          <w:rFonts w:hint="eastAsia"/>
          <w:b/>
          <w:szCs w:val="21"/>
        </w:rPr>
        <w:t>元）</w:t>
      </w:r>
    </w:p>
    <w:tbl>
      <w:tblPr>
        <w:tblStyle w:val="a3"/>
        <w:tblW w:w="5000" w:type="pct"/>
        <w:tblLook w:val="01E0" w:firstRow="1" w:lastRow="1" w:firstColumn="1" w:lastColumn="1" w:noHBand="0" w:noVBand="0"/>
      </w:tblPr>
      <w:tblGrid>
        <w:gridCol w:w="1783"/>
        <w:gridCol w:w="1489"/>
        <w:gridCol w:w="1389"/>
        <w:gridCol w:w="1208"/>
        <w:gridCol w:w="1246"/>
        <w:gridCol w:w="1181"/>
      </w:tblGrid>
      <w:tr w:rsidR="009A43AA" w:rsidRPr="00A71A9B">
        <w:tc>
          <w:tcPr>
            <w:tcW w:w="1074" w:type="pct"/>
          </w:tcPr>
          <w:p w:rsidR="009A43AA" w:rsidRPr="00A71A9B" w:rsidRDefault="009A43AA" w:rsidP="009A43AA">
            <w:pPr>
              <w:tabs>
                <w:tab w:val="left" w:pos="7605"/>
              </w:tabs>
              <w:rPr>
                <w:szCs w:val="21"/>
              </w:rPr>
            </w:pPr>
            <w:r w:rsidRPr="00A71A9B">
              <w:rPr>
                <w:rFonts w:hint="eastAsia"/>
                <w:szCs w:val="21"/>
              </w:rPr>
              <w:t>时间</w:t>
            </w:r>
          </w:p>
        </w:tc>
        <w:tc>
          <w:tcPr>
            <w:tcW w:w="897" w:type="pct"/>
          </w:tcPr>
          <w:p w:rsidR="009A43AA" w:rsidRPr="00A71A9B" w:rsidRDefault="009A43AA" w:rsidP="009A43AA">
            <w:pPr>
              <w:tabs>
                <w:tab w:val="left" w:pos="7605"/>
              </w:tabs>
              <w:rPr>
                <w:szCs w:val="21"/>
              </w:rPr>
            </w:pPr>
            <w:r w:rsidRPr="00A71A9B">
              <w:rPr>
                <w:rFonts w:hint="eastAsia"/>
                <w:szCs w:val="21"/>
              </w:rPr>
              <w:t>2008</w:t>
            </w:r>
            <w:r w:rsidRPr="00A71A9B">
              <w:rPr>
                <w:rFonts w:hint="eastAsia"/>
                <w:szCs w:val="21"/>
              </w:rPr>
              <w:t>年</w:t>
            </w:r>
          </w:p>
        </w:tc>
        <w:tc>
          <w:tcPr>
            <w:tcW w:w="837" w:type="pct"/>
          </w:tcPr>
          <w:p w:rsidR="009A43AA" w:rsidRPr="00A71A9B" w:rsidRDefault="009A43AA" w:rsidP="009A43AA">
            <w:pPr>
              <w:tabs>
                <w:tab w:val="left" w:pos="7605"/>
              </w:tabs>
              <w:rPr>
                <w:szCs w:val="21"/>
              </w:rPr>
            </w:pPr>
            <w:r w:rsidRPr="00A71A9B">
              <w:rPr>
                <w:rFonts w:hint="eastAsia"/>
                <w:szCs w:val="21"/>
              </w:rPr>
              <w:t>2009</w:t>
            </w:r>
            <w:r w:rsidRPr="00A71A9B">
              <w:rPr>
                <w:rFonts w:hint="eastAsia"/>
                <w:szCs w:val="21"/>
              </w:rPr>
              <w:t>年</w:t>
            </w:r>
          </w:p>
        </w:tc>
        <w:tc>
          <w:tcPr>
            <w:tcW w:w="728" w:type="pct"/>
          </w:tcPr>
          <w:p w:rsidR="009A43AA" w:rsidRPr="00A71A9B" w:rsidRDefault="009A43AA" w:rsidP="009A43AA">
            <w:pPr>
              <w:tabs>
                <w:tab w:val="left" w:pos="7605"/>
              </w:tabs>
              <w:rPr>
                <w:szCs w:val="21"/>
              </w:rPr>
            </w:pPr>
            <w:r w:rsidRPr="00A71A9B">
              <w:rPr>
                <w:rFonts w:hint="eastAsia"/>
                <w:szCs w:val="21"/>
              </w:rPr>
              <w:t>2010</w:t>
            </w:r>
            <w:r w:rsidRPr="00A71A9B">
              <w:rPr>
                <w:rFonts w:hint="eastAsia"/>
                <w:szCs w:val="21"/>
              </w:rPr>
              <w:t>年</w:t>
            </w:r>
          </w:p>
        </w:tc>
        <w:tc>
          <w:tcPr>
            <w:tcW w:w="751" w:type="pct"/>
          </w:tcPr>
          <w:p w:rsidR="009A43AA" w:rsidRPr="00A71A9B" w:rsidRDefault="009A43AA" w:rsidP="009A43AA">
            <w:pPr>
              <w:tabs>
                <w:tab w:val="left" w:pos="7605"/>
              </w:tabs>
              <w:rPr>
                <w:szCs w:val="21"/>
              </w:rPr>
            </w:pPr>
            <w:r w:rsidRPr="00A71A9B">
              <w:rPr>
                <w:rFonts w:hint="eastAsia"/>
                <w:szCs w:val="21"/>
              </w:rPr>
              <w:t>2011</w:t>
            </w:r>
            <w:r w:rsidRPr="00A71A9B">
              <w:rPr>
                <w:rFonts w:hint="eastAsia"/>
                <w:szCs w:val="21"/>
              </w:rPr>
              <w:t>年</w:t>
            </w:r>
          </w:p>
        </w:tc>
        <w:tc>
          <w:tcPr>
            <w:tcW w:w="712" w:type="pct"/>
          </w:tcPr>
          <w:p w:rsidR="009A43AA" w:rsidRPr="00A71A9B" w:rsidRDefault="009A43AA" w:rsidP="009A43AA">
            <w:pPr>
              <w:tabs>
                <w:tab w:val="left" w:pos="7605"/>
              </w:tabs>
              <w:rPr>
                <w:szCs w:val="21"/>
              </w:rPr>
            </w:pPr>
            <w:r w:rsidRPr="00A71A9B">
              <w:rPr>
                <w:rFonts w:hint="eastAsia"/>
                <w:szCs w:val="21"/>
              </w:rPr>
              <w:t>2012</w:t>
            </w:r>
            <w:r w:rsidRPr="00A71A9B">
              <w:rPr>
                <w:rFonts w:hint="eastAsia"/>
                <w:szCs w:val="21"/>
              </w:rPr>
              <w:t>年</w:t>
            </w:r>
          </w:p>
        </w:tc>
      </w:tr>
      <w:tr w:rsidR="009A43AA" w:rsidRPr="00A71A9B">
        <w:tc>
          <w:tcPr>
            <w:tcW w:w="1074" w:type="pct"/>
          </w:tcPr>
          <w:p w:rsidR="009A43AA" w:rsidRPr="00A71A9B" w:rsidRDefault="009A43AA" w:rsidP="009A43AA">
            <w:pPr>
              <w:tabs>
                <w:tab w:val="left" w:pos="7605"/>
              </w:tabs>
              <w:rPr>
                <w:szCs w:val="21"/>
              </w:rPr>
            </w:pPr>
            <w:r w:rsidRPr="00A71A9B">
              <w:rPr>
                <w:rFonts w:hint="eastAsia"/>
                <w:szCs w:val="21"/>
              </w:rPr>
              <w:t>主营</w:t>
            </w:r>
            <w:r>
              <w:rPr>
                <w:rFonts w:hint="eastAsia"/>
                <w:szCs w:val="21"/>
              </w:rPr>
              <w:t>业务</w:t>
            </w:r>
            <w:r w:rsidRPr="00A71A9B">
              <w:rPr>
                <w:rFonts w:hint="eastAsia"/>
                <w:szCs w:val="21"/>
              </w:rPr>
              <w:t>收</w:t>
            </w:r>
            <w:r>
              <w:rPr>
                <w:rFonts w:hint="eastAsia"/>
                <w:szCs w:val="21"/>
              </w:rPr>
              <w:t>入</w:t>
            </w:r>
          </w:p>
        </w:tc>
        <w:tc>
          <w:tcPr>
            <w:tcW w:w="897" w:type="pct"/>
          </w:tcPr>
          <w:p w:rsidR="009A43AA" w:rsidRPr="00A71A9B" w:rsidRDefault="009A43AA" w:rsidP="009A43AA">
            <w:pPr>
              <w:rPr>
                <w:rFonts w:ascii="宋体" w:hAnsi="宋体" w:cs="宋体"/>
                <w:sz w:val="24"/>
              </w:rPr>
            </w:pPr>
            <w:r>
              <w:rPr>
                <w:rFonts w:hint="eastAsia"/>
              </w:rPr>
              <w:t>304</w:t>
            </w:r>
          </w:p>
        </w:tc>
        <w:tc>
          <w:tcPr>
            <w:tcW w:w="837" w:type="pct"/>
          </w:tcPr>
          <w:p w:rsidR="009A43AA" w:rsidRPr="00A71A9B" w:rsidRDefault="009A43AA" w:rsidP="009A43AA">
            <w:pPr>
              <w:rPr>
                <w:rFonts w:ascii="宋体" w:hAnsi="宋体" w:cs="宋体"/>
                <w:szCs w:val="21"/>
              </w:rPr>
            </w:pPr>
            <w:r>
              <w:rPr>
                <w:rFonts w:hint="eastAsia"/>
                <w:szCs w:val="21"/>
              </w:rPr>
              <w:t>330</w:t>
            </w:r>
          </w:p>
        </w:tc>
        <w:tc>
          <w:tcPr>
            <w:tcW w:w="728" w:type="pct"/>
          </w:tcPr>
          <w:p w:rsidR="009A43AA" w:rsidRPr="00A71A9B" w:rsidRDefault="009A43AA" w:rsidP="009A43AA">
            <w:pPr>
              <w:rPr>
                <w:rFonts w:ascii="宋体" w:hAnsi="宋体" w:cs="宋体"/>
                <w:szCs w:val="21"/>
              </w:rPr>
            </w:pPr>
            <w:r>
              <w:rPr>
                <w:rFonts w:hint="eastAsia"/>
                <w:szCs w:val="21"/>
              </w:rPr>
              <w:t>606</w:t>
            </w:r>
          </w:p>
        </w:tc>
        <w:tc>
          <w:tcPr>
            <w:tcW w:w="751" w:type="pct"/>
          </w:tcPr>
          <w:p w:rsidR="009A43AA" w:rsidRPr="00A71A9B" w:rsidRDefault="009A43AA" w:rsidP="009A43AA">
            <w:pPr>
              <w:rPr>
                <w:rFonts w:ascii="宋体" w:hAnsi="宋体" w:cs="宋体"/>
                <w:szCs w:val="21"/>
              </w:rPr>
            </w:pPr>
            <w:r>
              <w:rPr>
                <w:rFonts w:hint="eastAsia"/>
                <w:szCs w:val="21"/>
              </w:rPr>
              <w:t>737</w:t>
            </w:r>
          </w:p>
        </w:tc>
        <w:tc>
          <w:tcPr>
            <w:tcW w:w="712" w:type="pct"/>
          </w:tcPr>
          <w:p w:rsidR="009A43AA" w:rsidRPr="00A71A9B" w:rsidRDefault="009A43AA" w:rsidP="009A43AA">
            <w:pPr>
              <w:rPr>
                <w:rFonts w:ascii="宋体" w:hAnsi="宋体" w:cs="宋体"/>
                <w:szCs w:val="21"/>
              </w:rPr>
            </w:pPr>
            <w:r>
              <w:rPr>
                <w:rFonts w:hint="eastAsia"/>
                <w:szCs w:val="21"/>
              </w:rPr>
              <w:t>799</w:t>
            </w:r>
          </w:p>
        </w:tc>
      </w:tr>
      <w:tr w:rsidR="009A43AA" w:rsidRPr="00A71A9B">
        <w:tc>
          <w:tcPr>
            <w:tcW w:w="1074" w:type="pct"/>
          </w:tcPr>
          <w:p w:rsidR="009A43AA" w:rsidRPr="00A71A9B" w:rsidRDefault="009A43AA" w:rsidP="009A43AA">
            <w:pPr>
              <w:tabs>
                <w:tab w:val="left" w:pos="7605"/>
              </w:tabs>
              <w:rPr>
                <w:szCs w:val="21"/>
              </w:rPr>
            </w:pPr>
            <w:r>
              <w:rPr>
                <w:rFonts w:hint="eastAsia"/>
                <w:szCs w:val="21"/>
              </w:rPr>
              <w:t>增长率</w:t>
            </w:r>
          </w:p>
        </w:tc>
        <w:tc>
          <w:tcPr>
            <w:tcW w:w="897" w:type="pct"/>
          </w:tcPr>
          <w:p w:rsidR="009A43AA" w:rsidRDefault="009A43AA" w:rsidP="009A43AA">
            <w:pPr>
              <w:rPr>
                <w:szCs w:val="21"/>
              </w:rPr>
            </w:pPr>
            <w:r>
              <w:rPr>
                <w:rFonts w:hint="eastAsia"/>
                <w:szCs w:val="21"/>
              </w:rPr>
              <w:t>/</w:t>
            </w:r>
          </w:p>
        </w:tc>
        <w:tc>
          <w:tcPr>
            <w:tcW w:w="837" w:type="pct"/>
          </w:tcPr>
          <w:p w:rsidR="009A43AA" w:rsidRPr="001E1D8A" w:rsidRDefault="009A43AA" w:rsidP="009A43AA">
            <w:pPr>
              <w:rPr>
                <w:szCs w:val="21"/>
              </w:rPr>
            </w:pPr>
            <w:r w:rsidRPr="001E1D8A">
              <w:rPr>
                <w:rFonts w:hint="eastAsia"/>
                <w:kern w:val="0"/>
                <w:szCs w:val="21"/>
              </w:rPr>
              <w:t>8.46%</w:t>
            </w:r>
          </w:p>
        </w:tc>
        <w:tc>
          <w:tcPr>
            <w:tcW w:w="728" w:type="pct"/>
          </w:tcPr>
          <w:p w:rsidR="009A43AA" w:rsidRPr="001E1D8A" w:rsidRDefault="009A43AA" w:rsidP="009A43AA">
            <w:pPr>
              <w:rPr>
                <w:kern w:val="0"/>
                <w:szCs w:val="21"/>
              </w:rPr>
            </w:pPr>
            <w:r w:rsidRPr="001E1D8A">
              <w:rPr>
                <w:rFonts w:hint="eastAsia"/>
                <w:kern w:val="0"/>
                <w:szCs w:val="21"/>
              </w:rPr>
              <w:t>83.72%</w:t>
            </w:r>
          </w:p>
        </w:tc>
        <w:tc>
          <w:tcPr>
            <w:tcW w:w="751" w:type="pct"/>
          </w:tcPr>
          <w:p w:rsidR="009A43AA" w:rsidRPr="001E1D8A" w:rsidRDefault="009A43AA" w:rsidP="009A43AA">
            <w:pPr>
              <w:rPr>
                <w:kern w:val="0"/>
                <w:szCs w:val="21"/>
              </w:rPr>
            </w:pPr>
            <w:r w:rsidRPr="001E1D8A">
              <w:rPr>
                <w:rFonts w:hint="eastAsia"/>
                <w:kern w:val="0"/>
                <w:szCs w:val="21"/>
              </w:rPr>
              <w:t>21.58%</w:t>
            </w:r>
          </w:p>
        </w:tc>
        <w:tc>
          <w:tcPr>
            <w:tcW w:w="712" w:type="pct"/>
          </w:tcPr>
          <w:p w:rsidR="009A43AA" w:rsidRPr="001E1D8A" w:rsidRDefault="009A43AA" w:rsidP="009A43AA">
            <w:pPr>
              <w:rPr>
                <w:kern w:val="0"/>
                <w:szCs w:val="21"/>
              </w:rPr>
            </w:pPr>
            <w:r w:rsidRPr="001E1D8A">
              <w:rPr>
                <w:rFonts w:hint="eastAsia"/>
                <w:kern w:val="0"/>
                <w:szCs w:val="21"/>
              </w:rPr>
              <w:t>8.42%</w:t>
            </w:r>
          </w:p>
        </w:tc>
      </w:tr>
    </w:tbl>
    <w:p w:rsidR="009A43AA" w:rsidRDefault="009A43AA" w:rsidP="009A43AA">
      <w:pPr>
        <w:tabs>
          <w:tab w:val="left" w:pos="7605"/>
        </w:tabs>
        <w:ind w:firstLineChars="250" w:firstLine="525"/>
        <w:rPr>
          <w:kern w:val="0"/>
          <w:szCs w:val="21"/>
        </w:rPr>
      </w:pPr>
      <w:r w:rsidRPr="00AE0D4D">
        <w:rPr>
          <w:rFonts w:hint="eastAsia"/>
          <w:szCs w:val="21"/>
        </w:rPr>
        <w:t>图</w:t>
      </w:r>
      <w:r w:rsidRPr="00AE0D4D">
        <w:rPr>
          <w:rFonts w:hint="eastAsia"/>
          <w:szCs w:val="21"/>
        </w:rPr>
        <w:t>1</w:t>
      </w:r>
      <w:r w:rsidRPr="00AE0D4D">
        <w:rPr>
          <w:rFonts w:hint="eastAsia"/>
          <w:szCs w:val="21"/>
        </w:rPr>
        <w:t>和表</w:t>
      </w:r>
      <w:r w:rsidRPr="00AE0D4D">
        <w:rPr>
          <w:rFonts w:hint="eastAsia"/>
          <w:szCs w:val="21"/>
        </w:rPr>
        <w:t>4</w:t>
      </w:r>
      <w:r w:rsidRPr="00AE0D4D">
        <w:rPr>
          <w:rFonts w:hint="eastAsia"/>
          <w:szCs w:val="21"/>
        </w:rPr>
        <w:t>列示了青岛海尔</w:t>
      </w:r>
      <w:r w:rsidRPr="00AE0D4D">
        <w:rPr>
          <w:rFonts w:hint="eastAsia"/>
          <w:szCs w:val="21"/>
        </w:rPr>
        <w:t>2008</w:t>
      </w:r>
      <w:r w:rsidRPr="00AE0D4D">
        <w:rPr>
          <w:rFonts w:hint="eastAsia"/>
          <w:szCs w:val="21"/>
        </w:rPr>
        <w:t>年—</w:t>
      </w:r>
      <w:r w:rsidRPr="00AE0D4D">
        <w:rPr>
          <w:rFonts w:hint="eastAsia"/>
          <w:szCs w:val="21"/>
        </w:rPr>
        <w:t>2012</w:t>
      </w:r>
      <w:r w:rsidRPr="00AE0D4D">
        <w:rPr>
          <w:rFonts w:hint="eastAsia"/>
          <w:szCs w:val="21"/>
        </w:rPr>
        <w:t>年期间主营业务收入增长变化趋势</w:t>
      </w:r>
      <w:r>
        <w:rPr>
          <w:rFonts w:hint="eastAsia"/>
          <w:szCs w:val="21"/>
        </w:rPr>
        <w:t>。</w:t>
      </w:r>
      <w:r w:rsidRPr="00AE0D4D">
        <w:rPr>
          <w:rFonts w:hint="eastAsia"/>
          <w:szCs w:val="21"/>
        </w:rPr>
        <w:t>从中可以看出，青岛海尔的主营业务收入增长相对较快，</w:t>
      </w:r>
      <w:r w:rsidRPr="00AE0D4D">
        <w:rPr>
          <w:rFonts w:hint="eastAsia"/>
          <w:szCs w:val="21"/>
        </w:rPr>
        <w:t>2012</w:t>
      </w:r>
      <w:r w:rsidRPr="00AE0D4D">
        <w:rPr>
          <w:rFonts w:hint="eastAsia"/>
          <w:szCs w:val="21"/>
        </w:rPr>
        <w:t>年的销售收入是</w:t>
      </w:r>
      <w:r w:rsidRPr="00AE0D4D">
        <w:rPr>
          <w:rFonts w:hint="eastAsia"/>
          <w:szCs w:val="21"/>
        </w:rPr>
        <w:t>2008</w:t>
      </w:r>
      <w:r w:rsidRPr="00AE0D4D">
        <w:rPr>
          <w:rFonts w:hint="eastAsia"/>
          <w:szCs w:val="21"/>
        </w:rPr>
        <w:t>年</w:t>
      </w:r>
      <w:r>
        <w:rPr>
          <w:rFonts w:hint="eastAsia"/>
          <w:szCs w:val="21"/>
        </w:rPr>
        <w:t>的</w:t>
      </w:r>
      <w:r>
        <w:rPr>
          <w:rFonts w:hint="eastAsia"/>
          <w:szCs w:val="21"/>
        </w:rPr>
        <w:t>1.63</w:t>
      </w:r>
      <w:r>
        <w:rPr>
          <w:rFonts w:hint="eastAsia"/>
          <w:szCs w:val="21"/>
        </w:rPr>
        <w:t>倍。需要关注的是</w:t>
      </w:r>
      <w:r>
        <w:rPr>
          <w:rFonts w:hint="eastAsia"/>
          <w:szCs w:val="21"/>
        </w:rPr>
        <w:t>2010</w:t>
      </w:r>
      <w:r>
        <w:rPr>
          <w:rFonts w:hint="eastAsia"/>
          <w:szCs w:val="21"/>
        </w:rPr>
        <w:t>年和</w:t>
      </w:r>
      <w:r>
        <w:rPr>
          <w:rFonts w:hint="eastAsia"/>
          <w:szCs w:val="21"/>
        </w:rPr>
        <w:t>211</w:t>
      </w:r>
      <w:r>
        <w:rPr>
          <w:rFonts w:hint="eastAsia"/>
          <w:szCs w:val="21"/>
        </w:rPr>
        <w:t>年的异常收入变化情况，对于</w:t>
      </w:r>
      <w:r>
        <w:rPr>
          <w:rFonts w:hint="eastAsia"/>
          <w:szCs w:val="21"/>
        </w:rPr>
        <w:t>2010</w:t>
      </w:r>
      <w:r>
        <w:rPr>
          <w:rFonts w:hint="eastAsia"/>
          <w:szCs w:val="21"/>
        </w:rPr>
        <w:t>年，青岛海尔给出的解释是“</w:t>
      </w:r>
      <w:r w:rsidRPr="007B2C93">
        <w:rPr>
          <w:rFonts w:hint="eastAsia"/>
          <w:szCs w:val="21"/>
        </w:rPr>
        <w:t>主要是家电行业整体保持稳定增长，公司内销、出口收入增加所致。</w:t>
      </w:r>
      <w:r>
        <w:rPr>
          <w:rFonts w:hint="eastAsia"/>
          <w:szCs w:val="21"/>
        </w:rPr>
        <w:t>”考虑到</w:t>
      </w:r>
      <w:r w:rsidRPr="00A97696">
        <w:rPr>
          <w:rFonts w:hint="eastAsia"/>
          <w:szCs w:val="21"/>
        </w:rPr>
        <w:t xml:space="preserve">2010 </w:t>
      </w:r>
      <w:r w:rsidRPr="00A97696">
        <w:rPr>
          <w:rFonts w:hint="eastAsia"/>
          <w:szCs w:val="21"/>
        </w:rPr>
        <w:t>年国内经济保持高速发展，国际市场逐步复苏，全面推动家电产业再创新高，家电行业</w:t>
      </w:r>
      <w:r>
        <w:rPr>
          <w:rFonts w:hint="eastAsia"/>
          <w:szCs w:val="21"/>
        </w:rPr>
        <w:t>呈现出口、内销两旺的局面</w:t>
      </w:r>
      <w:r w:rsidRPr="00A97696">
        <w:rPr>
          <w:rFonts w:hint="eastAsia"/>
          <w:szCs w:val="21"/>
        </w:rPr>
        <w:t>家电下乡、“以旧换新”、“节能惠民”等扩大内需政策驱动行业销售创</w:t>
      </w:r>
      <w:r>
        <w:rPr>
          <w:rFonts w:hint="eastAsia"/>
          <w:szCs w:val="21"/>
        </w:rPr>
        <w:t>新高，青岛海尔保持较高的增长率还是有可能的，但高达</w:t>
      </w:r>
      <w:r>
        <w:rPr>
          <w:rFonts w:hint="eastAsia"/>
          <w:szCs w:val="21"/>
        </w:rPr>
        <w:t>83.72%</w:t>
      </w:r>
      <w:r>
        <w:rPr>
          <w:rFonts w:hint="eastAsia"/>
          <w:szCs w:val="21"/>
        </w:rPr>
        <w:t>的增长率还是很值得怀疑的；对于</w:t>
      </w:r>
      <w:r>
        <w:rPr>
          <w:rFonts w:hint="eastAsia"/>
          <w:szCs w:val="21"/>
        </w:rPr>
        <w:t>2011</w:t>
      </w:r>
      <w:r>
        <w:rPr>
          <w:rFonts w:hint="eastAsia"/>
          <w:szCs w:val="21"/>
        </w:rPr>
        <w:t>年，青岛海尔没有给出解释，考虑到</w:t>
      </w:r>
      <w:r w:rsidRPr="007B2C93">
        <w:rPr>
          <w:rFonts w:hint="eastAsia"/>
          <w:kern w:val="0"/>
          <w:szCs w:val="21"/>
        </w:rPr>
        <w:t>2011</w:t>
      </w:r>
      <w:r w:rsidRPr="007B2C93">
        <w:rPr>
          <w:rFonts w:hint="eastAsia"/>
          <w:kern w:val="0"/>
          <w:szCs w:val="21"/>
        </w:rPr>
        <w:t>年</w:t>
      </w:r>
      <w:r>
        <w:rPr>
          <w:rFonts w:hint="eastAsia"/>
          <w:kern w:val="0"/>
          <w:szCs w:val="21"/>
        </w:rPr>
        <w:t>，受全球经济持续低迷、国内房地产行业景气度下降、“家电下乡、依旧换新及节能惠民”等增速的影响，青岛海尔的销售收入的增长率应该维持在较低水平，即使考虑到本年度内青岛海尔</w:t>
      </w:r>
      <w:r w:rsidRPr="007B2C93">
        <w:rPr>
          <w:rFonts w:hint="eastAsia"/>
          <w:kern w:val="0"/>
          <w:szCs w:val="21"/>
        </w:rPr>
        <w:t>持续推进商业模式转型</w:t>
      </w:r>
      <w:r>
        <w:rPr>
          <w:rFonts w:hint="eastAsia"/>
          <w:kern w:val="0"/>
          <w:szCs w:val="21"/>
        </w:rPr>
        <w:t>、</w:t>
      </w:r>
      <w:r w:rsidRPr="007B2C93">
        <w:rPr>
          <w:rFonts w:hint="eastAsia"/>
          <w:kern w:val="0"/>
          <w:szCs w:val="21"/>
        </w:rPr>
        <w:t>加大产品与技术创新力度、实施引领发展战略、</w:t>
      </w:r>
      <w:r>
        <w:rPr>
          <w:rFonts w:hint="eastAsia"/>
          <w:kern w:val="0"/>
          <w:szCs w:val="21"/>
        </w:rPr>
        <w:t xml:space="preserve"> </w:t>
      </w:r>
      <w:r w:rsidRPr="007B2C93">
        <w:rPr>
          <w:rFonts w:hint="eastAsia"/>
          <w:kern w:val="0"/>
          <w:szCs w:val="21"/>
        </w:rPr>
        <w:t>深化多品牌运作、整合集团家电上游资产、推动日日顺商业流通业务快速发展、推进长期激励机制建设</w:t>
      </w:r>
      <w:r>
        <w:rPr>
          <w:rFonts w:hint="eastAsia"/>
          <w:kern w:val="0"/>
          <w:szCs w:val="21"/>
        </w:rPr>
        <w:t xml:space="preserve"> </w:t>
      </w:r>
      <w:r w:rsidRPr="007B2C93">
        <w:rPr>
          <w:rFonts w:hint="eastAsia"/>
          <w:kern w:val="0"/>
          <w:szCs w:val="21"/>
        </w:rPr>
        <w:t>，积极应对外部环境带来的不利影</w:t>
      </w:r>
      <w:r>
        <w:rPr>
          <w:rFonts w:hint="eastAsia"/>
          <w:kern w:val="0"/>
          <w:szCs w:val="21"/>
        </w:rPr>
        <w:t>响，</w:t>
      </w:r>
      <w:r w:rsidRPr="007B2C93">
        <w:rPr>
          <w:rFonts w:hint="eastAsia"/>
          <w:kern w:val="0"/>
          <w:szCs w:val="21"/>
        </w:rPr>
        <w:t>不断提升公司综合竞争力，</w:t>
      </w:r>
      <w:r w:rsidRPr="007B2C93">
        <w:rPr>
          <w:rFonts w:hint="eastAsia"/>
          <w:kern w:val="0"/>
          <w:szCs w:val="21"/>
        </w:rPr>
        <w:t xml:space="preserve"> </w:t>
      </w:r>
      <w:r>
        <w:rPr>
          <w:rFonts w:hint="eastAsia"/>
          <w:kern w:val="0"/>
          <w:szCs w:val="21"/>
        </w:rPr>
        <w:t>也不太可能依旧保持较高的增长率。</w:t>
      </w:r>
    </w:p>
    <w:p w:rsidR="009A43AA" w:rsidRPr="00961F86" w:rsidRDefault="009A43AA" w:rsidP="009A43AA">
      <w:pPr>
        <w:tabs>
          <w:tab w:val="left" w:pos="7605"/>
        </w:tabs>
        <w:ind w:firstLineChars="250" w:firstLine="525"/>
        <w:rPr>
          <w:kern w:val="0"/>
          <w:szCs w:val="21"/>
        </w:rPr>
      </w:pPr>
      <w:r>
        <w:rPr>
          <w:rFonts w:hint="eastAsia"/>
          <w:kern w:val="0"/>
          <w:szCs w:val="21"/>
        </w:rPr>
        <w:t>通过上面增长趋势的分析，我们对青岛海尔的收入质量存在疑虑，认为管理层可能采取了某些手段对收入进行了不正常的管理，从而影响了收入质量。我们推测这些手段可能包括（</w:t>
      </w:r>
      <w:r>
        <w:rPr>
          <w:rFonts w:hint="eastAsia"/>
          <w:kern w:val="0"/>
          <w:szCs w:val="21"/>
        </w:rPr>
        <w:t>1</w:t>
      </w:r>
      <w:r>
        <w:rPr>
          <w:rFonts w:hint="eastAsia"/>
          <w:kern w:val="0"/>
          <w:szCs w:val="21"/>
        </w:rPr>
        <w:t>）中所分析的措施。</w:t>
      </w:r>
    </w:p>
    <w:p w:rsidR="009A43AA" w:rsidRDefault="009A43AA" w:rsidP="009A43AA">
      <w:pPr>
        <w:rPr>
          <w:kern w:val="0"/>
          <w:szCs w:val="21"/>
        </w:rPr>
      </w:pPr>
      <w:r w:rsidRPr="0073010F">
        <w:rPr>
          <w:rFonts w:hint="eastAsia"/>
          <w:kern w:val="0"/>
          <w:szCs w:val="21"/>
        </w:rPr>
        <w:t xml:space="preserve"> </w:t>
      </w:r>
      <w:r w:rsidRPr="0073010F">
        <w:rPr>
          <w:rFonts w:hint="eastAsia"/>
          <w:kern w:val="0"/>
          <w:szCs w:val="21"/>
        </w:rPr>
        <w:t>（</w:t>
      </w:r>
      <w:r>
        <w:rPr>
          <w:rFonts w:hint="eastAsia"/>
          <w:kern w:val="0"/>
          <w:szCs w:val="21"/>
        </w:rPr>
        <w:t>3</w:t>
      </w:r>
      <w:r w:rsidRPr="0073010F">
        <w:rPr>
          <w:rFonts w:hint="eastAsia"/>
          <w:kern w:val="0"/>
          <w:szCs w:val="21"/>
        </w:rPr>
        <w:t>）</w:t>
      </w:r>
      <w:r w:rsidRPr="00F375B8">
        <w:rPr>
          <w:rFonts w:hint="eastAsia"/>
          <w:b/>
          <w:kern w:val="0"/>
          <w:szCs w:val="21"/>
        </w:rPr>
        <w:t>收入确认与关联交易</w:t>
      </w:r>
      <w:r>
        <w:rPr>
          <w:rFonts w:hint="eastAsia"/>
          <w:kern w:val="0"/>
          <w:szCs w:val="21"/>
        </w:rPr>
        <w:t>。对于产品高度同质化的家电行业来说，由于技术附加值相对较低，因此经营成功的关键是如何将产品销售给市场。如果企业的收入主要来自关联交易，尽管在一定程度上也可以解决产品实现问题，但是由于这种关联方交易缺乏独立性，从而通常造成成交价格的不公允性，使得交易缺乏商业实质，从而使得企业销售只是“纸面富贵”，并不能真实反映企业拥有强大的销售渠道和核心竞争力。并且由于关联方交易的高度主观性，也为企业操纵利润提供了一条渠道。青岛海尔控制着多家子公司，并且其联营企业和合营企业众多，从其披露的发生关联交易来看，其关联交易对象涉及</w:t>
      </w:r>
      <w:r>
        <w:rPr>
          <w:rFonts w:hint="eastAsia"/>
          <w:kern w:val="0"/>
          <w:szCs w:val="21"/>
        </w:rPr>
        <w:t>15</w:t>
      </w:r>
      <w:r>
        <w:rPr>
          <w:rFonts w:hint="eastAsia"/>
          <w:kern w:val="0"/>
          <w:szCs w:val="21"/>
        </w:rPr>
        <w:t>家左右，青岛海尔利用关联方交易不仅轻易解决了其产品的市场实现，而且免受价格竞争之苦，可谓一举两得。这种高度倚重关联交易的销售模式，客观上为其操纵收入提供了极大的便利，而且可能误导投资者和债权人错误判断青岛海尔在家电行业的核心竞争力和发展前景。因此，我们重点关注关联方交易对青岛海尔收入的影响。</w:t>
      </w:r>
    </w:p>
    <w:p w:rsidR="009A43AA" w:rsidRDefault="009A43AA" w:rsidP="009A43AA">
      <w:pPr>
        <w:ind w:firstLineChars="300" w:firstLine="630"/>
        <w:rPr>
          <w:kern w:val="0"/>
          <w:szCs w:val="21"/>
        </w:rPr>
      </w:pPr>
      <w:r>
        <w:rPr>
          <w:rFonts w:hint="eastAsia"/>
          <w:kern w:val="0"/>
          <w:szCs w:val="21"/>
        </w:rPr>
        <w:t>表</w:t>
      </w:r>
      <w:r>
        <w:rPr>
          <w:rFonts w:hint="eastAsia"/>
          <w:kern w:val="0"/>
          <w:szCs w:val="21"/>
        </w:rPr>
        <w:t>5</w:t>
      </w:r>
      <w:r>
        <w:rPr>
          <w:rFonts w:hint="eastAsia"/>
          <w:kern w:val="0"/>
          <w:szCs w:val="21"/>
        </w:rPr>
        <w:t>列示了青岛海尔</w:t>
      </w:r>
      <w:r>
        <w:rPr>
          <w:rFonts w:hint="eastAsia"/>
          <w:kern w:val="0"/>
          <w:szCs w:val="21"/>
        </w:rPr>
        <w:t>2008</w:t>
      </w:r>
      <w:r>
        <w:rPr>
          <w:rFonts w:hint="eastAsia"/>
          <w:kern w:val="0"/>
          <w:szCs w:val="21"/>
        </w:rPr>
        <w:t>—</w:t>
      </w:r>
      <w:r>
        <w:rPr>
          <w:rFonts w:hint="eastAsia"/>
          <w:kern w:val="0"/>
          <w:szCs w:val="21"/>
        </w:rPr>
        <w:t>2012</w:t>
      </w:r>
      <w:r>
        <w:rPr>
          <w:rFonts w:hint="eastAsia"/>
          <w:kern w:val="0"/>
          <w:szCs w:val="21"/>
        </w:rPr>
        <w:t>年通过关联方实现的销售收入占总销售收入的比例。</w:t>
      </w:r>
    </w:p>
    <w:p w:rsidR="009A43AA" w:rsidRPr="00F21DBD" w:rsidRDefault="009A43AA" w:rsidP="009A43AA">
      <w:pPr>
        <w:jc w:val="center"/>
        <w:rPr>
          <w:b/>
          <w:kern w:val="0"/>
          <w:szCs w:val="21"/>
        </w:rPr>
      </w:pPr>
    </w:p>
    <w:p w:rsidR="009A43AA" w:rsidRPr="002C1B2A" w:rsidRDefault="009A43AA" w:rsidP="009A43AA">
      <w:pPr>
        <w:jc w:val="center"/>
        <w:rPr>
          <w:b/>
          <w:kern w:val="0"/>
          <w:szCs w:val="21"/>
        </w:rPr>
      </w:pPr>
      <w:r>
        <w:rPr>
          <w:rFonts w:hint="eastAsia"/>
          <w:b/>
          <w:kern w:val="0"/>
          <w:szCs w:val="21"/>
        </w:rPr>
        <w:lastRenderedPageBreak/>
        <w:t xml:space="preserve">  </w:t>
      </w:r>
      <w:r w:rsidRPr="008F22EA">
        <w:rPr>
          <w:rFonts w:hint="eastAsia"/>
          <w:b/>
          <w:kern w:val="0"/>
          <w:szCs w:val="21"/>
        </w:rPr>
        <w:t>表</w:t>
      </w:r>
      <w:r>
        <w:rPr>
          <w:rFonts w:hint="eastAsia"/>
          <w:b/>
          <w:kern w:val="0"/>
          <w:szCs w:val="21"/>
        </w:rPr>
        <w:t>5</w:t>
      </w:r>
      <w:r w:rsidRPr="008F22EA">
        <w:rPr>
          <w:rFonts w:hint="eastAsia"/>
          <w:b/>
          <w:kern w:val="0"/>
          <w:szCs w:val="21"/>
        </w:rPr>
        <w:t xml:space="preserve"> </w:t>
      </w:r>
      <w:r w:rsidRPr="008F22EA">
        <w:rPr>
          <w:rFonts w:hint="eastAsia"/>
          <w:b/>
          <w:kern w:val="0"/>
          <w:szCs w:val="21"/>
        </w:rPr>
        <w:t>青岛海尔关联方销售比例</w:t>
      </w:r>
      <w:r w:rsidRPr="008F22EA">
        <w:rPr>
          <w:rFonts w:hint="eastAsia"/>
          <w:b/>
          <w:kern w:val="0"/>
          <w:szCs w:val="21"/>
        </w:rPr>
        <w:t xml:space="preserve">  </w:t>
      </w:r>
      <w:r w:rsidRPr="008F22EA">
        <w:rPr>
          <w:rFonts w:hint="eastAsia"/>
          <w:b/>
          <w:kern w:val="0"/>
          <w:szCs w:val="21"/>
        </w:rPr>
        <w:t>（单位：</w:t>
      </w:r>
      <w:r w:rsidRPr="008F22EA">
        <w:rPr>
          <w:rFonts w:hint="eastAsia"/>
          <w:b/>
          <w:kern w:val="0"/>
          <w:szCs w:val="21"/>
        </w:rPr>
        <w:t>%</w:t>
      </w:r>
      <w:r w:rsidRPr="008F22EA">
        <w:rPr>
          <w:rFonts w:hint="eastAsia"/>
          <w:b/>
          <w:kern w:val="0"/>
          <w:szCs w:val="21"/>
        </w:rPr>
        <w:t>）</w:t>
      </w:r>
    </w:p>
    <w:tbl>
      <w:tblPr>
        <w:tblStyle w:val="a3"/>
        <w:tblW w:w="0" w:type="auto"/>
        <w:tblLook w:val="01E0" w:firstRow="1" w:lastRow="1" w:firstColumn="1" w:lastColumn="1" w:noHBand="0" w:noVBand="0"/>
      </w:tblPr>
      <w:tblGrid>
        <w:gridCol w:w="1827"/>
        <w:gridCol w:w="1232"/>
        <w:gridCol w:w="1245"/>
        <w:gridCol w:w="1224"/>
        <w:gridCol w:w="1384"/>
        <w:gridCol w:w="1384"/>
      </w:tblGrid>
      <w:tr w:rsidR="009A43AA">
        <w:tc>
          <w:tcPr>
            <w:tcW w:w="1908" w:type="dxa"/>
          </w:tcPr>
          <w:p w:rsidR="009A43AA" w:rsidRPr="008F22EA" w:rsidRDefault="009A43AA" w:rsidP="009A43AA">
            <w:pPr>
              <w:rPr>
                <w:b/>
                <w:kern w:val="0"/>
                <w:szCs w:val="21"/>
              </w:rPr>
            </w:pPr>
            <w:r w:rsidRPr="008F22EA">
              <w:rPr>
                <w:rFonts w:hint="eastAsia"/>
                <w:b/>
                <w:kern w:val="0"/>
                <w:szCs w:val="21"/>
              </w:rPr>
              <w:t>项目</w:t>
            </w:r>
          </w:p>
        </w:tc>
        <w:tc>
          <w:tcPr>
            <w:tcW w:w="1260" w:type="dxa"/>
          </w:tcPr>
          <w:p w:rsidR="009A43AA" w:rsidRDefault="009A43AA" w:rsidP="009A43AA">
            <w:pPr>
              <w:rPr>
                <w:b/>
                <w:kern w:val="0"/>
                <w:sz w:val="24"/>
              </w:rPr>
            </w:pPr>
            <w:r>
              <w:rPr>
                <w:rFonts w:hint="eastAsia"/>
                <w:b/>
                <w:kern w:val="0"/>
                <w:sz w:val="24"/>
              </w:rPr>
              <w:t>2008</w:t>
            </w:r>
            <w:r>
              <w:rPr>
                <w:rFonts w:hint="eastAsia"/>
                <w:b/>
                <w:kern w:val="0"/>
                <w:sz w:val="24"/>
              </w:rPr>
              <w:t>年</w:t>
            </w:r>
          </w:p>
        </w:tc>
        <w:tc>
          <w:tcPr>
            <w:tcW w:w="1260" w:type="dxa"/>
          </w:tcPr>
          <w:p w:rsidR="009A43AA" w:rsidRDefault="009A43AA" w:rsidP="009A43AA">
            <w:pPr>
              <w:rPr>
                <w:b/>
                <w:kern w:val="0"/>
                <w:sz w:val="24"/>
              </w:rPr>
            </w:pPr>
            <w:r>
              <w:rPr>
                <w:rFonts w:hint="eastAsia"/>
                <w:b/>
                <w:kern w:val="0"/>
                <w:sz w:val="24"/>
              </w:rPr>
              <w:t>2009</w:t>
            </w:r>
            <w:r>
              <w:rPr>
                <w:rFonts w:hint="eastAsia"/>
                <w:b/>
                <w:kern w:val="0"/>
                <w:sz w:val="24"/>
              </w:rPr>
              <w:t>年</w:t>
            </w:r>
          </w:p>
        </w:tc>
        <w:tc>
          <w:tcPr>
            <w:tcW w:w="1252" w:type="dxa"/>
          </w:tcPr>
          <w:p w:rsidR="009A43AA" w:rsidRDefault="009A43AA" w:rsidP="009A43AA">
            <w:pPr>
              <w:rPr>
                <w:b/>
                <w:kern w:val="0"/>
                <w:sz w:val="24"/>
              </w:rPr>
            </w:pPr>
            <w:r>
              <w:rPr>
                <w:rFonts w:hint="eastAsia"/>
                <w:b/>
                <w:kern w:val="0"/>
                <w:sz w:val="24"/>
              </w:rPr>
              <w:t>2010</w:t>
            </w:r>
            <w:r>
              <w:rPr>
                <w:rFonts w:hint="eastAsia"/>
                <w:b/>
                <w:kern w:val="0"/>
                <w:sz w:val="24"/>
              </w:rPr>
              <w:t>年</w:t>
            </w:r>
          </w:p>
        </w:tc>
        <w:tc>
          <w:tcPr>
            <w:tcW w:w="1421" w:type="dxa"/>
          </w:tcPr>
          <w:p w:rsidR="009A43AA" w:rsidRDefault="009A43AA" w:rsidP="009A43AA">
            <w:pPr>
              <w:rPr>
                <w:b/>
                <w:kern w:val="0"/>
                <w:sz w:val="24"/>
              </w:rPr>
            </w:pPr>
            <w:r>
              <w:rPr>
                <w:rFonts w:hint="eastAsia"/>
                <w:b/>
                <w:kern w:val="0"/>
                <w:sz w:val="24"/>
              </w:rPr>
              <w:t>2011</w:t>
            </w:r>
            <w:r>
              <w:rPr>
                <w:rFonts w:hint="eastAsia"/>
                <w:b/>
                <w:kern w:val="0"/>
                <w:sz w:val="24"/>
              </w:rPr>
              <w:t>年</w:t>
            </w:r>
          </w:p>
        </w:tc>
        <w:tc>
          <w:tcPr>
            <w:tcW w:w="1421" w:type="dxa"/>
          </w:tcPr>
          <w:p w:rsidR="009A43AA" w:rsidRDefault="009A43AA" w:rsidP="009A43AA">
            <w:pPr>
              <w:rPr>
                <w:b/>
                <w:kern w:val="0"/>
                <w:sz w:val="24"/>
              </w:rPr>
            </w:pPr>
            <w:r>
              <w:rPr>
                <w:rFonts w:hint="eastAsia"/>
                <w:b/>
                <w:kern w:val="0"/>
                <w:sz w:val="24"/>
              </w:rPr>
              <w:t>2012</w:t>
            </w:r>
            <w:r>
              <w:rPr>
                <w:rFonts w:hint="eastAsia"/>
                <w:b/>
                <w:kern w:val="0"/>
                <w:sz w:val="24"/>
              </w:rPr>
              <w:t>年</w:t>
            </w:r>
          </w:p>
        </w:tc>
      </w:tr>
      <w:tr w:rsidR="009A43AA">
        <w:tc>
          <w:tcPr>
            <w:tcW w:w="1908" w:type="dxa"/>
          </w:tcPr>
          <w:p w:rsidR="009A43AA" w:rsidRPr="008F22EA" w:rsidRDefault="009A43AA" w:rsidP="009A43AA">
            <w:pPr>
              <w:rPr>
                <w:b/>
                <w:kern w:val="0"/>
                <w:szCs w:val="21"/>
              </w:rPr>
            </w:pPr>
            <w:r w:rsidRPr="008F22EA">
              <w:rPr>
                <w:rFonts w:hint="eastAsia"/>
                <w:b/>
                <w:kern w:val="0"/>
                <w:szCs w:val="21"/>
              </w:rPr>
              <w:t>向关联方销售比例</w:t>
            </w:r>
          </w:p>
        </w:tc>
        <w:tc>
          <w:tcPr>
            <w:tcW w:w="1260" w:type="dxa"/>
          </w:tcPr>
          <w:p w:rsidR="009A43AA" w:rsidRDefault="009A43AA" w:rsidP="009A43AA">
            <w:pPr>
              <w:rPr>
                <w:b/>
                <w:kern w:val="0"/>
                <w:sz w:val="24"/>
              </w:rPr>
            </w:pPr>
            <w:r>
              <w:rPr>
                <w:rFonts w:hint="eastAsia"/>
                <w:b/>
                <w:kern w:val="0"/>
                <w:sz w:val="24"/>
              </w:rPr>
              <w:t>49.38</w:t>
            </w:r>
          </w:p>
        </w:tc>
        <w:tc>
          <w:tcPr>
            <w:tcW w:w="1260" w:type="dxa"/>
          </w:tcPr>
          <w:p w:rsidR="009A43AA" w:rsidRDefault="009A43AA" w:rsidP="009A43AA">
            <w:pPr>
              <w:rPr>
                <w:b/>
                <w:kern w:val="0"/>
                <w:sz w:val="24"/>
              </w:rPr>
            </w:pPr>
            <w:r>
              <w:rPr>
                <w:rFonts w:hint="eastAsia"/>
                <w:b/>
                <w:kern w:val="0"/>
                <w:sz w:val="24"/>
              </w:rPr>
              <w:t>21.28%</w:t>
            </w:r>
          </w:p>
        </w:tc>
        <w:tc>
          <w:tcPr>
            <w:tcW w:w="1252" w:type="dxa"/>
          </w:tcPr>
          <w:p w:rsidR="009A43AA" w:rsidRDefault="009A43AA" w:rsidP="009A43AA">
            <w:pPr>
              <w:rPr>
                <w:b/>
                <w:kern w:val="0"/>
                <w:sz w:val="24"/>
              </w:rPr>
            </w:pPr>
            <w:r>
              <w:rPr>
                <w:rFonts w:hint="eastAsia"/>
                <w:b/>
                <w:kern w:val="0"/>
                <w:sz w:val="24"/>
              </w:rPr>
              <w:t>16.75</w:t>
            </w:r>
          </w:p>
        </w:tc>
        <w:tc>
          <w:tcPr>
            <w:tcW w:w="1421" w:type="dxa"/>
          </w:tcPr>
          <w:p w:rsidR="009A43AA" w:rsidRDefault="009A43AA" w:rsidP="009A43AA">
            <w:pPr>
              <w:rPr>
                <w:b/>
                <w:kern w:val="0"/>
                <w:sz w:val="24"/>
              </w:rPr>
            </w:pPr>
            <w:r>
              <w:rPr>
                <w:rFonts w:hint="eastAsia"/>
                <w:b/>
                <w:kern w:val="0"/>
                <w:sz w:val="24"/>
              </w:rPr>
              <w:t>19.18</w:t>
            </w:r>
          </w:p>
        </w:tc>
        <w:tc>
          <w:tcPr>
            <w:tcW w:w="1421" w:type="dxa"/>
          </w:tcPr>
          <w:p w:rsidR="009A43AA" w:rsidRDefault="009A43AA" w:rsidP="009A43AA">
            <w:pPr>
              <w:rPr>
                <w:b/>
                <w:kern w:val="0"/>
                <w:sz w:val="24"/>
              </w:rPr>
            </w:pPr>
            <w:r>
              <w:rPr>
                <w:rFonts w:hint="eastAsia"/>
                <w:b/>
                <w:kern w:val="0"/>
                <w:sz w:val="24"/>
              </w:rPr>
              <w:t>17.02</w:t>
            </w:r>
          </w:p>
        </w:tc>
      </w:tr>
    </w:tbl>
    <w:p w:rsidR="009A43AA" w:rsidRDefault="009A43AA" w:rsidP="009A43AA">
      <w:pPr>
        <w:ind w:firstLineChars="245" w:firstLine="514"/>
        <w:rPr>
          <w:rFonts w:ascii="宋体" w:cs="宋体"/>
          <w:kern w:val="0"/>
          <w:szCs w:val="21"/>
        </w:rPr>
      </w:pPr>
      <w:r w:rsidRPr="00F375B8">
        <w:rPr>
          <w:rFonts w:hint="eastAsia"/>
          <w:kern w:val="0"/>
          <w:szCs w:val="21"/>
        </w:rPr>
        <w:t>由上表可知，青岛海尔</w:t>
      </w:r>
      <w:r>
        <w:rPr>
          <w:rFonts w:hint="eastAsia"/>
          <w:kern w:val="0"/>
          <w:szCs w:val="21"/>
        </w:rPr>
        <w:t>的销售约有</w:t>
      </w:r>
      <w:r>
        <w:rPr>
          <w:rFonts w:hint="eastAsia"/>
          <w:kern w:val="0"/>
          <w:szCs w:val="21"/>
        </w:rPr>
        <w:t>20%</w:t>
      </w:r>
      <w:r>
        <w:rPr>
          <w:rFonts w:hint="eastAsia"/>
          <w:kern w:val="0"/>
          <w:szCs w:val="21"/>
        </w:rPr>
        <w:t>是通过关联方交易实现的，这种特殊的销售方式客观上为其收入确认提供了利润管理的机会。通过前述的战略分析板块，</w:t>
      </w:r>
      <w:r w:rsidRPr="00956D7A">
        <w:rPr>
          <w:rFonts w:ascii="宋体" w:cs="宋体" w:hint="eastAsia"/>
          <w:kern w:val="0"/>
          <w:szCs w:val="21"/>
        </w:rPr>
        <w:t>我们已经</w:t>
      </w:r>
      <w:r>
        <w:rPr>
          <w:rFonts w:ascii="宋体" w:cs="宋体" w:hint="eastAsia"/>
          <w:kern w:val="0"/>
          <w:szCs w:val="21"/>
        </w:rPr>
        <w:t>发现</w:t>
      </w:r>
      <w:r w:rsidRPr="00956D7A">
        <w:rPr>
          <w:rFonts w:ascii="宋体" w:cs="宋体" w:hint="eastAsia"/>
          <w:kern w:val="0"/>
          <w:szCs w:val="21"/>
        </w:rPr>
        <w:t>白</w:t>
      </w:r>
      <w:r>
        <w:rPr>
          <w:rFonts w:ascii="宋体" w:cs="宋体" w:hint="eastAsia"/>
          <w:kern w:val="0"/>
          <w:szCs w:val="21"/>
        </w:rPr>
        <w:t>色</w:t>
      </w:r>
      <w:r w:rsidRPr="00956D7A">
        <w:rPr>
          <w:rFonts w:ascii="宋体" w:cs="宋体" w:hint="eastAsia"/>
          <w:kern w:val="0"/>
          <w:szCs w:val="21"/>
        </w:rPr>
        <w:t>家电市场竞争相当激烈，</w:t>
      </w:r>
      <w:r>
        <w:rPr>
          <w:rFonts w:ascii="宋体" w:cs="宋体" w:hint="eastAsia"/>
          <w:kern w:val="0"/>
          <w:szCs w:val="21"/>
        </w:rPr>
        <w:t>价格战时常成为争夺市场份额的武器。</w:t>
      </w:r>
      <w:r w:rsidRPr="00956D7A">
        <w:rPr>
          <w:rFonts w:ascii="宋体" w:cs="宋体" w:hint="eastAsia"/>
          <w:kern w:val="0"/>
          <w:szCs w:val="21"/>
        </w:rPr>
        <w:t>在这种</w:t>
      </w:r>
      <w:r>
        <w:rPr>
          <w:rFonts w:ascii="宋体" w:cs="宋体" w:hint="eastAsia"/>
          <w:kern w:val="0"/>
          <w:szCs w:val="21"/>
        </w:rPr>
        <w:t>行业</w:t>
      </w:r>
      <w:r w:rsidRPr="00956D7A">
        <w:rPr>
          <w:rFonts w:ascii="宋体" w:cs="宋体" w:hint="eastAsia"/>
          <w:kern w:val="0"/>
          <w:szCs w:val="21"/>
        </w:rPr>
        <w:t>环境下，</w:t>
      </w:r>
      <w:r>
        <w:rPr>
          <w:rFonts w:ascii="宋体" w:cs="宋体" w:hint="eastAsia"/>
          <w:kern w:val="0"/>
          <w:szCs w:val="21"/>
        </w:rPr>
        <w:t>能否顺利地</w:t>
      </w:r>
      <w:r w:rsidRPr="00956D7A">
        <w:rPr>
          <w:rFonts w:ascii="宋体" w:cs="宋体" w:hint="eastAsia"/>
          <w:kern w:val="0"/>
          <w:szCs w:val="21"/>
        </w:rPr>
        <w:t>将产品销售出去</w:t>
      </w:r>
      <w:r>
        <w:rPr>
          <w:rFonts w:ascii="宋体" w:cs="宋体" w:hint="eastAsia"/>
          <w:kern w:val="0"/>
          <w:szCs w:val="21"/>
        </w:rPr>
        <w:t>成为</w:t>
      </w:r>
      <w:r w:rsidRPr="00956D7A">
        <w:rPr>
          <w:rFonts w:ascii="宋体" w:cs="宋体" w:hint="eastAsia"/>
          <w:kern w:val="0"/>
          <w:szCs w:val="21"/>
        </w:rPr>
        <w:t>企业最为关</w:t>
      </w:r>
      <w:r>
        <w:rPr>
          <w:rFonts w:ascii="宋体" w:cs="宋体" w:hint="eastAsia"/>
          <w:kern w:val="0"/>
          <w:szCs w:val="21"/>
        </w:rPr>
        <w:t>键</w:t>
      </w:r>
      <w:r w:rsidRPr="00956D7A">
        <w:rPr>
          <w:rFonts w:ascii="宋体" w:cs="宋体" w:hint="eastAsia"/>
          <w:kern w:val="0"/>
          <w:szCs w:val="21"/>
        </w:rPr>
        <w:t>（</w:t>
      </w:r>
      <w:r>
        <w:rPr>
          <w:rFonts w:ascii="宋体" w:cs="宋体" w:hint="eastAsia"/>
          <w:kern w:val="0"/>
          <w:szCs w:val="21"/>
        </w:rPr>
        <w:t>通常</w:t>
      </w:r>
      <w:r w:rsidRPr="00956D7A">
        <w:rPr>
          <w:rFonts w:ascii="宋体" w:cs="宋体" w:hint="eastAsia"/>
          <w:kern w:val="0"/>
          <w:szCs w:val="21"/>
        </w:rPr>
        <w:t>也是最难实现）的成功要素，因此各大厂商都在</w:t>
      </w:r>
      <w:r>
        <w:rPr>
          <w:rFonts w:ascii="宋体" w:cs="宋体" w:hint="eastAsia"/>
          <w:kern w:val="0"/>
          <w:szCs w:val="21"/>
        </w:rPr>
        <w:t>想法设法</w:t>
      </w:r>
      <w:r w:rsidRPr="00956D7A">
        <w:rPr>
          <w:rFonts w:ascii="宋体" w:cs="宋体" w:hint="eastAsia"/>
          <w:kern w:val="0"/>
          <w:szCs w:val="21"/>
        </w:rPr>
        <w:t>来推销自己的产品，以期将大量的库存转化为实际的销售收入</w:t>
      </w:r>
      <w:r>
        <w:rPr>
          <w:rFonts w:ascii="宋体" w:cs="宋体" w:hint="eastAsia"/>
          <w:kern w:val="0"/>
          <w:szCs w:val="21"/>
        </w:rPr>
        <w:t>，回收现金，减少资金占压</w:t>
      </w:r>
      <w:r w:rsidRPr="00956D7A">
        <w:rPr>
          <w:rFonts w:ascii="宋体" w:cs="宋体" w:hint="eastAsia"/>
          <w:kern w:val="0"/>
          <w:szCs w:val="21"/>
        </w:rPr>
        <w:t>。</w:t>
      </w:r>
      <w:r>
        <w:rPr>
          <w:rFonts w:ascii="宋体" w:cs="宋体" w:hint="eastAsia"/>
          <w:kern w:val="0"/>
          <w:szCs w:val="21"/>
        </w:rPr>
        <w:t>但对于青岛海尔来看，其关联方交易在2008—2012年一直保持在20%左右，这样就为其销售提供了一个缓冲地带，避免市场竞争的干扰，以内销代外销，将销售风险转移给其关联方，从而稳持持续利润。尤其是在2008年，关联方交易占比49.38%，明显高于其他年度，联想到2008年金融危机对家电行业的巨大冲击，我们猜测青岛海尔在这一年“有意”地利用了关联方交易来进行利润管理（甚或是利润操纵）。进一步分析报表数据，我们还可以发现一个值得特别关注的问题，那就是虽然青岛海尔最大的关联方对象其实是其控股母公司海尔集团，由于控制关系的存在，我们可以合理推断出实际上海尔集团承担了青岛海尔的销售风险，从而</w:t>
      </w:r>
      <w:r w:rsidRPr="00956D7A">
        <w:rPr>
          <w:rFonts w:ascii="宋体" w:cs="宋体" w:hint="eastAsia"/>
          <w:kern w:val="0"/>
          <w:szCs w:val="21"/>
        </w:rPr>
        <w:t>海尔集团完全有能力决定青岛海尔的各年收入高低。而且</w:t>
      </w:r>
      <w:r>
        <w:rPr>
          <w:rFonts w:ascii="宋体" w:cs="宋体" w:hint="eastAsia"/>
          <w:kern w:val="0"/>
          <w:szCs w:val="21"/>
        </w:rPr>
        <w:t>如果</w:t>
      </w:r>
      <w:r w:rsidRPr="00956D7A">
        <w:rPr>
          <w:rFonts w:ascii="宋体" w:cs="宋体" w:hint="eastAsia"/>
          <w:kern w:val="0"/>
          <w:szCs w:val="21"/>
        </w:rPr>
        <w:t>一旦海尔集决定不再承担青岛海尔产品的销售重任，让青岛海尔自行解决销售问题，那么一直在</w:t>
      </w:r>
      <w:r w:rsidRPr="00956D7A">
        <w:rPr>
          <w:kern w:val="0"/>
          <w:szCs w:val="21"/>
        </w:rPr>
        <w:t>“</w:t>
      </w:r>
      <w:r w:rsidRPr="00956D7A">
        <w:rPr>
          <w:rFonts w:ascii="宋体" w:cs="宋体" w:hint="eastAsia"/>
          <w:kern w:val="0"/>
          <w:szCs w:val="21"/>
        </w:rPr>
        <w:t>温室</w:t>
      </w:r>
      <w:r w:rsidRPr="00956D7A">
        <w:rPr>
          <w:kern w:val="0"/>
          <w:szCs w:val="21"/>
        </w:rPr>
        <w:t xml:space="preserve">” </w:t>
      </w:r>
      <w:r w:rsidRPr="00956D7A">
        <w:rPr>
          <w:rFonts w:ascii="宋体" w:cs="宋体" w:hint="eastAsia"/>
          <w:kern w:val="0"/>
          <w:szCs w:val="21"/>
        </w:rPr>
        <w:t>中长大的青岛海尔能否适应激烈的市场竞争环境</w:t>
      </w:r>
      <w:r>
        <w:rPr>
          <w:rFonts w:ascii="宋体" w:cs="宋体" w:hint="eastAsia"/>
          <w:kern w:val="0"/>
          <w:szCs w:val="21"/>
        </w:rPr>
        <w:t>，开拓自己的销售渠道呢</w:t>
      </w:r>
      <w:r w:rsidRPr="00956D7A">
        <w:rPr>
          <w:rFonts w:ascii="宋体" w:cs="宋体" w:hint="eastAsia"/>
          <w:kern w:val="0"/>
          <w:szCs w:val="21"/>
        </w:rPr>
        <w:t>？</w:t>
      </w:r>
      <w:r>
        <w:rPr>
          <w:rFonts w:ascii="宋体" w:cs="宋体" w:hint="eastAsia"/>
          <w:kern w:val="0"/>
          <w:szCs w:val="21"/>
        </w:rPr>
        <w:t>对此我们持有怀疑态度。</w:t>
      </w:r>
    </w:p>
    <w:p w:rsidR="009A43AA" w:rsidRPr="00D15979" w:rsidRDefault="009A43AA" w:rsidP="009A43AA">
      <w:r w:rsidRPr="00B94057">
        <w:rPr>
          <w:rFonts w:ascii="宋体" w:cs="宋体" w:hint="eastAsia"/>
          <w:b/>
          <w:kern w:val="0"/>
          <w:sz w:val="24"/>
        </w:rPr>
        <w:t>4研发支出资本化质量分析。</w:t>
      </w:r>
      <w:r w:rsidRPr="00D15979">
        <w:rPr>
          <w:rFonts w:ascii="宋体" w:cs="宋体" w:hint="eastAsia"/>
          <w:kern w:val="0"/>
          <w:szCs w:val="21"/>
        </w:rPr>
        <w:t>对于已经高度成熟的中国家电行业，只有不断增加其产品的科技附加值，强化其核心竞争力才能立于不败之地。目前青岛海尔实施差异化战略，坚持质量道路，因此研究开发活动是其关键成功因素之一。研发支出旨在在未来期间为企业创造价值，这表明它们应在所预期创造的新产品收入确认的期间作为费用，也就是应在当期资本化，逐期摊销，但是由于研发活动是一个高度不确定的过程，因此也应当将某些项目费用化，这就要求企业合理区分费用化和资本化项目，不能费用资本化。我国会计准则规定：</w:t>
      </w:r>
      <w:r w:rsidRPr="00D15979">
        <w:rPr>
          <w:rFonts w:hint="eastAsia"/>
        </w:rPr>
        <w:t>企业内部研究开发项目的支出，应当区分研究阶段支出与开发阶段支出，研究阶段的支出，应当于发生时计入当期损益，开发阶段的支出在符合条件时才能资本化。这项规定为管理层在处理研发支出时提供了选择的机会，即管理层可以故意的将本应该费用化的支出选择资本化，计入资产成本，从而降低费用，虚增资产和利润，歪曲信息质量。</w:t>
      </w:r>
    </w:p>
    <w:p w:rsidR="009A43AA" w:rsidRPr="00D15979" w:rsidRDefault="009A43AA" w:rsidP="009A43AA">
      <w:pPr>
        <w:autoSpaceDE w:val="0"/>
        <w:autoSpaceDN w:val="0"/>
        <w:adjustRightInd w:val="0"/>
        <w:ind w:firstLineChars="245" w:firstLine="514"/>
        <w:jc w:val="left"/>
        <w:rPr>
          <w:rFonts w:ascii="宋体" w:cs="宋体"/>
          <w:kern w:val="0"/>
          <w:szCs w:val="21"/>
        </w:rPr>
      </w:pPr>
      <w:r w:rsidRPr="00D15979">
        <w:rPr>
          <w:rFonts w:ascii="宋体" w:cs="宋体" w:hint="eastAsia"/>
          <w:kern w:val="0"/>
          <w:szCs w:val="21"/>
        </w:rPr>
        <w:t>在青岛海尔的年报中除了简略地介绍其研发费用上上的原因外，并没有对无形资产研发支出项目的详细说明，因此我们无法直接从青岛海尔的财务报告中得知青岛海尔研究开发活动的效率高低，以及管理层是否存在滥用资本化政策的嫌疑，但考虑到其在报告资料中宣称的“持续关注国内外技术及市场发展趋势，进行前瞻性技术研发，不断提升产品科技含量及设计品味，引领行业发展潮流”，同时注意到其管理费用呈现逐渐增长趋势，并且增长较快，我们不排除这种可能，猜测研发支出存在部分费用资本化的可能性。</w:t>
      </w:r>
    </w:p>
    <w:p w:rsidR="009A43AA" w:rsidRDefault="009A43AA" w:rsidP="009A43AA">
      <w:pPr>
        <w:rPr>
          <w:b/>
          <w:kern w:val="0"/>
          <w:sz w:val="28"/>
          <w:szCs w:val="28"/>
        </w:rPr>
      </w:pPr>
      <w:r w:rsidRPr="00D15979">
        <w:rPr>
          <w:rFonts w:hint="eastAsia"/>
          <w:b/>
          <w:kern w:val="0"/>
          <w:sz w:val="28"/>
          <w:szCs w:val="28"/>
        </w:rPr>
        <w:t>三关注信息披露质量</w:t>
      </w:r>
    </w:p>
    <w:p w:rsidR="009A43AA" w:rsidRPr="00BD1E5E" w:rsidRDefault="009A43AA" w:rsidP="009A43AA">
      <w:pPr>
        <w:ind w:firstLineChars="294" w:firstLine="617"/>
        <w:rPr>
          <w:kern w:val="0"/>
          <w:szCs w:val="21"/>
        </w:rPr>
      </w:pPr>
      <w:r w:rsidRPr="00BD1E5E">
        <w:rPr>
          <w:rFonts w:hint="eastAsia"/>
          <w:kern w:val="0"/>
          <w:szCs w:val="21"/>
        </w:rPr>
        <w:t>在资本市场上，由于财务报告利益相关者和企业管理层存在着固有的信息不对称，以及财务报表的高度简化，因此需要管理层通过其他方式（主要是报表附注）来提供足够的信息供利益相关者决策，因此信息披露的质量（完整性、准确性、相关性）成为会计信息是否可靠的关键。基于前述分析，我们重点关注青岛海尔的下列信息披露。</w:t>
      </w:r>
    </w:p>
    <w:p w:rsidR="009A43AA" w:rsidRPr="00B94057" w:rsidRDefault="009A43AA" w:rsidP="009A43AA">
      <w:pPr>
        <w:numPr>
          <w:ilvl w:val="0"/>
          <w:numId w:val="3"/>
        </w:numPr>
        <w:rPr>
          <w:b/>
          <w:kern w:val="0"/>
          <w:szCs w:val="21"/>
        </w:rPr>
      </w:pPr>
      <w:r w:rsidRPr="00B94057">
        <w:rPr>
          <w:rFonts w:hint="eastAsia"/>
          <w:b/>
          <w:kern w:val="0"/>
          <w:szCs w:val="21"/>
        </w:rPr>
        <w:t>应收账款的披露</w:t>
      </w:r>
    </w:p>
    <w:p w:rsidR="009A43AA" w:rsidRDefault="009A43AA" w:rsidP="009A43AA">
      <w:pPr>
        <w:ind w:firstLineChars="196" w:firstLine="412"/>
        <w:rPr>
          <w:kern w:val="0"/>
          <w:szCs w:val="21"/>
        </w:rPr>
      </w:pPr>
      <w:r w:rsidRPr="00BD1E5E">
        <w:rPr>
          <w:rFonts w:hint="eastAsia"/>
          <w:kern w:val="0"/>
          <w:szCs w:val="21"/>
        </w:rPr>
        <w:t>青岛海尔此项目的披露主要涉及了应收账款的分类及其金额、期初期末变化趋势、账龄</w:t>
      </w:r>
      <w:r w:rsidRPr="00BD1E5E">
        <w:rPr>
          <w:rFonts w:hint="eastAsia"/>
          <w:kern w:val="0"/>
          <w:szCs w:val="21"/>
        </w:rPr>
        <w:lastRenderedPageBreak/>
        <w:t>分类及其金额、坏账准备计提标准以及金额变动情况，但是没有涉及计提比率标准确定的方法、应收账款前五名的客户名称，</w:t>
      </w:r>
      <w:r>
        <w:rPr>
          <w:rFonts w:hint="eastAsia"/>
          <w:kern w:val="0"/>
          <w:szCs w:val="21"/>
        </w:rPr>
        <w:t>以及在应收账款进行减值测试时，没有说明现值的确定办法和估计依据，以及应收账款异常增长的详细原因，</w:t>
      </w:r>
      <w:r w:rsidRPr="00BD1E5E">
        <w:rPr>
          <w:rFonts w:hint="eastAsia"/>
          <w:kern w:val="0"/>
          <w:szCs w:val="21"/>
        </w:rPr>
        <w:t>从而使得报表使用者无法合理确定应收账款的质量（能否收回、收回多少、前五名是否是关联方欠款）。</w:t>
      </w:r>
    </w:p>
    <w:p w:rsidR="009A43AA" w:rsidRPr="00B94057" w:rsidRDefault="009A43AA" w:rsidP="009A43AA">
      <w:pPr>
        <w:rPr>
          <w:b/>
          <w:kern w:val="0"/>
          <w:szCs w:val="21"/>
        </w:rPr>
      </w:pPr>
      <w:r w:rsidRPr="00B94057">
        <w:rPr>
          <w:rFonts w:hint="eastAsia"/>
          <w:b/>
          <w:kern w:val="0"/>
          <w:szCs w:val="21"/>
        </w:rPr>
        <w:t xml:space="preserve">2   </w:t>
      </w:r>
      <w:r w:rsidRPr="00B94057">
        <w:rPr>
          <w:rFonts w:hint="eastAsia"/>
          <w:b/>
          <w:kern w:val="0"/>
          <w:szCs w:val="21"/>
        </w:rPr>
        <w:t>存货的披露</w:t>
      </w:r>
    </w:p>
    <w:p w:rsidR="009A43AA" w:rsidRPr="00BD1E5E" w:rsidRDefault="009A43AA" w:rsidP="009A43AA">
      <w:pPr>
        <w:ind w:firstLineChars="196" w:firstLine="412"/>
        <w:rPr>
          <w:kern w:val="0"/>
          <w:szCs w:val="21"/>
        </w:rPr>
      </w:pPr>
      <w:r w:rsidRPr="002D4981">
        <w:rPr>
          <w:rFonts w:hint="eastAsia"/>
          <w:kern w:val="0"/>
          <w:szCs w:val="21"/>
        </w:rPr>
        <w:t>青岛海尔此项目的披露主要涉及了各类存货的期初和期末账面价值、确定发出存货成本所采用的方法、存货可变现净值的确定依据、存货跌价准备的计提方法、当期计提的存货跌价准备的金额，当期转回的存货跌价准备的金额，以及计提和转回的有关情况、用于担保的存货账面价值。但是没有详细解释存货变化的原因，以及从关联方采购存货的入账方法。</w:t>
      </w:r>
    </w:p>
    <w:p w:rsidR="009A43AA" w:rsidRPr="00B94057" w:rsidRDefault="009A43AA" w:rsidP="009A43AA">
      <w:pPr>
        <w:ind w:left="105"/>
        <w:rPr>
          <w:b/>
          <w:kern w:val="0"/>
          <w:szCs w:val="21"/>
        </w:rPr>
      </w:pPr>
      <w:r w:rsidRPr="00B94057">
        <w:rPr>
          <w:rFonts w:hint="eastAsia"/>
          <w:b/>
          <w:kern w:val="0"/>
          <w:szCs w:val="21"/>
        </w:rPr>
        <w:t xml:space="preserve">3  </w:t>
      </w:r>
      <w:r w:rsidRPr="00B94057">
        <w:rPr>
          <w:rFonts w:hint="eastAsia"/>
          <w:b/>
          <w:kern w:val="0"/>
          <w:szCs w:val="21"/>
        </w:rPr>
        <w:t>收入确认的披露</w:t>
      </w:r>
    </w:p>
    <w:p w:rsidR="009A43AA" w:rsidRPr="00BD1E5E" w:rsidRDefault="009A43AA" w:rsidP="009A43AA">
      <w:pPr>
        <w:ind w:firstLine="420"/>
        <w:rPr>
          <w:kern w:val="0"/>
          <w:szCs w:val="21"/>
        </w:rPr>
      </w:pPr>
      <w:r w:rsidRPr="00BD1E5E">
        <w:rPr>
          <w:rFonts w:hint="eastAsia"/>
          <w:kern w:val="0"/>
          <w:szCs w:val="21"/>
        </w:rPr>
        <w:t>青岛海尔此项目的披露主要设计了收入的确认标准、主营业务收入和其他业务收入的构成、内销和外销的构成、主要产品类别收入的构成，但是没有涉及收入前五名客户的名称，对于收入变化趋势的具体原因，没有披露（</w:t>
      </w:r>
      <w:r w:rsidRPr="00BD1E5E">
        <w:rPr>
          <w:rFonts w:hint="eastAsia"/>
          <w:kern w:val="0"/>
          <w:szCs w:val="21"/>
        </w:rPr>
        <w:t>2008</w:t>
      </w:r>
      <w:r w:rsidRPr="00BD1E5E">
        <w:rPr>
          <w:rFonts w:hint="eastAsia"/>
          <w:kern w:val="0"/>
          <w:szCs w:val="21"/>
        </w:rPr>
        <w:t>年、</w:t>
      </w:r>
      <w:r w:rsidRPr="00BD1E5E">
        <w:rPr>
          <w:rFonts w:hint="eastAsia"/>
          <w:kern w:val="0"/>
          <w:szCs w:val="21"/>
        </w:rPr>
        <w:t>2009</w:t>
      </w:r>
      <w:r w:rsidRPr="00BD1E5E">
        <w:rPr>
          <w:rFonts w:hint="eastAsia"/>
          <w:kern w:val="0"/>
          <w:szCs w:val="21"/>
        </w:rPr>
        <w:t>年、</w:t>
      </w:r>
      <w:r w:rsidRPr="00BD1E5E">
        <w:rPr>
          <w:rFonts w:hint="eastAsia"/>
          <w:kern w:val="0"/>
          <w:szCs w:val="21"/>
        </w:rPr>
        <w:t>2011</w:t>
      </w:r>
      <w:r w:rsidRPr="00BD1E5E">
        <w:rPr>
          <w:rFonts w:hint="eastAsia"/>
          <w:kern w:val="0"/>
          <w:szCs w:val="21"/>
        </w:rPr>
        <w:t>年、</w:t>
      </w:r>
      <w:r w:rsidRPr="00BD1E5E">
        <w:rPr>
          <w:rFonts w:hint="eastAsia"/>
          <w:kern w:val="0"/>
          <w:szCs w:val="21"/>
        </w:rPr>
        <w:t>2012</w:t>
      </w:r>
      <w:r w:rsidRPr="00BD1E5E">
        <w:rPr>
          <w:rFonts w:hint="eastAsia"/>
          <w:kern w:val="0"/>
          <w:szCs w:val="21"/>
        </w:rPr>
        <w:t>年），或者只是简略披露为“主要是家电行业整体保持稳定增长，公司内销、出口收入增加所致”</w:t>
      </w:r>
    </w:p>
    <w:p w:rsidR="009A43AA" w:rsidRPr="00BD1E5E" w:rsidRDefault="009A43AA" w:rsidP="009A43AA">
      <w:pPr>
        <w:rPr>
          <w:kern w:val="0"/>
          <w:szCs w:val="21"/>
        </w:rPr>
      </w:pPr>
      <w:r w:rsidRPr="00BD1E5E">
        <w:rPr>
          <w:rFonts w:hint="eastAsia"/>
          <w:kern w:val="0"/>
          <w:szCs w:val="21"/>
        </w:rPr>
        <w:t>（</w:t>
      </w:r>
      <w:r w:rsidRPr="00BD1E5E">
        <w:rPr>
          <w:rFonts w:hint="eastAsia"/>
          <w:kern w:val="0"/>
          <w:szCs w:val="21"/>
        </w:rPr>
        <w:t>2010</w:t>
      </w:r>
      <w:r w:rsidRPr="00BD1E5E">
        <w:rPr>
          <w:rFonts w:hint="eastAsia"/>
          <w:kern w:val="0"/>
          <w:szCs w:val="21"/>
        </w:rPr>
        <w:t>年），这在一定程度上影响了报表使用者对收入信息的理解，不利于其作出合理判断，从而无法完全确定收入质量的可靠性。</w:t>
      </w:r>
    </w:p>
    <w:p w:rsidR="009A43AA" w:rsidRPr="00B94057" w:rsidRDefault="009A43AA" w:rsidP="009A43AA">
      <w:pPr>
        <w:numPr>
          <w:ilvl w:val="0"/>
          <w:numId w:val="4"/>
        </w:numPr>
        <w:rPr>
          <w:b/>
          <w:kern w:val="0"/>
          <w:szCs w:val="21"/>
        </w:rPr>
      </w:pPr>
      <w:r w:rsidRPr="00B94057">
        <w:rPr>
          <w:rFonts w:hint="eastAsia"/>
          <w:b/>
          <w:kern w:val="0"/>
          <w:szCs w:val="21"/>
        </w:rPr>
        <w:t>关联方交易的披露</w:t>
      </w:r>
    </w:p>
    <w:p w:rsidR="009A43AA" w:rsidRPr="005D4DC6" w:rsidRDefault="009A43AA" w:rsidP="009A43AA">
      <w:pPr>
        <w:autoSpaceDE w:val="0"/>
        <w:autoSpaceDN w:val="0"/>
        <w:adjustRightInd w:val="0"/>
        <w:ind w:firstLineChars="196" w:firstLine="412"/>
        <w:jc w:val="left"/>
        <w:rPr>
          <w:rFonts w:ascii="宋体" w:cs="宋体"/>
          <w:kern w:val="0"/>
          <w:sz w:val="24"/>
        </w:rPr>
      </w:pPr>
      <w:r w:rsidRPr="00BD1E5E">
        <w:rPr>
          <w:rFonts w:hint="eastAsia"/>
          <w:kern w:val="0"/>
          <w:szCs w:val="21"/>
        </w:rPr>
        <w:t>青岛海尔此项目披露涉及了母公司和子公司的状况、该关联方关系的性质、交易类型及交易要素。但是在定价政策的披露中没有涉及与国内关联方购买的销售价格确定方法，只是简述为</w:t>
      </w:r>
      <w:r w:rsidRPr="00BD1E5E">
        <w:rPr>
          <w:rFonts w:ascii="宋体" w:cs="宋体" w:hint="eastAsia"/>
          <w:kern w:val="0"/>
          <w:szCs w:val="21"/>
        </w:rPr>
        <w:t>诸</w:t>
      </w:r>
      <w:r w:rsidRPr="00BD1E5E">
        <w:rPr>
          <w:rFonts w:ascii="宋体" w:cs="宋体" w:hint="eastAsia"/>
          <w:kern w:val="0"/>
          <w:sz w:val="24"/>
        </w:rPr>
        <w:t>如</w:t>
      </w:r>
      <w:r w:rsidRPr="00BD1E5E">
        <w:rPr>
          <w:kern w:val="0"/>
          <w:szCs w:val="21"/>
        </w:rPr>
        <w:t>“</w:t>
      </w:r>
      <w:r w:rsidRPr="00BD1E5E">
        <w:rPr>
          <w:rFonts w:ascii="宋体" w:cs="宋体" w:hint="eastAsia"/>
          <w:kern w:val="0"/>
          <w:szCs w:val="21"/>
        </w:rPr>
        <w:t>交易价格按公平定价的原则确定</w:t>
      </w:r>
      <w:r w:rsidRPr="00BD1E5E">
        <w:rPr>
          <w:kern w:val="0"/>
          <w:szCs w:val="21"/>
        </w:rPr>
        <w:t>”</w:t>
      </w:r>
      <w:r w:rsidRPr="00BD1E5E">
        <w:rPr>
          <w:rFonts w:ascii="宋体" w:cs="宋体" w:hint="eastAsia"/>
          <w:kern w:val="0"/>
          <w:szCs w:val="21"/>
        </w:rPr>
        <w:t>、</w:t>
      </w:r>
      <w:r w:rsidRPr="00BD1E5E">
        <w:rPr>
          <w:kern w:val="0"/>
          <w:szCs w:val="21"/>
        </w:rPr>
        <w:t>“</w:t>
      </w:r>
      <w:r w:rsidRPr="00BD1E5E">
        <w:rPr>
          <w:rFonts w:ascii="宋体" w:cs="宋体" w:hint="eastAsia"/>
          <w:kern w:val="0"/>
          <w:szCs w:val="21"/>
        </w:rPr>
        <w:t>不髙于公司在市场上的自行采购价格”等模糊字眼，使我们无法对关联方交易定价的合理性作出判断，此外，</w:t>
      </w:r>
      <w:r w:rsidRPr="00BD1E5E">
        <w:rPr>
          <w:rFonts w:hint="eastAsia"/>
          <w:kern w:val="0"/>
          <w:szCs w:val="21"/>
        </w:rPr>
        <w:t>在交易性质中除了所谓的协议外，没有提供相应确凿的证据来说明关联方交易是否公平交易。</w:t>
      </w:r>
    </w:p>
    <w:p w:rsidR="009A43AA" w:rsidRDefault="009A43AA" w:rsidP="009A43AA">
      <w:pPr>
        <w:ind w:firstLineChars="250" w:firstLine="525"/>
        <w:rPr>
          <w:kern w:val="0"/>
          <w:szCs w:val="21"/>
        </w:rPr>
      </w:pPr>
      <w:r>
        <w:rPr>
          <w:rFonts w:hint="eastAsia"/>
          <w:kern w:val="0"/>
          <w:szCs w:val="21"/>
        </w:rPr>
        <w:t>通过上述四个方面信息披露的研究，我们认为青岛海尔的报表附注比较简单，往往只是罗列数据而不解释数据变化背后的原因，对于一些关键数据也没有给出确定或者估计的合理依据，并且我们推断青岛海尔出于某种原因可能隐藏了必要的信息，这主要集中在对关联方交易披露的极度简略上。此外，在披露的各种信息中，尤其是董事会报告中，主要是积极的乐观信息，可能存在“报喜不报忧”的问题，这可能也在一定程度上影响着会计信息质量。</w:t>
      </w:r>
    </w:p>
    <w:p w:rsidR="009A43AA" w:rsidRPr="00B94057" w:rsidRDefault="009A43AA" w:rsidP="009A43AA">
      <w:pPr>
        <w:rPr>
          <w:b/>
          <w:sz w:val="24"/>
        </w:rPr>
      </w:pPr>
      <w:r w:rsidRPr="00B94057">
        <w:rPr>
          <w:rFonts w:hint="eastAsia"/>
          <w:b/>
          <w:kern w:val="0"/>
          <w:sz w:val="24"/>
        </w:rPr>
        <w:t>四</w:t>
      </w:r>
      <w:r w:rsidRPr="00B94057">
        <w:rPr>
          <w:rFonts w:hint="eastAsia"/>
          <w:b/>
          <w:kern w:val="0"/>
          <w:sz w:val="24"/>
        </w:rPr>
        <w:t xml:space="preserve">  </w:t>
      </w:r>
      <w:r w:rsidRPr="00B94057">
        <w:rPr>
          <w:rFonts w:hint="eastAsia"/>
          <w:b/>
          <w:sz w:val="24"/>
        </w:rPr>
        <w:t>会计分析简要结论</w:t>
      </w:r>
    </w:p>
    <w:p w:rsidR="009A43AA" w:rsidRPr="00A76DE2" w:rsidRDefault="009A43AA" w:rsidP="009A43AA">
      <w:r>
        <w:rPr>
          <w:rFonts w:hint="eastAsia"/>
          <w:b/>
        </w:rPr>
        <w:t xml:space="preserve">     </w:t>
      </w:r>
      <w:r w:rsidRPr="00A76DE2">
        <w:rPr>
          <w:rFonts w:hint="eastAsia"/>
        </w:rPr>
        <w:t>通过上述的会计分析，我们认为青岛海尔的会计信息质量并不像其宣称的那样公允和真实，存在着一定的失实空间，有操纵利润</w:t>
      </w:r>
      <w:r>
        <w:rPr>
          <w:rFonts w:hint="eastAsia"/>
        </w:rPr>
        <w:t>进行盈余管理</w:t>
      </w:r>
      <w:r w:rsidRPr="00A76DE2">
        <w:rPr>
          <w:rFonts w:hint="eastAsia"/>
        </w:rPr>
        <w:t>的嫌疑，具体表现在存货跌价准备计提的不充分性、应收账款增长的异常性、销售收入增长的不合理性以及研发支出资本化政策不透明性。同时名目繁多、数额巨大、披露不充分的关联方交易增加了青岛海尔的会计弹性，从而在一定程度上掩盖了其真实的财务状况和经营成果，有待继续深入财务分析。</w:t>
      </w:r>
      <w:r>
        <w:rPr>
          <w:rFonts w:hint="eastAsia"/>
        </w:rPr>
        <w:t>此外，青岛海尔</w:t>
      </w:r>
      <w:r>
        <w:rPr>
          <w:rFonts w:hint="eastAsia"/>
        </w:rPr>
        <w:t>2008</w:t>
      </w:r>
      <w:r>
        <w:rPr>
          <w:rFonts w:hint="eastAsia"/>
        </w:rPr>
        <w:t>年—</w:t>
      </w:r>
      <w:r>
        <w:rPr>
          <w:rFonts w:hint="eastAsia"/>
        </w:rPr>
        <w:t>2012</w:t>
      </w:r>
      <w:r>
        <w:rPr>
          <w:rFonts w:hint="eastAsia"/>
        </w:rPr>
        <w:t>年并没有发生会计政策和会计估计变更，也就是说其采用的是一种“稳健”会计，但“稳健”会计并不等同于“好”会计，因为“稳健”会计常常为管理层提供“平滑收益”的机会，从而造成会计信息失实。“好”会计应当是正确全面及时反映企业经营现实情况。考虑到会计政策的稳定性以及变更条件的严格性，我们可以认为青岛海尔采取稳健会计是合理的，但由于受国际金融危机的影响以及家电行业经营环境易变性，我们对青岛海尔会计估计采取稳健不变的合理性保持一定的怀疑。</w:t>
      </w:r>
    </w:p>
    <w:p w:rsidR="009A43AA" w:rsidRPr="009A43AA" w:rsidRDefault="009A43AA" w:rsidP="0086692A">
      <w:pPr>
        <w:jc w:val="center"/>
        <w:rPr>
          <w:b/>
          <w:sz w:val="28"/>
          <w:szCs w:val="28"/>
        </w:rPr>
      </w:pPr>
    </w:p>
    <w:p w:rsidR="009A43AA" w:rsidRDefault="009A43AA" w:rsidP="0086692A">
      <w:pPr>
        <w:jc w:val="center"/>
        <w:rPr>
          <w:b/>
          <w:sz w:val="28"/>
          <w:szCs w:val="28"/>
        </w:rPr>
      </w:pPr>
    </w:p>
    <w:p w:rsidR="009A43AA" w:rsidRDefault="009A43AA" w:rsidP="0086692A">
      <w:pPr>
        <w:jc w:val="center"/>
        <w:rPr>
          <w:b/>
          <w:sz w:val="28"/>
          <w:szCs w:val="28"/>
        </w:rPr>
      </w:pPr>
    </w:p>
    <w:p w:rsidR="009A43AA" w:rsidRDefault="009A43AA" w:rsidP="0086692A">
      <w:pPr>
        <w:jc w:val="center"/>
        <w:rPr>
          <w:b/>
          <w:sz w:val="28"/>
          <w:szCs w:val="28"/>
        </w:rPr>
      </w:pPr>
    </w:p>
    <w:p w:rsidR="009A43AA" w:rsidRDefault="008A07F7" w:rsidP="0086692A">
      <w:pPr>
        <w:jc w:val="center"/>
        <w:rPr>
          <w:b/>
          <w:sz w:val="28"/>
          <w:szCs w:val="28"/>
        </w:rPr>
      </w:pPr>
      <w:r>
        <w:rPr>
          <w:rFonts w:hint="eastAsia"/>
          <w:b/>
          <w:sz w:val="28"/>
          <w:szCs w:val="28"/>
        </w:rPr>
        <w:t>第二章</w:t>
      </w:r>
    </w:p>
    <w:p w:rsidR="0086692A" w:rsidRDefault="0086692A" w:rsidP="0086692A">
      <w:pPr>
        <w:jc w:val="center"/>
        <w:rPr>
          <w:b/>
          <w:sz w:val="28"/>
          <w:szCs w:val="28"/>
        </w:rPr>
      </w:pPr>
      <w:r w:rsidRPr="0086692A">
        <w:rPr>
          <w:rFonts w:hint="eastAsia"/>
          <w:b/>
          <w:sz w:val="28"/>
          <w:szCs w:val="28"/>
        </w:rPr>
        <w:t>财务分析</w:t>
      </w:r>
    </w:p>
    <w:p w:rsidR="00E91DEA" w:rsidRDefault="0086692A" w:rsidP="00E91DEA">
      <w:pPr>
        <w:ind w:firstLineChars="196" w:firstLine="413"/>
        <w:rPr>
          <w:b/>
          <w:szCs w:val="21"/>
        </w:rPr>
      </w:pPr>
      <w:r>
        <w:rPr>
          <w:rFonts w:hint="eastAsia"/>
          <w:b/>
          <w:szCs w:val="21"/>
        </w:rPr>
        <w:t>在会计分析的基础上，对青岛海尔进行进一步的财务分析旨在根据其既定的目标和战略评估其公司业绩，并且在对其现在和过去业</w:t>
      </w:r>
      <w:r w:rsidR="00686372">
        <w:rPr>
          <w:rFonts w:hint="eastAsia"/>
          <w:b/>
          <w:szCs w:val="21"/>
        </w:rPr>
        <w:t>绩进行财务分析的基础上合理预测其未来业绩。在本节分析中，我们</w:t>
      </w:r>
      <w:r w:rsidR="00E91DEA">
        <w:rPr>
          <w:rFonts w:hint="eastAsia"/>
          <w:b/>
          <w:szCs w:val="21"/>
        </w:rPr>
        <w:t>选取青岛海尔</w:t>
      </w:r>
      <w:r w:rsidR="00E91DEA">
        <w:rPr>
          <w:rFonts w:hint="eastAsia"/>
          <w:b/>
          <w:szCs w:val="21"/>
        </w:rPr>
        <w:t>2008</w:t>
      </w:r>
      <w:r w:rsidR="00E91DEA">
        <w:rPr>
          <w:rFonts w:hint="eastAsia"/>
          <w:b/>
          <w:szCs w:val="21"/>
        </w:rPr>
        <w:t>—</w:t>
      </w:r>
      <w:r w:rsidR="00E91DEA">
        <w:rPr>
          <w:rFonts w:hint="eastAsia"/>
          <w:b/>
          <w:szCs w:val="21"/>
        </w:rPr>
        <w:t>2012</w:t>
      </w:r>
      <w:r w:rsidR="00E91DEA">
        <w:rPr>
          <w:rFonts w:hint="eastAsia"/>
          <w:b/>
          <w:szCs w:val="21"/>
        </w:rPr>
        <w:t>年财务报表作为分析对象，</w:t>
      </w:r>
      <w:r w:rsidR="00686372">
        <w:rPr>
          <w:rFonts w:hint="eastAsia"/>
          <w:b/>
          <w:szCs w:val="21"/>
        </w:rPr>
        <w:t>从趋势、结构、比率</w:t>
      </w:r>
      <w:r>
        <w:rPr>
          <w:rFonts w:hint="eastAsia"/>
          <w:b/>
          <w:szCs w:val="21"/>
        </w:rPr>
        <w:t>以及</w:t>
      </w:r>
      <w:r w:rsidR="00686372">
        <w:rPr>
          <w:rFonts w:hint="eastAsia"/>
          <w:b/>
          <w:szCs w:val="21"/>
        </w:rPr>
        <w:t>现金流量四个角度</w:t>
      </w:r>
      <w:r w:rsidR="00211FCD">
        <w:rPr>
          <w:rFonts w:hint="eastAsia"/>
          <w:b/>
          <w:szCs w:val="21"/>
        </w:rPr>
        <w:t>切入进行分析</w:t>
      </w:r>
      <w:r w:rsidR="00686372">
        <w:rPr>
          <w:rFonts w:hint="eastAsia"/>
          <w:b/>
          <w:szCs w:val="21"/>
        </w:rPr>
        <w:t>。</w:t>
      </w:r>
      <w:r w:rsidR="00DB4054">
        <w:rPr>
          <w:rFonts w:hint="eastAsia"/>
          <w:b/>
          <w:szCs w:val="21"/>
        </w:rPr>
        <w:t>需要说明的是，</w:t>
      </w:r>
      <w:r w:rsidR="00F93C5C">
        <w:rPr>
          <w:rFonts w:hint="eastAsia"/>
          <w:b/>
          <w:szCs w:val="21"/>
        </w:rPr>
        <w:t>在运用杜邦体系分析影响其盈利性的长期因素时，我们综合考虑各种原因</w:t>
      </w:r>
      <w:r w:rsidR="00DB4054">
        <w:rPr>
          <w:rFonts w:hint="eastAsia"/>
          <w:b/>
          <w:szCs w:val="21"/>
        </w:rPr>
        <w:t>，</w:t>
      </w:r>
      <w:r w:rsidR="00F93C5C">
        <w:rPr>
          <w:rFonts w:hint="eastAsia"/>
          <w:b/>
          <w:szCs w:val="21"/>
        </w:rPr>
        <w:t>改为</w:t>
      </w:r>
      <w:r w:rsidR="00F93C5C">
        <w:rPr>
          <w:rFonts w:hint="eastAsia"/>
          <w:b/>
          <w:szCs w:val="21"/>
        </w:rPr>
        <w:t>2001</w:t>
      </w:r>
      <w:r w:rsidR="00F93C5C">
        <w:rPr>
          <w:rFonts w:hint="eastAsia"/>
          <w:b/>
          <w:szCs w:val="21"/>
        </w:rPr>
        <w:t>—</w:t>
      </w:r>
      <w:r w:rsidR="00F93C5C">
        <w:rPr>
          <w:rFonts w:hint="eastAsia"/>
          <w:b/>
          <w:szCs w:val="21"/>
        </w:rPr>
        <w:t>2005</w:t>
      </w:r>
      <w:r w:rsidR="00F93C5C">
        <w:rPr>
          <w:rFonts w:hint="eastAsia"/>
          <w:b/>
          <w:szCs w:val="21"/>
        </w:rPr>
        <w:t>年的财务数据进行分析，具体原因</w:t>
      </w:r>
      <w:r w:rsidR="00DB4054">
        <w:rPr>
          <w:rFonts w:hint="eastAsia"/>
          <w:b/>
          <w:szCs w:val="21"/>
        </w:rPr>
        <w:t>将</w:t>
      </w:r>
      <w:r w:rsidR="00F93C5C">
        <w:rPr>
          <w:rFonts w:hint="eastAsia"/>
          <w:b/>
          <w:szCs w:val="21"/>
        </w:rPr>
        <w:t>在后面的分析中详细阐述。</w:t>
      </w:r>
    </w:p>
    <w:p w:rsidR="00E91DEA" w:rsidRDefault="00E91DEA" w:rsidP="00E91DEA">
      <w:pPr>
        <w:rPr>
          <w:b/>
          <w:szCs w:val="21"/>
        </w:rPr>
      </w:pPr>
      <w:r>
        <w:rPr>
          <w:rFonts w:hint="eastAsia"/>
          <w:b/>
          <w:szCs w:val="21"/>
        </w:rPr>
        <w:t>一</w:t>
      </w:r>
      <w:r>
        <w:rPr>
          <w:rFonts w:hint="eastAsia"/>
          <w:b/>
          <w:szCs w:val="21"/>
        </w:rPr>
        <w:t xml:space="preserve">  </w:t>
      </w:r>
      <w:r>
        <w:rPr>
          <w:rFonts w:hint="eastAsia"/>
          <w:b/>
          <w:szCs w:val="21"/>
        </w:rPr>
        <w:t>趋势分析</w:t>
      </w:r>
    </w:p>
    <w:p w:rsidR="00847E19" w:rsidRDefault="00847E19" w:rsidP="000241CD">
      <w:pPr>
        <w:autoSpaceDE w:val="0"/>
        <w:autoSpaceDN w:val="0"/>
        <w:adjustRightInd w:val="0"/>
        <w:ind w:firstLineChars="196" w:firstLine="413"/>
        <w:jc w:val="left"/>
        <w:rPr>
          <w:rFonts w:ascii="宋体" w:cs="宋体"/>
          <w:b/>
          <w:kern w:val="0"/>
          <w:szCs w:val="21"/>
        </w:rPr>
      </w:pPr>
      <w:r>
        <w:rPr>
          <w:rFonts w:ascii="宋体" w:cs="宋体" w:hint="eastAsia"/>
          <w:b/>
          <w:kern w:val="0"/>
          <w:szCs w:val="21"/>
        </w:rPr>
        <w:t>在趋势分析中，我们选择2008年作为基期，</w:t>
      </w:r>
      <w:r w:rsidRPr="00847E19">
        <w:rPr>
          <w:rFonts w:ascii="宋体" w:cs="宋体" w:hint="eastAsia"/>
          <w:b/>
          <w:kern w:val="0"/>
          <w:szCs w:val="21"/>
        </w:rPr>
        <w:t>然后将</w:t>
      </w:r>
      <w:r w:rsidRPr="00847E19">
        <w:rPr>
          <w:rFonts w:eastAsia="MingLiU"/>
          <w:b/>
          <w:kern w:val="0"/>
          <w:szCs w:val="21"/>
        </w:rPr>
        <w:t>20</w:t>
      </w:r>
      <w:r>
        <w:rPr>
          <w:rFonts w:hint="eastAsia"/>
          <w:b/>
          <w:kern w:val="0"/>
          <w:szCs w:val="21"/>
        </w:rPr>
        <w:t>09</w:t>
      </w:r>
      <w:r w:rsidRPr="00847E19">
        <w:rPr>
          <w:rFonts w:ascii="宋体" w:cs="宋体" w:hint="eastAsia"/>
          <w:b/>
          <w:kern w:val="0"/>
          <w:szCs w:val="21"/>
        </w:rPr>
        <w:t>年、</w:t>
      </w:r>
      <w:r w:rsidRPr="00847E19">
        <w:rPr>
          <w:rFonts w:eastAsia="MingLiU"/>
          <w:b/>
          <w:kern w:val="0"/>
          <w:szCs w:val="21"/>
        </w:rPr>
        <w:t>20</w:t>
      </w:r>
      <w:r>
        <w:rPr>
          <w:rFonts w:hint="eastAsia"/>
          <w:b/>
          <w:kern w:val="0"/>
          <w:szCs w:val="21"/>
        </w:rPr>
        <w:t>10</w:t>
      </w:r>
      <w:r w:rsidRPr="00847E19">
        <w:rPr>
          <w:rFonts w:ascii="宋体" w:cs="宋体" w:hint="eastAsia"/>
          <w:b/>
          <w:kern w:val="0"/>
          <w:szCs w:val="21"/>
        </w:rPr>
        <w:t>年、</w:t>
      </w:r>
      <w:r w:rsidRPr="00847E19">
        <w:rPr>
          <w:rFonts w:eastAsia="MingLiU"/>
          <w:b/>
          <w:kern w:val="0"/>
          <w:szCs w:val="21"/>
        </w:rPr>
        <w:t>20</w:t>
      </w:r>
      <w:r>
        <w:rPr>
          <w:rFonts w:hint="eastAsia"/>
          <w:b/>
          <w:kern w:val="0"/>
          <w:szCs w:val="21"/>
        </w:rPr>
        <w:t>11</w:t>
      </w:r>
      <w:r w:rsidRPr="00847E19">
        <w:rPr>
          <w:rFonts w:ascii="宋体" w:cs="宋体" w:hint="eastAsia"/>
          <w:b/>
          <w:kern w:val="0"/>
          <w:szCs w:val="21"/>
        </w:rPr>
        <w:t>年和</w:t>
      </w:r>
      <w:r w:rsidRPr="00847E19">
        <w:rPr>
          <w:rFonts w:eastAsia="MingLiU"/>
          <w:b/>
          <w:kern w:val="0"/>
          <w:szCs w:val="21"/>
        </w:rPr>
        <w:t>20</w:t>
      </w:r>
      <w:r>
        <w:rPr>
          <w:rFonts w:hint="eastAsia"/>
          <w:b/>
          <w:kern w:val="0"/>
          <w:szCs w:val="21"/>
        </w:rPr>
        <w:t>12</w:t>
      </w:r>
      <w:r w:rsidRPr="00847E19">
        <w:rPr>
          <w:rFonts w:ascii="宋体" w:cs="宋体" w:hint="eastAsia"/>
          <w:b/>
          <w:kern w:val="0"/>
          <w:szCs w:val="21"/>
        </w:rPr>
        <w:t>年的报表数据</w:t>
      </w:r>
      <w:r w:rsidR="000241CD">
        <w:rPr>
          <w:rFonts w:ascii="宋体" w:cs="宋体" w:hint="eastAsia"/>
          <w:b/>
          <w:kern w:val="0"/>
          <w:szCs w:val="21"/>
        </w:rPr>
        <w:t>分别</w:t>
      </w:r>
      <w:r w:rsidRPr="00847E19">
        <w:rPr>
          <w:rFonts w:ascii="宋体" w:cs="宋体" w:hint="eastAsia"/>
          <w:b/>
          <w:kern w:val="0"/>
          <w:szCs w:val="21"/>
        </w:rPr>
        <w:t>与</w:t>
      </w:r>
      <w:r w:rsidRPr="00847E19">
        <w:rPr>
          <w:b/>
          <w:kern w:val="0"/>
          <w:szCs w:val="21"/>
        </w:rPr>
        <w:t>20</w:t>
      </w:r>
      <w:r>
        <w:rPr>
          <w:rFonts w:hint="eastAsia"/>
          <w:b/>
          <w:kern w:val="0"/>
          <w:szCs w:val="21"/>
        </w:rPr>
        <w:t>08</w:t>
      </w:r>
      <w:r w:rsidRPr="00847E19">
        <w:rPr>
          <w:rFonts w:ascii="宋体" w:cs="宋体" w:hint="eastAsia"/>
          <w:b/>
          <w:kern w:val="0"/>
          <w:szCs w:val="21"/>
        </w:rPr>
        <w:t>年相比较，计算出青岛海尔</w:t>
      </w:r>
      <w:r>
        <w:rPr>
          <w:rFonts w:ascii="宋体" w:cs="宋体" w:hint="eastAsia"/>
          <w:b/>
          <w:kern w:val="0"/>
          <w:szCs w:val="21"/>
        </w:rPr>
        <w:t>资产负债表和利润表</w:t>
      </w:r>
      <w:r w:rsidRPr="00847E19">
        <w:rPr>
          <w:rFonts w:ascii="宋体" w:cs="宋体" w:hint="eastAsia"/>
          <w:b/>
          <w:kern w:val="0"/>
          <w:szCs w:val="21"/>
        </w:rPr>
        <w:t>主要项目的趋势变动</w:t>
      </w:r>
      <w:r>
        <w:rPr>
          <w:rFonts w:ascii="宋体" w:cs="宋体" w:hint="eastAsia"/>
          <w:b/>
          <w:kern w:val="0"/>
          <w:szCs w:val="21"/>
        </w:rPr>
        <w:t>，</w:t>
      </w:r>
      <w:r w:rsidRPr="00847E19">
        <w:rPr>
          <w:rFonts w:ascii="宋体" w:cs="宋体" w:hint="eastAsia"/>
          <w:b/>
          <w:kern w:val="0"/>
          <w:szCs w:val="21"/>
        </w:rPr>
        <w:t>如表</w:t>
      </w:r>
      <w:r>
        <w:rPr>
          <w:rFonts w:hint="eastAsia"/>
          <w:b/>
          <w:kern w:val="0"/>
          <w:szCs w:val="21"/>
        </w:rPr>
        <w:t>1</w:t>
      </w:r>
      <w:r>
        <w:rPr>
          <w:rFonts w:hint="eastAsia"/>
          <w:b/>
          <w:kern w:val="0"/>
          <w:szCs w:val="21"/>
        </w:rPr>
        <w:t>和表</w:t>
      </w:r>
      <w:r>
        <w:rPr>
          <w:rFonts w:hint="eastAsia"/>
          <w:b/>
          <w:kern w:val="0"/>
          <w:szCs w:val="21"/>
        </w:rPr>
        <w:t>2</w:t>
      </w:r>
      <w:r>
        <w:rPr>
          <w:rFonts w:ascii="宋体" w:cs="宋体" w:hint="eastAsia"/>
          <w:b/>
          <w:kern w:val="0"/>
          <w:szCs w:val="21"/>
        </w:rPr>
        <w:t>所示。</w:t>
      </w:r>
    </w:p>
    <w:p w:rsidR="00847E19" w:rsidRPr="00847E19" w:rsidRDefault="00847E19" w:rsidP="003C5F59">
      <w:pPr>
        <w:autoSpaceDE w:val="0"/>
        <w:autoSpaceDN w:val="0"/>
        <w:adjustRightInd w:val="0"/>
        <w:jc w:val="center"/>
        <w:rPr>
          <w:rFonts w:ascii="宋体" w:cs="宋体"/>
          <w:b/>
          <w:kern w:val="0"/>
          <w:szCs w:val="21"/>
        </w:rPr>
      </w:pPr>
      <w:r>
        <w:rPr>
          <w:rFonts w:ascii="宋体" w:cs="宋体" w:hint="eastAsia"/>
          <w:b/>
          <w:kern w:val="0"/>
          <w:szCs w:val="21"/>
        </w:rPr>
        <w:t>表</w:t>
      </w:r>
      <w:r w:rsidR="002262B8">
        <w:rPr>
          <w:rFonts w:ascii="宋体" w:cs="宋体" w:hint="eastAsia"/>
          <w:b/>
          <w:kern w:val="0"/>
          <w:szCs w:val="21"/>
        </w:rPr>
        <w:t>1</w:t>
      </w:r>
      <w:r>
        <w:rPr>
          <w:rFonts w:ascii="宋体" w:cs="宋体" w:hint="eastAsia"/>
          <w:b/>
          <w:kern w:val="0"/>
          <w:szCs w:val="21"/>
        </w:rPr>
        <w:t xml:space="preserve"> 青岛海尔趋势利润表</w:t>
      </w:r>
    </w:p>
    <w:tbl>
      <w:tblPr>
        <w:tblStyle w:val="a3"/>
        <w:tblW w:w="0" w:type="auto"/>
        <w:tblLook w:val="01E0" w:firstRow="1" w:lastRow="1" w:firstColumn="1" w:lastColumn="1" w:noHBand="0" w:noVBand="0"/>
      </w:tblPr>
      <w:tblGrid>
        <w:gridCol w:w="1728"/>
        <w:gridCol w:w="1080"/>
        <w:gridCol w:w="1080"/>
        <w:gridCol w:w="1260"/>
        <w:gridCol w:w="1260"/>
        <w:gridCol w:w="1260"/>
      </w:tblGrid>
      <w:tr w:rsidR="0031567F">
        <w:tc>
          <w:tcPr>
            <w:tcW w:w="1728" w:type="dxa"/>
          </w:tcPr>
          <w:p w:rsidR="0031567F" w:rsidRDefault="0031567F" w:rsidP="00847E19">
            <w:pPr>
              <w:autoSpaceDE w:val="0"/>
              <w:autoSpaceDN w:val="0"/>
              <w:adjustRightInd w:val="0"/>
              <w:jc w:val="left"/>
              <w:rPr>
                <w:rFonts w:ascii="宋体" w:cs="宋体"/>
                <w:b/>
                <w:kern w:val="0"/>
                <w:szCs w:val="21"/>
              </w:rPr>
            </w:pPr>
            <w:r>
              <w:rPr>
                <w:rFonts w:ascii="宋体" w:cs="宋体" w:hint="eastAsia"/>
                <w:b/>
                <w:kern w:val="0"/>
                <w:szCs w:val="21"/>
              </w:rPr>
              <w:t>项目</w:t>
            </w:r>
          </w:p>
        </w:tc>
        <w:tc>
          <w:tcPr>
            <w:tcW w:w="1080" w:type="dxa"/>
          </w:tcPr>
          <w:p w:rsidR="0031567F" w:rsidRDefault="0031567F" w:rsidP="00847E19">
            <w:pPr>
              <w:autoSpaceDE w:val="0"/>
              <w:autoSpaceDN w:val="0"/>
              <w:adjustRightInd w:val="0"/>
              <w:jc w:val="left"/>
              <w:rPr>
                <w:rFonts w:ascii="宋体" w:cs="宋体"/>
                <w:b/>
                <w:kern w:val="0"/>
                <w:szCs w:val="21"/>
              </w:rPr>
            </w:pPr>
            <w:r>
              <w:rPr>
                <w:rFonts w:ascii="宋体" w:cs="宋体" w:hint="eastAsia"/>
                <w:b/>
                <w:kern w:val="0"/>
                <w:szCs w:val="21"/>
              </w:rPr>
              <w:t>2008年</w:t>
            </w:r>
          </w:p>
        </w:tc>
        <w:tc>
          <w:tcPr>
            <w:tcW w:w="1080" w:type="dxa"/>
          </w:tcPr>
          <w:p w:rsidR="0031567F" w:rsidRDefault="0031567F" w:rsidP="00847E19">
            <w:pPr>
              <w:autoSpaceDE w:val="0"/>
              <w:autoSpaceDN w:val="0"/>
              <w:adjustRightInd w:val="0"/>
              <w:jc w:val="left"/>
              <w:rPr>
                <w:rFonts w:ascii="宋体" w:cs="宋体"/>
                <w:b/>
                <w:kern w:val="0"/>
                <w:szCs w:val="21"/>
              </w:rPr>
            </w:pPr>
            <w:r>
              <w:rPr>
                <w:rFonts w:ascii="宋体" w:cs="宋体" w:hint="eastAsia"/>
                <w:b/>
                <w:kern w:val="0"/>
                <w:szCs w:val="21"/>
              </w:rPr>
              <w:t>2009年</w:t>
            </w:r>
          </w:p>
        </w:tc>
        <w:tc>
          <w:tcPr>
            <w:tcW w:w="1260" w:type="dxa"/>
          </w:tcPr>
          <w:p w:rsidR="0031567F" w:rsidRDefault="0031567F" w:rsidP="00847E19">
            <w:pPr>
              <w:autoSpaceDE w:val="0"/>
              <w:autoSpaceDN w:val="0"/>
              <w:adjustRightInd w:val="0"/>
              <w:jc w:val="left"/>
              <w:rPr>
                <w:rFonts w:ascii="宋体" w:cs="宋体"/>
                <w:b/>
                <w:kern w:val="0"/>
                <w:szCs w:val="21"/>
              </w:rPr>
            </w:pPr>
            <w:r>
              <w:rPr>
                <w:rFonts w:ascii="宋体" w:cs="宋体" w:hint="eastAsia"/>
                <w:b/>
                <w:kern w:val="0"/>
                <w:szCs w:val="21"/>
              </w:rPr>
              <w:t>2010年</w:t>
            </w:r>
          </w:p>
        </w:tc>
        <w:tc>
          <w:tcPr>
            <w:tcW w:w="1260" w:type="dxa"/>
          </w:tcPr>
          <w:p w:rsidR="0031567F" w:rsidRDefault="0031567F" w:rsidP="00847E19">
            <w:pPr>
              <w:autoSpaceDE w:val="0"/>
              <w:autoSpaceDN w:val="0"/>
              <w:adjustRightInd w:val="0"/>
              <w:jc w:val="left"/>
              <w:rPr>
                <w:rFonts w:ascii="宋体" w:cs="宋体"/>
                <w:b/>
                <w:kern w:val="0"/>
                <w:szCs w:val="21"/>
              </w:rPr>
            </w:pPr>
            <w:r>
              <w:rPr>
                <w:rFonts w:ascii="宋体" w:cs="宋体" w:hint="eastAsia"/>
                <w:b/>
                <w:kern w:val="0"/>
                <w:szCs w:val="21"/>
              </w:rPr>
              <w:t>2011年</w:t>
            </w:r>
          </w:p>
        </w:tc>
        <w:tc>
          <w:tcPr>
            <w:tcW w:w="1260" w:type="dxa"/>
          </w:tcPr>
          <w:p w:rsidR="0031567F" w:rsidRDefault="0031567F" w:rsidP="00847E19">
            <w:pPr>
              <w:autoSpaceDE w:val="0"/>
              <w:autoSpaceDN w:val="0"/>
              <w:adjustRightInd w:val="0"/>
              <w:jc w:val="left"/>
              <w:rPr>
                <w:rFonts w:ascii="宋体" w:cs="宋体"/>
                <w:b/>
                <w:kern w:val="0"/>
                <w:szCs w:val="21"/>
              </w:rPr>
            </w:pPr>
            <w:r>
              <w:rPr>
                <w:rFonts w:ascii="宋体" w:cs="宋体" w:hint="eastAsia"/>
                <w:b/>
                <w:kern w:val="0"/>
                <w:szCs w:val="21"/>
              </w:rPr>
              <w:t>2012年</w:t>
            </w:r>
          </w:p>
        </w:tc>
      </w:tr>
      <w:tr w:rsidR="009D218E">
        <w:tc>
          <w:tcPr>
            <w:tcW w:w="1728"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一营业总收入</w:t>
            </w:r>
          </w:p>
        </w:tc>
        <w:tc>
          <w:tcPr>
            <w:tcW w:w="1080"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100%</w:t>
            </w:r>
          </w:p>
        </w:tc>
        <w:tc>
          <w:tcPr>
            <w:tcW w:w="1080" w:type="dxa"/>
            <w:vAlign w:val="bottom"/>
          </w:tcPr>
          <w:p w:rsidR="009D218E" w:rsidRPr="00FD4EB4" w:rsidRDefault="00FD4EB4">
            <w:pPr>
              <w:jc w:val="right"/>
              <w:rPr>
                <w:rFonts w:ascii="宋体" w:hAnsi="宋体" w:cs="宋体"/>
                <w:b/>
                <w:sz w:val="24"/>
              </w:rPr>
            </w:pPr>
            <w:r>
              <w:rPr>
                <w:rFonts w:hint="eastAsia"/>
                <w:b/>
              </w:rPr>
              <w:t>124.32%</w:t>
            </w:r>
          </w:p>
        </w:tc>
        <w:tc>
          <w:tcPr>
            <w:tcW w:w="1260" w:type="dxa"/>
            <w:vAlign w:val="bottom"/>
          </w:tcPr>
          <w:p w:rsidR="009D218E" w:rsidRPr="00FD4EB4" w:rsidRDefault="00FD4EB4">
            <w:pPr>
              <w:jc w:val="right"/>
              <w:rPr>
                <w:rFonts w:ascii="宋体" w:hAnsi="宋体" w:cs="宋体"/>
                <w:b/>
                <w:sz w:val="24"/>
              </w:rPr>
            </w:pPr>
            <w:r>
              <w:rPr>
                <w:rFonts w:hint="eastAsia"/>
                <w:b/>
              </w:rPr>
              <w:t>145.81%</w:t>
            </w:r>
          </w:p>
        </w:tc>
        <w:tc>
          <w:tcPr>
            <w:tcW w:w="1260" w:type="dxa"/>
            <w:vAlign w:val="bottom"/>
          </w:tcPr>
          <w:p w:rsidR="009D218E" w:rsidRPr="00FD4EB4" w:rsidRDefault="00FD4EB4">
            <w:pPr>
              <w:jc w:val="right"/>
              <w:rPr>
                <w:rFonts w:ascii="宋体" w:hAnsi="宋体" w:cs="宋体"/>
                <w:b/>
                <w:sz w:val="24"/>
              </w:rPr>
            </w:pPr>
            <w:r>
              <w:rPr>
                <w:rFonts w:hint="eastAsia"/>
                <w:b/>
              </w:rPr>
              <w:t>147.78%</w:t>
            </w:r>
          </w:p>
        </w:tc>
        <w:tc>
          <w:tcPr>
            <w:tcW w:w="1260" w:type="dxa"/>
            <w:vAlign w:val="bottom"/>
          </w:tcPr>
          <w:p w:rsidR="009D218E" w:rsidRPr="00FD4EB4" w:rsidRDefault="00FD4EB4">
            <w:pPr>
              <w:jc w:val="right"/>
              <w:rPr>
                <w:rFonts w:ascii="宋体" w:hAnsi="宋体" w:cs="宋体"/>
                <w:b/>
                <w:sz w:val="24"/>
              </w:rPr>
            </w:pPr>
            <w:r>
              <w:rPr>
                <w:rFonts w:hint="eastAsia"/>
                <w:b/>
              </w:rPr>
              <w:t>115.22%</w:t>
            </w:r>
          </w:p>
        </w:tc>
      </w:tr>
      <w:tr w:rsidR="009D218E">
        <w:tc>
          <w:tcPr>
            <w:tcW w:w="1728"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减：营业成本</w:t>
            </w:r>
          </w:p>
        </w:tc>
        <w:tc>
          <w:tcPr>
            <w:tcW w:w="1080"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100%</w:t>
            </w:r>
          </w:p>
        </w:tc>
        <w:tc>
          <w:tcPr>
            <w:tcW w:w="1080" w:type="dxa"/>
            <w:vAlign w:val="bottom"/>
          </w:tcPr>
          <w:p w:rsidR="009D218E" w:rsidRPr="00FD4EB4" w:rsidRDefault="00FD4EB4">
            <w:pPr>
              <w:jc w:val="right"/>
              <w:rPr>
                <w:rFonts w:ascii="宋体" w:hAnsi="宋体" w:cs="宋体"/>
                <w:b/>
                <w:sz w:val="24"/>
              </w:rPr>
            </w:pPr>
            <w:r>
              <w:rPr>
                <w:rFonts w:hint="eastAsia"/>
                <w:b/>
              </w:rPr>
              <w:t>123.60%</w:t>
            </w:r>
          </w:p>
        </w:tc>
        <w:tc>
          <w:tcPr>
            <w:tcW w:w="1260" w:type="dxa"/>
            <w:vAlign w:val="bottom"/>
          </w:tcPr>
          <w:p w:rsidR="009D218E" w:rsidRPr="00FD4EB4" w:rsidRDefault="00FD4EB4">
            <w:pPr>
              <w:jc w:val="right"/>
              <w:rPr>
                <w:rFonts w:ascii="宋体" w:hAnsi="宋体" w:cs="宋体"/>
                <w:b/>
                <w:sz w:val="24"/>
              </w:rPr>
            </w:pPr>
            <w:r>
              <w:rPr>
                <w:rFonts w:hint="eastAsia"/>
                <w:b/>
              </w:rPr>
              <w:t>150.37%</w:t>
            </w:r>
          </w:p>
        </w:tc>
        <w:tc>
          <w:tcPr>
            <w:tcW w:w="1260" w:type="dxa"/>
            <w:vAlign w:val="bottom"/>
          </w:tcPr>
          <w:p w:rsidR="009D218E" w:rsidRPr="00FD4EB4" w:rsidRDefault="00FD4EB4">
            <w:pPr>
              <w:jc w:val="right"/>
              <w:rPr>
                <w:rFonts w:ascii="宋体" w:hAnsi="宋体" w:cs="宋体"/>
                <w:b/>
                <w:sz w:val="24"/>
              </w:rPr>
            </w:pPr>
            <w:r>
              <w:rPr>
                <w:rFonts w:hint="eastAsia"/>
                <w:b/>
              </w:rPr>
              <w:t>141.35%</w:t>
            </w:r>
          </w:p>
        </w:tc>
        <w:tc>
          <w:tcPr>
            <w:tcW w:w="1260" w:type="dxa"/>
            <w:vAlign w:val="bottom"/>
          </w:tcPr>
          <w:p w:rsidR="009D218E" w:rsidRPr="00FD4EB4" w:rsidRDefault="00FD4EB4">
            <w:pPr>
              <w:jc w:val="right"/>
              <w:rPr>
                <w:rFonts w:ascii="宋体" w:hAnsi="宋体" w:cs="宋体"/>
                <w:b/>
                <w:sz w:val="24"/>
              </w:rPr>
            </w:pPr>
            <w:r>
              <w:rPr>
                <w:rFonts w:hint="eastAsia"/>
                <w:b/>
              </w:rPr>
              <w:t>104.83%</w:t>
            </w:r>
          </w:p>
        </w:tc>
      </w:tr>
      <w:tr w:rsidR="009D218E">
        <w:tc>
          <w:tcPr>
            <w:tcW w:w="1728"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营业税金及附加</w:t>
            </w:r>
          </w:p>
        </w:tc>
        <w:tc>
          <w:tcPr>
            <w:tcW w:w="1080"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100%</w:t>
            </w:r>
          </w:p>
        </w:tc>
        <w:tc>
          <w:tcPr>
            <w:tcW w:w="1080" w:type="dxa"/>
            <w:vAlign w:val="bottom"/>
          </w:tcPr>
          <w:p w:rsidR="009D218E" w:rsidRPr="00FD4EB4" w:rsidRDefault="00FD4EB4">
            <w:pPr>
              <w:jc w:val="right"/>
              <w:rPr>
                <w:rFonts w:ascii="宋体" w:hAnsi="宋体" w:cs="宋体"/>
                <w:b/>
                <w:sz w:val="24"/>
              </w:rPr>
            </w:pPr>
            <w:r>
              <w:rPr>
                <w:rFonts w:hint="eastAsia"/>
                <w:b/>
              </w:rPr>
              <w:t>125.07%</w:t>
            </w:r>
          </w:p>
        </w:tc>
        <w:tc>
          <w:tcPr>
            <w:tcW w:w="1260" w:type="dxa"/>
            <w:vAlign w:val="bottom"/>
          </w:tcPr>
          <w:p w:rsidR="009D218E" w:rsidRPr="00FD4EB4" w:rsidRDefault="00FD4EB4">
            <w:pPr>
              <w:jc w:val="right"/>
              <w:rPr>
                <w:rFonts w:ascii="宋体" w:hAnsi="宋体" w:cs="宋体"/>
                <w:b/>
                <w:sz w:val="24"/>
              </w:rPr>
            </w:pPr>
            <w:r>
              <w:rPr>
                <w:rFonts w:hint="eastAsia"/>
                <w:b/>
              </w:rPr>
              <w:t>105.73%</w:t>
            </w:r>
          </w:p>
        </w:tc>
        <w:tc>
          <w:tcPr>
            <w:tcW w:w="1260" w:type="dxa"/>
            <w:vAlign w:val="bottom"/>
          </w:tcPr>
          <w:p w:rsidR="009D218E" w:rsidRPr="00FD4EB4" w:rsidRDefault="00FD4EB4">
            <w:pPr>
              <w:jc w:val="right"/>
              <w:rPr>
                <w:rFonts w:ascii="宋体" w:hAnsi="宋体" w:cs="宋体"/>
                <w:b/>
                <w:sz w:val="24"/>
              </w:rPr>
            </w:pPr>
            <w:r>
              <w:rPr>
                <w:rFonts w:hint="eastAsia"/>
                <w:b/>
              </w:rPr>
              <w:t>156.81%</w:t>
            </w:r>
          </w:p>
        </w:tc>
        <w:tc>
          <w:tcPr>
            <w:tcW w:w="1260" w:type="dxa"/>
            <w:vAlign w:val="bottom"/>
          </w:tcPr>
          <w:p w:rsidR="009D218E" w:rsidRPr="00FD4EB4" w:rsidRDefault="00FD4EB4">
            <w:pPr>
              <w:jc w:val="right"/>
              <w:rPr>
                <w:rFonts w:ascii="宋体" w:hAnsi="宋体" w:cs="宋体"/>
                <w:b/>
                <w:sz w:val="24"/>
              </w:rPr>
            </w:pPr>
            <w:r>
              <w:rPr>
                <w:rFonts w:hint="eastAsia"/>
                <w:b/>
              </w:rPr>
              <w:t>101.80%</w:t>
            </w:r>
          </w:p>
        </w:tc>
      </w:tr>
      <w:tr w:rsidR="009D218E">
        <w:tc>
          <w:tcPr>
            <w:tcW w:w="1728"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销售费用</w:t>
            </w:r>
          </w:p>
        </w:tc>
        <w:tc>
          <w:tcPr>
            <w:tcW w:w="1080"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100%</w:t>
            </w:r>
          </w:p>
        </w:tc>
        <w:tc>
          <w:tcPr>
            <w:tcW w:w="1080" w:type="dxa"/>
            <w:vAlign w:val="bottom"/>
          </w:tcPr>
          <w:p w:rsidR="009D218E" w:rsidRPr="00FD4EB4" w:rsidRDefault="001D3AFE">
            <w:pPr>
              <w:jc w:val="right"/>
              <w:rPr>
                <w:rFonts w:ascii="宋体" w:hAnsi="宋体" w:cs="宋体"/>
                <w:b/>
                <w:sz w:val="24"/>
              </w:rPr>
            </w:pPr>
            <w:r>
              <w:rPr>
                <w:rFonts w:hint="eastAsia"/>
                <w:b/>
              </w:rPr>
              <w:t>1</w:t>
            </w:r>
            <w:r w:rsidR="009D218E" w:rsidRPr="00FD4EB4">
              <w:rPr>
                <w:rFonts w:hint="eastAsia"/>
                <w:b/>
              </w:rPr>
              <w:t>07</w:t>
            </w:r>
            <w:r>
              <w:rPr>
                <w:rFonts w:hint="eastAsia"/>
                <w:b/>
              </w:rPr>
              <w:t>.</w:t>
            </w:r>
            <w:r w:rsidR="009D218E" w:rsidRPr="00FD4EB4">
              <w:rPr>
                <w:rFonts w:hint="eastAsia"/>
                <w:b/>
              </w:rPr>
              <w:t>90</w:t>
            </w:r>
            <w:r>
              <w:rPr>
                <w:rFonts w:hint="eastAsia"/>
                <w:b/>
              </w:rPr>
              <w:t>%</w:t>
            </w:r>
          </w:p>
        </w:tc>
        <w:tc>
          <w:tcPr>
            <w:tcW w:w="1260" w:type="dxa"/>
            <w:vAlign w:val="bottom"/>
          </w:tcPr>
          <w:p w:rsidR="009D218E" w:rsidRPr="00FD4EB4" w:rsidRDefault="009D218E">
            <w:pPr>
              <w:jc w:val="right"/>
              <w:rPr>
                <w:rFonts w:ascii="宋体" w:hAnsi="宋体" w:cs="宋体"/>
                <w:b/>
                <w:sz w:val="24"/>
              </w:rPr>
            </w:pPr>
            <w:r w:rsidRPr="00FD4EB4">
              <w:rPr>
                <w:rFonts w:hint="eastAsia"/>
                <w:b/>
              </w:rPr>
              <w:t>81</w:t>
            </w:r>
            <w:r w:rsidR="001D3AFE">
              <w:rPr>
                <w:rFonts w:hint="eastAsia"/>
                <w:b/>
              </w:rPr>
              <w:t>.</w:t>
            </w:r>
            <w:r w:rsidRPr="00FD4EB4">
              <w:rPr>
                <w:rFonts w:hint="eastAsia"/>
                <w:b/>
              </w:rPr>
              <w:t>98</w:t>
            </w:r>
            <w:r w:rsidR="001D3AFE">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1</w:t>
            </w:r>
            <w:r w:rsidR="009D218E" w:rsidRPr="00FD4EB4">
              <w:rPr>
                <w:rFonts w:hint="eastAsia"/>
                <w:b/>
              </w:rPr>
              <w:t>26</w:t>
            </w:r>
            <w:r>
              <w:rPr>
                <w:rFonts w:hint="eastAsia"/>
                <w:b/>
              </w:rPr>
              <w:t>.</w:t>
            </w:r>
            <w:r w:rsidR="009D218E" w:rsidRPr="00FD4EB4">
              <w:rPr>
                <w:rFonts w:hint="eastAsia"/>
                <w:b/>
              </w:rPr>
              <w:t>67</w:t>
            </w:r>
            <w:r>
              <w:rPr>
                <w:rFonts w:hint="eastAsia"/>
                <w:b/>
              </w:rPr>
              <w:t>%</w:t>
            </w:r>
          </w:p>
        </w:tc>
        <w:tc>
          <w:tcPr>
            <w:tcW w:w="1260" w:type="dxa"/>
            <w:vAlign w:val="bottom"/>
          </w:tcPr>
          <w:p w:rsidR="009D218E" w:rsidRPr="00FD4EB4" w:rsidRDefault="009D218E">
            <w:pPr>
              <w:jc w:val="right"/>
              <w:rPr>
                <w:rFonts w:ascii="宋体" w:hAnsi="宋体" w:cs="宋体"/>
                <w:b/>
                <w:sz w:val="24"/>
              </w:rPr>
            </w:pPr>
            <w:r w:rsidRPr="00FD4EB4">
              <w:rPr>
                <w:rFonts w:hint="eastAsia"/>
                <w:b/>
              </w:rPr>
              <w:t>85</w:t>
            </w:r>
            <w:r w:rsidR="001D3AFE">
              <w:rPr>
                <w:rFonts w:hint="eastAsia"/>
                <w:b/>
              </w:rPr>
              <w:t>.</w:t>
            </w:r>
            <w:r w:rsidRPr="00FD4EB4">
              <w:rPr>
                <w:rFonts w:hint="eastAsia"/>
                <w:b/>
              </w:rPr>
              <w:t>03</w:t>
            </w:r>
            <w:r w:rsidR="001D3AFE">
              <w:rPr>
                <w:rFonts w:hint="eastAsia"/>
                <w:b/>
              </w:rPr>
              <w:t>%</w:t>
            </w:r>
          </w:p>
        </w:tc>
      </w:tr>
      <w:tr w:rsidR="009D218E">
        <w:tc>
          <w:tcPr>
            <w:tcW w:w="1728"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管理费用</w:t>
            </w:r>
          </w:p>
        </w:tc>
        <w:tc>
          <w:tcPr>
            <w:tcW w:w="1080"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100%</w:t>
            </w:r>
          </w:p>
        </w:tc>
        <w:tc>
          <w:tcPr>
            <w:tcW w:w="1080" w:type="dxa"/>
            <w:vAlign w:val="bottom"/>
          </w:tcPr>
          <w:p w:rsidR="009D218E" w:rsidRPr="00FD4EB4" w:rsidRDefault="001D3AFE">
            <w:pPr>
              <w:jc w:val="right"/>
              <w:rPr>
                <w:rFonts w:ascii="宋体" w:hAnsi="宋体" w:cs="宋体"/>
                <w:b/>
                <w:sz w:val="24"/>
              </w:rPr>
            </w:pPr>
            <w:r>
              <w:rPr>
                <w:rFonts w:hint="eastAsia"/>
                <w:b/>
              </w:rPr>
              <w:t>1</w:t>
            </w:r>
            <w:r w:rsidR="009D218E" w:rsidRPr="00FD4EB4">
              <w:rPr>
                <w:rFonts w:hint="eastAsia"/>
                <w:b/>
              </w:rPr>
              <w:t>77</w:t>
            </w:r>
            <w:r>
              <w:rPr>
                <w:rFonts w:hint="eastAsia"/>
                <w:b/>
              </w:rPr>
              <w:t>.</w:t>
            </w:r>
            <w:r w:rsidR="009D218E" w:rsidRPr="00FD4EB4">
              <w:rPr>
                <w:rFonts w:hint="eastAsia"/>
                <w:b/>
              </w:rPr>
              <w:t>94</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2</w:t>
            </w:r>
            <w:r w:rsidR="009D218E" w:rsidRPr="00FD4EB4">
              <w:rPr>
                <w:rFonts w:hint="eastAsia"/>
                <w:b/>
              </w:rPr>
              <w:t>12</w:t>
            </w:r>
            <w:r>
              <w:rPr>
                <w:rFonts w:hint="eastAsia"/>
                <w:b/>
              </w:rPr>
              <w:t>.</w:t>
            </w:r>
            <w:r w:rsidR="009D218E" w:rsidRPr="00FD4EB4">
              <w:rPr>
                <w:rFonts w:hint="eastAsia"/>
                <w:b/>
              </w:rPr>
              <w:t>07</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2</w:t>
            </w:r>
            <w:r w:rsidR="009D218E" w:rsidRPr="00FD4EB4">
              <w:rPr>
                <w:rFonts w:hint="eastAsia"/>
                <w:b/>
              </w:rPr>
              <w:t>57</w:t>
            </w:r>
            <w:r>
              <w:rPr>
                <w:rFonts w:hint="eastAsia"/>
                <w:b/>
              </w:rPr>
              <w:t>.</w:t>
            </w:r>
            <w:r w:rsidR="009D218E" w:rsidRPr="00FD4EB4">
              <w:rPr>
                <w:rFonts w:hint="eastAsia"/>
                <w:b/>
              </w:rPr>
              <w:t>36</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3</w:t>
            </w:r>
            <w:r w:rsidR="009D218E" w:rsidRPr="00FD4EB4">
              <w:rPr>
                <w:rFonts w:hint="eastAsia"/>
                <w:b/>
              </w:rPr>
              <w:t>45</w:t>
            </w:r>
            <w:r>
              <w:rPr>
                <w:rFonts w:hint="eastAsia"/>
                <w:b/>
              </w:rPr>
              <w:t>.</w:t>
            </w:r>
            <w:r w:rsidR="009D218E" w:rsidRPr="00FD4EB4">
              <w:rPr>
                <w:rFonts w:hint="eastAsia"/>
                <w:b/>
              </w:rPr>
              <w:t>27</w:t>
            </w:r>
            <w:r>
              <w:rPr>
                <w:rFonts w:hint="eastAsia"/>
                <w:b/>
              </w:rPr>
              <w:t>%</w:t>
            </w:r>
          </w:p>
        </w:tc>
      </w:tr>
      <w:tr w:rsidR="009D218E">
        <w:tc>
          <w:tcPr>
            <w:tcW w:w="1728"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财务费用</w:t>
            </w:r>
          </w:p>
        </w:tc>
        <w:tc>
          <w:tcPr>
            <w:tcW w:w="1080"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100%</w:t>
            </w:r>
          </w:p>
        </w:tc>
        <w:tc>
          <w:tcPr>
            <w:tcW w:w="1080" w:type="dxa"/>
            <w:vAlign w:val="bottom"/>
          </w:tcPr>
          <w:p w:rsidR="009D218E" w:rsidRPr="00FD4EB4" w:rsidRDefault="009D218E">
            <w:pPr>
              <w:jc w:val="right"/>
              <w:rPr>
                <w:rFonts w:ascii="宋体" w:hAnsi="宋体" w:cs="宋体"/>
                <w:b/>
                <w:sz w:val="24"/>
              </w:rPr>
            </w:pPr>
            <w:r w:rsidRPr="00FD4EB4">
              <w:rPr>
                <w:rFonts w:hint="eastAsia"/>
                <w:b/>
              </w:rPr>
              <w:t>33</w:t>
            </w:r>
            <w:r w:rsidR="001D3AFE">
              <w:rPr>
                <w:rFonts w:hint="eastAsia"/>
                <w:b/>
              </w:rPr>
              <w:t>.</w:t>
            </w:r>
            <w:r w:rsidRPr="00FD4EB4">
              <w:rPr>
                <w:rFonts w:hint="eastAsia"/>
                <w:b/>
              </w:rPr>
              <w:t>58</w:t>
            </w:r>
            <w:r w:rsidR="001D3AFE">
              <w:rPr>
                <w:rFonts w:hint="eastAsia"/>
                <w:b/>
              </w:rPr>
              <w:t>%</w:t>
            </w:r>
          </w:p>
        </w:tc>
        <w:tc>
          <w:tcPr>
            <w:tcW w:w="1260" w:type="dxa"/>
            <w:vAlign w:val="bottom"/>
          </w:tcPr>
          <w:p w:rsidR="009D218E" w:rsidRPr="00FD4EB4" w:rsidRDefault="009D218E">
            <w:pPr>
              <w:jc w:val="right"/>
              <w:rPr>
                <w:rFonts w:ascii="宋体" w:hAnsi="宋体" w:cs="宋体"/>
                <w:b/>
                <w:sz w:val="24"/>
              </w:rPr>
            </w:pPr>
            <w:r w:rsidRPr="00FD4EB4">
              <w:rPr>
                <w:rFonts w:hint="eastAsia"/>
                <w:b/>
              </w:rPr>
              <w:t>26</w:t>
            </w:r>
            <w:r w:rsidR="001D3AFE">
              <w:rPr>
                <w:rFonts w:hint="eastAsia"/>
                <w:b/>
              </w:rPr>
              <w:t>.</w:t>
            </w:r>
            <w:r w:rsidRPr="00FD4EB4">
              <w:rPr>
                <w:rFonts w:hint="eastAsia"/>
                <w:b/>
              </w:rPr>
              <w:t>33</w:t>
            </w:r>
            <w:r w:rsidR="001D3AFE">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w:t>
            </w:r>
            <w:r w:rsidR="009D218E" w:rsidRPr="00FD4EB4">
              <w:rPr>
                <w:rFonts w:hint="eastAsia"/>
                <w:b/>
              </w:rPr>
              <w:t>14</w:t>
            </w:r>
            <w:r>
              <w:rPr>
                <w:rFonts w:hint="eastAsia"/>
                <w:b/>
              </w:rPr>
              <w:t>.</w:t>
            </w:r>
            <w:r w:rsidR="009D218E" w:rsidRPr="00FD4EB4">
              <w:rPr>
                <w:rFonts w:hint="eastAsia"/>
                <w:b/>
              </w:rPr>
              <w:t>82</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w:t>
            </w:r>
            <w:r w:rsidR="009D218E" w:rsidRPr="00FD4EB4">
              <w:rPr>
                <w:rFonts w:hint="eastAsia"/>
                <w:b/>
              </w:rPr>
              <w:t>9</w:t>
            </w:r>
            <w:r>
              <w:rPr>
                <w:rFonts w:hint="eastAsia"/>
                <w:b/>
              </w:rPr>
              <w:t>.</w:t>
            </w:r>
            <w:r w:rsidR="009D218E" w:rsidRPr="00FD4EB4">
              <w:rPr>
                <w:rFonts w:hint="eastAsia"/>
                <w:b/>
              </w:rPr>
              <w:t>39</w:t>
            </w:r>
            <w:r>
              <w:rPr>
                <w:rFonts w:hint="eastAsia"/>
                <w:b/>
              </w:rPr>
              <w:t>%</w:t>
            </w:r>
          </w:p>
        </w:tc>
      </w:tr>
      <w:tr w:rsidR="009D218E">
        <w:tc>
          <w:tcPr>
            <w:tcW w:w="1728"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资产减值损失</w:t>
            </w:r>
          </w:p>
        </w:tc>
        <w:tc>
          <w:tcPr>
            <w:tcW w:w="1080"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100%</w:t>
            </w:r>
          </w:p>
        </w:tc>
        <w:tc>
          <w:tcPr>
            <w:tcW w:w="1080" w:type="dxa"/>
            <w:vAlign w:val="bottom"/>
          </w:tcPr>
          <w:p w:rsidR="009D218E" w:rsidRPr="00FD4EB4" w:rsidRDefault="001D3AFE">
            <w:pPr>
              <w:jc w:val="right"/>
              <w:rPr>
                <w:rFonts w:ascii="宋体" w:hAnsi="宋体" w:cs="宋体"/>
                <w:b/>
                <w:sz w:val="24"/>
              </w:rPr>
            </w:pPr>
            <w:r>
              <w:rPr>
                <w:rFonts w:hint="eastAsia"/>
                <w:b/>
              </w:rPr>
              <w:t>1</w:t>
            </w:r>
            <w:r w:rsidR="009D218E" w:rsidRPr="00FD4EB4">
              <w:rPr>
                <w:rFonts w:hint="eastAsia"/>
                <w:b/>
              </w:rPr>
              <w:t>15</w:t>
            </w:r>
            <w:r>
              <w:rPr>
                <w:rFonts w:hint="eastAsia"/>
                <w:b/>
              </w:rPr>
              <w:t>.</w:t>
            </w:r>
            <w:r w:rsidR="009D218E" w:rsidRPr="00FD4EB4">
              <w:rPr>
                <w:rFonts w:hint="eastAsia"/>
                <w:b/>
              </w:rPr>
              <w:t>17</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-2</w:t>
            </w:r>
            <w:r w:rsidR="009D218E" w:rsidRPr="00FD4EB4">
              <w:rPr>
                <w:rFonts w:hint="eastAsia"/>
                <w:b/>
              </w:rPr>
              <w:t>54</w:t>
            </w:r>
            <w:r>
              <w:rPr>
                <w:rFonts w:hint="eastAsia"/>
                <w:b/>
              </w:rPr>
              <w:t>.</w:t>
            </w:r>
            <w:r w:rsidR="009D218E" w:rsidRPr="00FD4EB4">
              <w:rPr>
                <w:rFonts w:hint="eastAsia"/>
                <w:b/>
              </w:rPr>
              <w:t>95</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3</w:t>
            </w:r>
            <w:r w:rsidR="009D218E" w:rsidRPr="00FD4EB4">
              <w:rPr>
                <w:rFonts w:hint="eastAsia"/>
                <w:b/>
              </w:rPr>
              <w:t>92</w:t>
            </w:r>
            <w:r>
              <w:rPr>
                <w:rFonts w:hint="eastAsia"/>
                <w:b/>
              </w:rPr>
              <w:t>.</w:t>
            </w:r>
            <w:r w:rsidR="009D218E" w:rsidRPr="00FD4EB4">
              <w:rPr>
                <w:rFonts w:hint="eastAsia"/>
                <w:b/>
              </w:rPr>
              <w:t>08</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-1</w:t>
            </w:r>
            <w:r w:rsidR="009D218E" w:rsidRPr="00FD4EB4">
              <w:rPr>
                <w:rFonts w:hint="eastAsia"/>
                <w:b/>
              </w:rPr>
              <w:t>82</w:t>
            </w:r>
            <w:r>
              <w:rPr>
                <w:rFonts w:hint="eastAsia"/>
                <w:b/>
              </w:rPr>
              <w:t>.</w:t>
            </w:r>
            <w:r w:rsidR="009D218E" w:rsidRPr="00FD4EB4">
              <w:rPr>
                <w:rFonts w:hint="eastAsia"/>
                <w:b/>
              </w:rPr>
              <w:t>74</w:t>
            </w:r>
            <w:r>
              <w:rPr>
                <w:rFonts w:hint="eastAsia"/>
                <w:b/>
              </w:rPr>
              <w:t>%</w:t>
            </w:r>
          </w:p>
        </w:tc>
      </w:tr>
      <w:tr w:rsidR="009D218E">
        <w:tc>
          <w:tcPr>
            <w:tcW w:w="1728"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加：投资收益</w:t>
            </w:r>
          </w:p>
        </w:tc>
        <w:tc>
          <w:tcPr>
            <w:tcW w:w="1080"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100%</w:t>
            </w:r>
          </w:p>
        </w:tc>
        <w:tc>
          <w:tcPr>
            <w:tcW w:w="1080" w:type="dxa"/>
            <w:vAlign w:val="bottom"/>
          </w:tcPr>
          <w:p w:rsidR="009D218E" w:rsidRPr="00FD4EB4" w:rsidRDefault="001D3AFE">
            <w:pPr>
              <w:jc w:val="right"/>
              <w:rPr>
                <w:rFonts w:ascii="宋体" w:hAnsi="宋体" w:cs="宋体"/>
                <w:b/>
                <w:sz w:val="24"/>
              </w:rPr>
            </w:pPr>
            <w:r>
              <w:rPr>
                <w:rFonts w:hint="eastAsia"/>
                <w:b/>
              </w:rPr>
              <w:t>6</w:t>
            </w:r>
            <w:r w:rsidR="009D218E" w:rsidRPr="00FD4EB4">
              <w:rPr>
                <w:rFonts w:hint="eastAsia"/>
                <w:b/>
              </w:rPr>
              <w:t>33</w:t>
            </w:r>
            <w:r>
              <w:rPr>
                <w:rFonts w:hint="eastAsia"/>
                <w:b/>
              </w:rPr>
              <w:t>.</w:t>
            </w:r>
            <w:r w:rsidR="009D218E" w:rsidRPr="00FD4EB4">
              <w:rPr>
                <w:rFonts w:hint="eastAsia"/>
                <w:b/>
              </w:rPr>
              <w:t>42</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8</w:t>
            </w:r>
            <w:r w:rsidR="009D218E" w:rsidRPr="00FD4EB4">
              <w:rPr>
                <w:rFonts w:hint="eastAsia"/>
                <w:b/>
              </w:rPr>
              <w:t>64</w:t>
            </w:r>
            <w:r>
              <w:rPr>
                <w:rFonts w:hint="eastAsia"/>
                <w:b/>
              </w:rPr>
              <w:t>.</w:t>
            </w:r>
            <w:r w:rsidR="009D218E" w:rsidRPr="00FD4EB4">
              <w:rPr>
                <w:rFonts w:hint="eastAsia"/>
                <w:b/>
              </w:rPr>
              <w:t>47</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22</w:t>
            </w:r>
            <w:r w:rsidR="009D218E" w:rsidRPr="00FD4EB4">
              <w:rPr>
                <w:rFonts w:hint="eastAsia"/>
                <w:b/>
              </w:rPr>
              <w:t>59</w:t>
            </w:r>
            <w:r>
              <w:rPr>
                <w:rFonts w:hint="eastAsia"/>
                <w:b/>
              </w:rPr>
              <w:t>.</w:t>
            </w:r>
            <w:r w:rsidR="009D218E" w:rsidRPr="00FD4EB4">
              <w:rPr>
                <w:rFonts w:hint="eastAsia"/>
                <w:b/>
              </w:rPr>
              <w:t>14</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4</w:t>
            </w:r>
            <w:r w:rsidR="009D218E" w:rsidRPr="00FD4EB4">
              <w:rPr>
                <w:rFonts w:hint="eastAsia"/>
                <w:b/>
              </w:rPr>
              <w:t>98</w:t>
            </w:r>
            <w:r>
              <w:rPr>
                <w:rFonts w:hint="eastAsia"/>
                <w:b/>
              </w:rPr>
              <w:t>.</w:t>
            </w:r>
            <w:r w:rsidR="009D218E" w:rsidRPr="00FD4EB4">
              <w:rPr>
                <w:rFonts w:hint="eastAsia"/>
                <w:b/>
              </w:rPr>
              <w:t>34</w:t>
            </w:r>
            <w:r>
              <w:rPr>
                <w:rFonts w:hint="eastAsia"/>
                <w:b/>
              </w:rPr>
              <w:t>%</w:t>
            </w:r>
          </w:p>
        </w:tc>
      </w:tr>
      <w:tr w:rsidR="009D218E">
        <w:tc>
          <w:tcPr>
            <w:tcW w:w="1728"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二 营业利润</w:t>
            </w:r>
          </w:p>
        </w:tc>
        <w:tc>
          <w:tcPr>
            <w:tcW w:w="1080"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100%</w:t>
            </w:r>
          </w:p>
        </w:tc>
        <w:tc>
          <w:tcPr>
            <w:tcW w:w="1080" w:type="dxa"/>
            <w:vAlign w:val="bottom"/>
          </w:tcPr>
          <w:p w:rsidR="009D218E" w:rsidRPr="00FD4EB4" w:rsidRDefault="001D3AFE">
            <w:pPr>
              <w:jc w:val="right"/>
              <w:rPr>
                <w:rFonts w:ascii="宋体" w:hAnsi="宋体" w:cs="宋体"/>
                <w:b/>
                <w:sz w:val="24"/>
              </w:rPr>
            </w:pPr>
            <w:r>
              <w:rPr>
                <w:rFonts w:hint="eastAsia"/>
                <w:b/>
              </w:rPr>
              <w:t>2</w:t>
            </w:r>
            <w:r w:rsidR="009D218E" w:rsidRPr="00FD4EB4">
              <w:rPr>
                <w:rFonts w:hint="eastAsia"/>
                <w:b/>
              </w:rPr>
              <w:t>42</w:t>
            </w:r>
            <w:r>
              <w:rPr>
                <w:rFonts w:hint="eastAsia"/>
                <w:b/>
              </w:rPr>
              <w:t>.</w:t>
            </w:r>
            <w:r w:rsidR="009D218E" w:rsidRPr="00FD4EB4">
              <w:rPr>
                <w:rFonts w:hint="eastAsia"/>
                <w:b/>
              </w:rPr>
              <w:t>68</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3</w:t>
            </w:r>
            <w:r w:rsidR="009D218E" w:rsidRPr="00FD4EB4">
              <w:rPr>
                <w:rFonts w:hint="eastAsia"/>
                <w:b/>
              </w:rPr>
              <w:t>23</w:t>
            </w:r>
            <w:r>
              <w:rPr>
                <w:rFonts w:hint="eastAsia"/>
                <w:b/>
              </w:rPr>
              <w:t>.</w:t>
            </w:r>
            <w:r w:rsidR="009D218E" w:rsidRPr="00FD4EB4">
              <w:rPr>
                <w:rFonts w:hint="eastAsia"/>
                <w:b/>
              </w:rPr>
              <w:t>97</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6</w:t>
            </w:r>
            <w:r w:rsidR="009D218E" w:rsidRPr="00FD4EB4">
              <w:rPr>
                <w:rFonts w:hint="eastAsia"/>
                <w:b/>
              </w:rPr>
              <w:t>77</w:t>
            </w:r>
            <w:r>
              <w:rPr>
                <w:rFonts w:hint="eastAsia"/>
                <w:b/>
              </w:rPr>
              <w:t>.</w:t>
            </w:r>
            <w:r w:rsidR="009D218E" w:rsidRPr="00FD4EB4">
              <w:rPr>
                <w:rFonts w:hint="eastAsia"/>
                <w:b/>
              </w:rPr>
              <w:t>16</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2</w:t>
            </w:r>
            <w:r w:rsidR="009D218E" w:rsidRPr="00FD4EB4">
              <w:rPr>
                <w:rFonts w:hint="eastAsia"/>
                <w:b/>
              </w:rPr>
              <w:t>00</w:t>
            </w:r>
            <w:r>
              <w:rPr>
                <w:rFonts w:hint="eastAsia"/>
                <w:b/>
              </w:rPr>
              <w:t>.</w:t>
            </w:r>
            <w:r w:rsidR="009D218E" w:rsidRPr="00FD4EB4">
              <w:rPr>
                <w:rFonts w:hint="eastAsia"/>
                <w:b/>
              </w:rPr>
              <w:t>67</w:t>
            </w:r>
          </w:p>
        </w:tc>
      </w:tr>
      <w:tr w:rsidR="009D218E">
        <w:tc>
          <w:tcPr>
            <w:tcW w:w="1728"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加：营业外收入</w:t>
            </w:r>
          </w:p>
        </w:tc>
        <w:tc>
          <w:tcPr>
            <w:tcW w:w="1080"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100%</w:t>
            </w:r>
          </w:p>
        </w:tc>
        <w:tc>
          <w:tcPr>
            <w:tcW w:w="1080" w:type="dxa"/>
            <w:vAlign w:val="bottom"/>
          </w:tcPr>
          <w:p w:rsidR="009D218E" w:rsidRPr="00FD4EB4" w:rsidRDefault="001D3AFE">
            <w:pPr>
              <w:jc w:val="right"/>
              <w:rPr>
                <w:rFonts w:ascii="宋体" w:hAnsi="宋体" w:cs="宋体"/>
                <w:b/>
                <w:sz w:val="24"/>
              </w:rPr>
            </w:pPr>
            <w:r>
              <w:rPr>
                <w:rFonts w:hint="eastAsia"/>
                <w:b/>
              </w:rPr>
              <w:t>1</w:t>
            </w:r>
            <w:r w:rsidR="009D218E" w:rsidRPr="00FD4EB4">
              <w:rPr>
                <w:rFonts w:hint="eastAsia"/>
                <w:b/>
              </w:rPr>
              <w:t>21</w:t>
            </w:r>
            <w:r>
              <w:rPr>
                <w:rFonts w:hint="eastAsia"/>
                <w:b/>
              </w:rPr>
              <w:t>.</w:t>
            </w:r>
            <w:r w:rsidR="009D218E" w:rsidRPr="00FD4EB4">
              <w:rPr>
                <w:rFonts w:hint="eastAsia"/>
                <w:b/>
              </w:rPr>
              <w:t>72</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3</w:t>
            </w:r>
            <w:r w:rsidR="009D218E" w:rsidRPr="00FD4EB4">
              <w:rPr>
                <w:rFonts w:hint="eastAsia"/>
                <w:b/>
              </w:rPr>
              <w:t>40</w:t>
            </w:r>
            <w:r>
              <w:rPr>
                <w:rFonts w:hint="eastAsia"/>
                <w:b/>
              </w:rPr>
              <w:t>.</w:t>
            </w:r>
            <w:r w:rsidR="009D218E" w:rsidRPr="00FD4EB4">
              <w:rPr>
                <w:rFonts w:hint="eastAsia"/>
                <w:b/>
              </w:rPr>
              <w:t>63</w:t>
            </w:r>
            <w:r>
              <w:rPr>
                <w:rFonts w:hint="eastAsia"/>
                <w:b/>
              </w:rPr>
              <w:t>%</w:t>
            </w:r>
          </w:p>
        </w:tc>
        <w:tc>
          <w:tcPr>
            <w:tcW w:w="1260" w:type="dxa"/>
            <w:vAlign w:val="bottom"/>
          </w:tcPr>
          <w:p w:rsidR="009D218E" w:rsidRPr="00FD4EB4" w:rsidRDefault="009D218E">
            <w:pPr>
              <w:jc w:val="right"/>
              <w:rPr>
                <w:rFonts w:ascii="宋体" w:hAnsi="宋体" w:cs="宋体"/>
                <w:b/>
                <w:sz w:val="24"/>
              </w:rPr>
            </w:pPr>
            <w:r w:rsidRPr="00FD4EB4">
              <w:rPr>
                <w:rFonts w:hint="eastAsia"/>
                <w:b/>
              </w:rPr>
              <w:t>1</w:t>
            </w:r>
            <w:r w:rsidR="001D3AFE">
              <w:rPr>
                <w:rFonts w:hint="eastAsia"/>
                <w:b/>
              </w:rPr>
              <w:t>7</w:t>
            </w:r>
            <w:r w:rsidRPr="00FD4EB4">
              <w:rPr>
                <w:rFonts w:hint="eastAsia"/>
                <w:b/>
              </w:rPr>
              <w:t>34</w:t>
            </w:r>
            <w:r w:rsidR="001D3AFE">
              <w:rPr>
                <w:rFonts w:hint="eastAsia"/>
                <w:b/>
              </w:rPr>
              <w:t>.</w:t>
            </w:r>
            <w:r w:rsidRPr="00FD4EB4">
              <w:rPr>
                <w:rFonts w:hint="eastAsia"/>
                <w:b/>
              </w:rPr>
              <w:t>41</w:t>
            </w:r>
            <w:r w:rsidR="001D3AFE">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10</w:t>
            </w:r>
            <w:r w:rsidR="009D218E" w:rsidRPr="00FD4EB4">
              <w:rPr>
                <w:rFonts w:hint="eastAsia"/>
                <w:b/>
              </w:rPr>
              <w:t>17</w:t>
            </w:r>
            <w:r>
              <w:rPr>
                <w:rFonts w:hint="eastAsia"/>
                <w:b/>
              </w:rPr>
              <w:t>.</w:t>
            </w:r>
            <w:r w:rsidR="009D218E" w:rsidRPr="00FD4EB4">
              <w:rPr>
                <w:rFonts w:hint="eastAsia"/>
                <w:b/>
              </w:rPr>
              <w:t>37</w:t>
            </w:r>
            <w:r>
              <w:rPr>
                <w:rFonts w:hint="eastAsia"/>
                <w:b/>
              </w:rPr>
              <w:t>%</w:t>
            </w:r>
          </w:p>
        </w:tc>
      </w:tr>
      <w:tr w:rsidR="009D218E">
        <w:tc>
          <w:tcPr>
            <w:tcW w:w="1728"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三利润总额</w:t>
            </w:r>
          </w:p>
        </w:tc>
        <w:tc>
          <w:tcPr>
            <w:tcW w:w="1080"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100%</w:t>
            </w:r>
          </w:p>
        </w:tc>
        <w:tc>
          <w:tcPr>
            <w:tcW w:w="1080" w:type="dxa"/>
            <w:vAlign w:val="bottom"/>
          </w:tcPr>
          <w:p w:rsidR="009D218E" w:rsidRPr="00FD4EB4" w:rsidRDefault="001D3AFE">
            <w:pPr>
              <w:jc w:val="right"/>
              <w:rPr>
                <w:rFonts w:ascii="宋体" w:hAnsi="宋体" w:cs="宋体"/>
                <w:b/>
                <w:sz w:val="24"/>
              </w:rPr>
            </w:pPr>
            <w:r>
              <w:rPr>
                <w:rFonts w:hint="eastAsia"/>
                <w:b/>
              </w:rPr>
              <w:t>2</w:t>
            </w:r>
            <w:r w:rsidR="009D218E" w:rsidRPr="00FD4EB4">
              <w:rPr>
                <w:rFonts w:hint="eastAsia"/>
                <w:b/>
              </w:rPr>
              <w:t>42</w:t>
            </w:r>
            <w:r>
              <w:rPr>
                <w:rFonts w:hint="eastAsia"/>
                <w:b/>
              </w:rPr>
              <w:t>.</w:t>
            </w:r>
            <w:r w:rsidR="009D218E" w:rsidRPr="00FD4EB4">
              <w:rPr>
                <w:rFonts w:hint="eastAsia"/>
                <w:b/>
              </w:rPr>
              <w:t>19</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3</w:t>
            </w:r>
            <w:r w:rsidR="009D218E" w:rsidRPr="00FD4EB4">
              <w:rPr>
                <w:rFonts w:hint="eastAsia"/>
                <w:b/>
              </w:rPr>
              <w:t>24</w:t>
            </w:r>
            <w:r>
              <w:rPr>
                <w:rFonts w:hint="eastAsia"/>
                <w:b/>
              </w:rPr>
              <w:t>.</w:t>
            </w:r>
            <w:r w:rsidR="009D218E" w:rsidRPr="00FD4EB4">
              <w:rPr>
                <w:rFonts w:hint="eastAsia"/>
                <w:b/>
              </w:rPr>
              <w:t>02</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6</w:t>
            </w:r>
            <w:r w:rsidR="009D218E" w:rsidRPr="00FD4EB4">
              <w:rPr>
                <w:rFonts w:hint="eastAsia"/>
                <w:b/>
              </w:rPr>
              <w:t>81</w:t>
            </w:r>
            <w:r>
              <w:rPr>
                <w:rFonts w:hint="eastAsia"/>
                <w:b/>
              </w:rPr>
              <w:t>.</w:t>
            </w:r>
            <w:r w:rsidR="009D218E" w:rsidRPr="00FD4EB4">
              <w:rPr>
                <w:rFonts w:hint="eastAsia"/>
                <w:b/>
              </w:rPr>
              <w:t>41</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2</w:t>
            </w:r>
            <w:r w:rsidR="009D218E" w:rsidRPr="00FD4EB4">
              <w:rPr>
                <w:rFonts w:hint="eastAsia"/>
                <w:b/>
              </w:rPr>
              <w:t>03</w:t>
            </w:r>
            <w:r>
              <w:rPr>
                <w:rFonts w:hint="eastAsia"/>
                <w:b/>
              </w:rPr>
              <w:t>.</w:t>
            </w:r>
            <w:r w:rsidR="009D218E" w:rsidRPr="00FD4EB4">
              <w:rPr>
                <w:rFonts w:hint="eastAsia"/>
                <w:b/>
              </w:rPr>
              <w:t>31</w:t>
            </w:r>
            <w:r>
              <w:rPr>
                <w:rFonts w:hint="eastAsia"/>
                <w:b/>
              </w:rPr>
              <w:t>%</w:t>
            </w:r>
          </w:p>
        </w:tc>
      </w:tr>
      <w:tr w:rsidR="009D218E">
        <w:tc>
          <w:tcPr>
            <w:tcW w:w="1728"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减：所得税</w:t>
            </w:r>
          </w:p>
        </w:tc>
        <w:tc>
          <w:tcPr>
            <w:tcW w:w="1080"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100%</w:t>
            </w:r>
          </w:p>
        </w:tc>
        <w:tc>
          <w:tcPr>
            <w:tcW w:w="1080" w:type="dxa"/>
            <w:vAlign w:val="bottom"/>
          </w:tcPr>
          <w:p w:rsidR="009D218E" w:rsidRPr="00FD4EB4" w:rsidRDefault="001D3AFE">
            <w:pPr>
              <w:jc w:val="right"/>
              <w:rPr>
                <w:rFonts w:ascii="宋体" w:hAnsi="宋体" w:cs="宋体"/>
                <w:b/>
                <w:sz w:val="24"/>
              </w:rPr>
            </w:pPr>
            <w:r>
              <w:rPr>
                <w:rFonts w:hint="eastAsia"/>
                <w:b/>
              </w:rPr>
              <w:t>1</w:t>
            </w:r>
            <w:r w:rsidR="009D218E" w:rsidRPr="00FD4EB4">
              <w:rPr>
                <w:rFonts w:hint="eastAsia"/>
                <w:b/>
              </w:rPr>
              <w:t>13</w:t>
            </w:r>
            <w:r>
              <w:rPr>
                <w:rFonts w:hint="eastAsia"/>
                <w:b/>
              </w:rPr>
              <w:t>.</w:t>
            </w:r>
            <w:r w:rsidR="009D218E" w:rsidRPr="00FD4EB4">
              <w:rPr>
                <w:rFonts w:hint="eastAsia"/>
                <w:b/>
              </w:rPr>
              <w:t>15</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1</w:t>
            </w:r>
            <w:r w:rsidR="009D218E" w:rsidRPr="00FD4EB4">
              <w:rPr>
                <w:rFonts w:hint="eastAsia"/>
                <w:b/>
              </w:rPr>
              <w:t>98</w:t>
            </w:r>
            <w:r>
              <w:rPr>
                <w:rFonts w:hint="eastAsia"/>
                <w:b/>
              </w:rPr>
              <w:t>.</w:t>
            </w:r>
            <w:r w:rsidR="009D218E" w:rsidRPr="00FD4EB4">
              <w:rPr>
                <w:rFonts w:hint="eastAsia"/>
                <w:b/>
              </w:rPr>
              <w:t>29</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1</w:t>
            </w:r>
            <w:r w:rsidR="009D218E" w:rsidRPr="00FD4EB4">
              <w:rPr>
                <w:rFonts w:hint="eastAsia"/>
                <w:b/>
              </w:rPr>
              <w:t>40</w:t>
            </w:r>
            <w:r>
              <w:rPr>
                <w:rFonts w:hint="eastAsia"/>
                <w:b/>
              </w:rPr>
              <w:t>.</w:t>
            </w:r>
            <w:r w:rsidR="009D218E" w:rsidRPr="00FD4EB4">
              <w:rPr>
                <w:rFonts w:hint="eastAsia"/>
                <w:b/>
              </w:rPr>
              <w:t>70</w:t>
            </w:r>
            <w:r>
              <w:rPr>
                <w:rFonts w:hint="eastAsia"/>
                <w:b/>
              </w:rPr>
              <w:t>%</w:t>
            </w:r>
          </w:p>
        </w:tc>
        <w:tc>
          <w:tcPr>
            <w:tcW w:w="1260" w:type="dxa"/>
            <w:vAlign w:val="bottom"/>
          </w:tcPr>
          <w:p w:rsidR="009D218E" w:rsidRPr="00FD4EB4" w:rsidRDefault="009D218E">
            <w:pPr>
              <w:jc w:val="right"/>
              <w:rPr>
                <w:rFonts w:ascii="宋体" w:hAnsi="宋体" w:cs="宋体"/>
                <w:b/>
                <w:sz w:val="24"/>
              </w:rPr>
            </w:pPr>
            <w:r w:rsidRPr="00FD4EB4">
              <w:rPr>
                <w:rFonts w:hint="eastAsia"/>
                <w:b/>
              </w:rPr>
              <w:t>84</w:t>
            </w:r>
            <w:r w:rsidR="001D3AFE">
              <w:rPr>
                <w:rFonts w:hint="eastAsia"/>
                <w:b/>
              </w:rPr>
              <w:t>.</w:t>
            </w:r>
            <w:r w:rsidRPr="00FD4EB4">
              <w:rPr>
                <w:rFonts w:hint="eastAsia"/>
                <w:b/>
              </w:rPr>
              <w:t>22</w:t>
            </w:r>
            <w:r w:rsidR="001D3AFE">
              <w:rPr>
                <w:rFonts w:hint="eastAsia"/>
                <w:b/>
              </w:rPr>
              <w:t>%</w:t>
            </w:r>
          </w:p>
        </w:tc>
      </w:tr>
      <w:tr w:rsidR="009D218E">
        <w:tc>
          <w:tcPr>
            <w:tcW w:w="1728"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四净利润</w:t>
            </w:r>
          </w:p>
        </w:tc>
        <w:tc>
          <w:tcPr>
            <w:tcW w:w="1080" w:type="dxa"/>
          </w:tcPr>
          <w:p w:rsidR="009D218E" w:rsidRDefault="009D218E" w:rsidP="00847E19">
            <w:pPr>
              <w:autoSpaceDE w:val="0"/>
              <w:autoSpaceDN w:val="0"/>
              <w:adjustRightInd w:val="0"/>
              <w:jc w:val="left"/>
              <w:rPr>
                <w:rFonts w:ascii="宋体" w:cs="宋体"/>
                <w:b/>
                <w:kern w:val="0"/>
                <w:szCs w:val="21"/>
              </w:rPr>
            </w:pPr>
            <w:r>
              <w:rPr>
                <w:rFonts w:ascii="宋体" w:cs="宋体" w:hint="eastAsia"/>
                <w:b/>
                <w:kern w:val="0"/>
                <w:szCs w:val="21"/>
              </w:rPr>
              <w:t>100%</w:t>
            </w:r>
          </w:p>
        </w:tc>
        <w:tc>
          <w:tcPr>
            <w:tcW w:w="1080" w:type="dxa"/>
            <w:vAlign w:val="bottom"/>
          </w:tcPr>
          <w:p w:rsidR="009D218E" w:rsidRPr="00FD4EB4" w:rsidRDefault="001D3AFE">
            <w:pPr>
              <w:jc w:val="right"/>
              <w:rPr>
                <w:rFonts w:ascii="宋体" w:hAnsi="宋体" w:cs="宋体"/>
                <w:b/>
                <w:sz w:val="24"/>
              </w:rPr>
            </w:pPr>
            <w:r>
              <w:rPr>
                <w:rFonts w:hint="eastAsia"/>
                <w:b/>
              </w:rPr>
              <w:t>2</w:t>
            </w:r>
            <w:r w:rsidR="009D218E" w:rsidRPr="00FD4EB4">
              <w:rPr>
                <w:rFonts w:hint="eastAsia"/>
                <w:b/>
              </w:rPr>
              <w:t>58</w:t>
            </w:r>
            <w:r>
              <w:rPr>
                <w:rFonts w:hint="eastAsia"/>
                <w:b/>
              </w:rPr>
              <w:t>.</w:t>
            </w:r>
            <w:r w:rsidR="009D218E" w:rsidRPr="00FD4EB4">
              <w:rPr>
                <w:rFonts w:hint="eastAsia"/>
                <w:b/>
              </w:rPr>
              <w:t>35</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3</w:t>
            </w:r>
            <w:r w:rsidR="009D218E" w:rsidRPr="00FD4EB4">
              <w:rPr>
                <w:rFonts w:hint="eastAsia"/>
                <w:b/>
              </w:rPr>
              <w:t>39</w:t>
            </w:r>
            <w:r>
              <w:rPr>
                <w:rFonts w:hint="eastAsia"/>
                <w:b/>
              </w:rPr>
              <w:t>.</w:t>
            </w:r>
            <w:r w:rsidR="009D218E" w:rsidRPr="00FD4EB4">
              <w:rPr>
                <w:rFonts w:hint="eastAsia"/>
                <w:b/>
              </w:rPr>
              <w:t>76</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7</w:t>
            </w:r>
            <w:r w:rsidR="009D218E" w:rsidRPr="00FD4EB4">
              <w:rPr>
                <w:rFonts w:hint="eastAsia"/>
                <w:b/>
              </w:rPr>
              <w:t>49</w:t>
            </w:r>
            <w:r>
              <w:rPr>
                <w:rFonts w:hint="eastAsia"/>
                <w:b/>
              </w:rPr>
              <w:t>.</w:t>
            </w:r>
            <w:r w:rsidR="009D218E" w:rsidRPr="00FD4EB4">
              <w:rPr>
                <w:rFonts w:hint="eastAsia"/>
                <w:b/>
              </w:rPr>
              <w:t>09</w:t>
            </w:r>
            <w:r>
              <w:rPr>
                <w:rFonts w:hint="eastAsia"/>
                <w:b/>
              </w:rPr>
              <w:t>%</w:t>
            </w:r>
          </w:p>
        </w:tc>
        <w:tc>
          <w:tcPr>
            <w:tcW w:w="1260" w:type="dxa"/>
            <w:vAlign w:val="bottom"/>
          </w:tcPr>
          <w:p w:rsidR="009D218E" w:rsidRPr="00FD4EB4" w:rsidRDefault="001D3AFE">
            <w:pPr>
              <w:jc w:val="right"/>
              <w:rPr>
                <w:rFonts w:ascii="宋体" w:hAnsi="宋体" w:cs="宋体"/>
                <w:b/>
                <w:sz w:val="24"/>
              </w:rPr>
            </w:pPr>
            <w:r>
              <w:rPr>
                <w:rFonts w:hint="eastAsia"/>
                <w:b/>
              </w:rPr>
              <w:t>2</w:t>
            </w:r>
            <w:r w:rsidR="009D218E" w:rsidRPr="00FD4EB4">
              <w:rPr>
                <w:rFonts w:hint="eastAsia"/>
                <w:b/>
              </w:rPr>
              <w:t>18</w:t>
            </w:r>
            <w:r>
              <w:rPr>
                <w:rFonts w:hint="eastAsia"/>
                <w:b/>
              </w:rPr>
              <w:t>.</w:t>
            </w:r>
            <w:r w:rsidR="009D218E" w:rsidRPr="00FD4EB4">
              <w:rPr>
                <w:rFonts w:hint="eastAsia"/>
                <w:b/>
              </w:rPr>
              <w:t>22</w:t>
            </w:r>
            <w:r>
              <w:rPr>
                <w:rFonts w:hint="eastAsia"/>
                <w:b/>
              </w:rPr>
              <w:t>%</w:t>
            </w:r>
          </w:p>
        </w:tc>
      </w:tr>
    </w:tbl>
    <w:p w:rsidR="00F87A7D" w:rsidRPr="0031567F" w:rsidRDefault="00F87A7D" w:rsidP="00F87A7D">
      <w:pPr>
        <w:autoSpaceDE w:val="0"/>
        <w:autoSpaceDN w:val="0"/>
        <w:adjustRightInd w:val="0"/>
        <w:jc w:val="center"/>
        <w:rPr>
          <w:rFonts w:ascii="宋体" w:cs="宋体"/>
          <w:b/>
          <w:kern w:val="0"/>
          <w:szCs w:val="21"/>
        </w:rPr>
      </w:pPr>
      <w:r>
        <w:rPr>
          <w:rFonts w:ascii="宋体" w:cs="宋体" w:hint="eastAsia"/>
          <w:b/>
          <w:kern w:val="0"/>
          <w:szCs w:val="21"/>
        </w:rPr>
        <w:t>表</w:t>
      </w:r>
      <w:r w:rsidR="002262B8">
        <w:rPr>
          <w:rFonts w:ascii="宋体" w:cs="宋体" w:hint="eastAsia"/>
          <w:b/>
          <w:kern w:val="0"/>
          <w:szCs w:val="21"/>
        </w:rPr>
        <w:t>2</w:t>
      </w:r>
      <w:r>
        <w:rPr>
          <w:rFonts w:ascii="宋体" w:cs="宋体" w:hint="eastAsia"/>
          <w:b/>
          <w:kern w:val="0"/>
          <w:szCs w:val="21"/>
        </w:rPr>
        <w:t xml:space="preserve"> 青岛海尔趋势资产负债表</w:t>
      </w:r>
    </w:p>
    <w:tbl>
      <w:tblPr>
        <w:tblW w:w="7540" w:type="dxa"/>
        <w:tblInd w:w="93" w:type="dxa"/>
        <w:tblLook w:val="0000" w:firstRow="0" w:lastRow="0" w:firstColumn="0" w:lastColumn="0" w:noHBand="0" w:noVBand="0"/>
      </w:tblPr>
      <w:tblGrid>
        <w:gridCol w:w="2140"/>
        <w:gridCol w:w="1080"/>
        <w:gridCol w:w="1080"/>
        <w:gridCol w:w="1080"/>
        <w:gridCol w:w="1080"/>
        <w:gridCol w:w="1080"/>
      </w:tblGrid>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t>项目</w:t>
            </w:r>
          </w:p>
        </w:tc>
        <w:tc>
          <w:tcPr>
            <w:tcW w:w="1080" w:type="dxa"/>
            <w:tcBorders>
              <w:top w:val="nil"/>
              <w:left w:val="nil"/>
              <w:bottom w:val="nil"/>
              <w:right w:val="nil"/>
            </w:tcBorders>
            <w:shd w:val="clear" w:color="auto" w:fill="auto"/>
            <w:noWrap/>
            <w:vAlign w:val="bottom"/>
          </w:tcPr>
          <w:p w:rsidR="00F87A7D" w:rsidRPr="00902ED0" w:rsidRDefault="00F87A7D" w:rsidP="00F87A7D">
            <w:pPr>
              <w:widowControl/>
              <w:jc w:val="left"/>
              <w:rPr>
                <w:rFonts w:ascii="宋体" w:hAnsi="宋体" w:cs="宋体"/>
                <w:b/>
                <w:kern w:val="0"/>
                <w:sz w:val="24"/>
              </w:rPr>
            </w:pPr>
            <w:r w:rsidRPr="00902ED0">
              <w:rPr>
                <w:rFonts w:ascii="宋体" w:hAnsi="宋体" w:cs="宋体" w:hint="eastAsia"/>
                <w:b/>
                <w:kern w:val="0"/>
                <w:sz w:val="24"/>
              </w:rPr>
              <w:t>2008年</w:t>
            </w:r>
          </w:p>
        </w:tc>
        <w:tc>
          <w:tcPr>
            <w:tcW w:w="1080" w:type="dxa"/>
            <w:tcBorders>
              <w:top w:val="nil"/>
              <w:left w:val="nil"/>
              <w:bottom w:val="nil"/>
              <w:right w:val="nil"/>
            </w:tcBorders>
            <w:shd w:val="clear" w:color="auto" w:fill="auto"/>
            <w:noWrap/>
            <w:vAlign w:val="bottom"/>
          </w:tcPr>
          <w:p w:rsidR="00F87A7D" w:rsidRPr="00902ED0" w:rsidRDefault="00F87A7D" w:rsidP="00F87A7D">
            <w:pPr>
              <w:widowControl/>
              <w:jc w:val="left"/>
              <w:rPr>
                <w:rFonts w:ascii="宋体" w:hAnsi="宋体" w:cs="宋体"/>
                <w:b/>
                <w:kern w:val="0"/>
                <w:sz w:val="24"/>
              </w:rPr>
            </w:pPr>
            <w:r w:rsidRPr="00902ED0">
              <w:rPr>
                <w:rFonts w:ascii="宋体" w:hAnsi="宋体" w:cs="宋体" w:hint="eastAsia"/>
                <w:b/>
                <w:kern w:val="0"/>
                <w:sz w:val="24"/>
              </w:rPr>
              <w:t>2009年</w:t>
            </w:r>
          </w:p>
        </w:tc>
        <w:tc>
          <w:tcPr>
            <w:tcW w:w="1080" w:type="dxa"/>
            <w:tcBorders>
              <w:top w:val="nil"/>
              <w:left w:val="nil"/>
              <w:bottom w:val="nil"/>
              <w:right w:val="nil"/>
            </w:tcBorders>
            <w:shd w:val="clear" w:color="auto" w:fill="auto"/>
            <w:noWrap/>
            <w:vAlign w:val="bottom"/>
          </w:tcPr>
          <w:p w:rsidR="00F87A7D" w:rsidRPr="00902ED0" w:rsidRDefault="00F87A7D" w:rsidP="00F87A7D">
            <w:pPr>
              <w:widowControl/>
              <w:jc w:val="left"/>
              <w:rPr>
                <w:rFonts w:ascii="宋体" w:hAnsi="宋体" w:cs="宋体"/>
                <w:b/>
                <w:kern w:val="0"/>
                <w:sz w:val="24"/>
              </w:rPr>
            </w:pPr>
            <w:r w:rsidRPr="00902ED0">
              <w:rPr>
                <w:rFonts w:ascii="宋体" w:hAnsi="宋体" w:cs="宋体" w:hint="eastAsia"/>
                <w:b/>
                <w:kern w:val="0"/>
                <w:sz w:val="24"/>
              </w:rPr>
              <w:t>2010年</w:t>
            </w:r>
          </w:p>
        </w:tc>
        <w:tc>
          <w:tcPr>
            <w:tcW w:w="1080" w:type="dxa"/>
            <w:tcBorders>
              <w:top w:val="nil"/>
              <w:left w:val="nil"/>
              <w:bottom w:val="nil"/>
              <w:right w:val="nil"/>
            </w:tcBorders>
            <w:shd w:val="clear" w:color="auto" w:fill="auto"/>
            <w:noWrap/>
            <w:vAlign w:val="bottom"/>
          </w:tcPr>
          <w:p w:rsidR="00F87A7D" w:rsidRPr="00902ED0" w:rsidRDefault="00F87A7D" w:rsidP="00F87A7D">
            <w:pPr>
              <w:widowControl/>
              <w:jc w:val="left"/>
              <w:rPr>
                <w:rFonts w:ascii="宋体" w:hAnsi="宋体" w:cs="宋体"/>
                <w:b/>
                <w:kern w:val="0"/>
                <w:sz w:val="24"/>
              </w:rPr>
            </w:pPr>
            <w:r w:rsidRPr="00902ED0">
              <w:rPr>
                <w:rFonts w:ascii="宋体" w:hAnsi="宋体" w:cs="宋体" w:hint="eastAsia"/>
                <w:b/>
                <w:kern w:val="0"/>
                <w:sz w:val="24"/>
              </w:rPr>
              <w:t>2011年</w:t>
            </w:r>
          </w:p>
        </w:tc>
        <w:tc>
          <w:tcPr>
            <w:tcW w:w="1080" w:type="dxa"/>
            <w:tcBorders>
              <w:top w:val="nil"/>
              <w:left w:val="nil"/>
              <w:bottom w:val="nil"/>
              <w:right w:val="nil"/>
            </w:tcBorders>
            <w:shd w:val="clear" w:color="auto" w:fill="auto"/>
            <w:noWrap/>
            <w:vAlign w:val="bottom"/>
          </w:tcPr>
          <w:p w:rsidR="00F87A7D" w:rsidRPr="00902ED0" w:rsidRDefault="00F87A7D" w:rsidP="00F87A7D">
            <w:pPr>
              <w:widowControl/>
              <w:jc w:val="left"/>
              <w:rPr>
                <w:rFonts w:ascii="宋体" w:hAnsi="宋体" w:cs="宋体"/>
                <w:b/>
                <w:kern w:val="0"/>
                <w:sz w:val="24"/>
              </w:rPr>
            </w:pPr>
            <w:r w:rsidRPr="00902ED0">
              <w:rPr>
                <w:rFonts w:ascii="宋体" w:hAnsi="宋体" w:cs="宋体" w:hint="eastAsia"/>
                <w:b/>
                <w:kern w:val="0"/>
                <w:sz w:val="24"/>
              </w:rPr>
              <w:t>2012年</w:t>
            </w:r>
          </w:p>
        </w:tc>
      </w:tr>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t>货币资金</w:t>
            </w:r>
          </w:p>
        </w:tc>
        <w:tc>
          <w:tcPr>
            <w:tcW w:w="1080" w:type="dxa"/>
            <w:tcBorders>
              <w:top w:val="nil"/>
              <w:left w:val="nil"/>
              <w:bottom w:val="nil"/>
              <w:right w:val="nil"/>
            </w:tcBorders>
            <w:shd w:val="clear" w:color="auto" w:fill="auto"/>
            <w:noWrap/>
          </w:tcPr>
          <w:p w:rsidR="00F87A7D" w:rsidRPr="00902ED0" w:rsidRDefault="00F87A7D" w:rsidP="00F87A7D">
            <w:pPr>
              <w:rPr>
                <w:b/>
              </w:rPr>
            </w:pPr>
            <w:r w:rsidRPr="00902ED0">
              <w:rPr>
                <w:rFonts w:ascii="宋体" w:cs="宋体" w:hint="eastAsia"/>
                <w:b/>
                <w:kern w:val="0"/>
                <w:szCs w:val="21"/>
              </w:rPr>
              <w:t>100%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404.82%</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285.21%</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86.61%</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129.07%</w:t>
            </w:r>
          </w:p>
        </w:tc>
      </w:tr>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t>应收账款</w:t>
            </w:r>
          </w:p>
        </w:tc>
        <w:tc>
          <w:tcPr>
            <w:tcW w:w="1080" w:type="dxa"/>
            <w:tcBorders>
              <w:top w:val="nil"/>
              <w:left w:val="nil"/>
              <w:bottom w:val="nil"/>
              <w:right w:val="nil"/>
            </w:tcBorders>
            <w:shd w:val="clear" w:color="auto" w:fill="auto"/>
            <w:noWrap/>
          </w:tcPr>
          <w:p w:rsidR="00F87A7D" w:rsidRPr="00902ED0" w:rsidRDefault="00F87A7D" w:rsidP="00F87A7D">
            <w:pPr>
              <w:rPr>
                <w:b/>
              </w:rPr>
            </w:pPr>
            <w:r w:rsidRPr="00902ED0">
              <w:rPr>
                <w:rFonts w:ascii="宋体" w:cs="宋体" w:hint="eastAsia"/>
                <w:b/>
                <w:kern w:val="0"/>
                <w:szCs w:val="21"/>
              </w:rPr>
              <w:t>100%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148.18%</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30.46%</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164.75%</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69.51%</w:t>
            </w:r>
          </w:p>
        </w:tc>
      </w:tr>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t>预付账款</w:t>
            </w:r>
          </w:p>
        </w:tc>
        <w:tc>
          <w:tcPr>
            <w:tcW w:w="1080" w:type="dxa"/>
            <w:tcBorders>
              <w:top w:val="nil"/>
              <w:left w:val="nil"/>
              <w:bottom w:val="nil"/>
              <w:right w:val="nil"/>
            </w:tcBorders>
            <w:shd w:val="clear" w:color="auto" w:fill="auto"/>
            <w:noWrap/>
          </w:tcPr>
          <w:p w:rsidR="00F87A7D" w:rsidRPr="00902ED0" w:rsidRDefault="00F87A7D" w:rsidP="00F87A7D">
            <w:pPr>
              <w:rPr>
                <w:b/>
              </w:rPr>
            </w:pPr>
            <w:r w:rsidRPr="00902ED0">
              <w:rPr>
                <w:rFonts w:ascii="宋体" w:cs="宋体" w:hint="eastAsia"/>
                <w:b/>
                <w:kern w:val="0"/>
                <w:szCs w:val="21"/>
              </w:rPr>
              <w:t>100%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77.54%</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247.57%</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128.07%</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180.44%</w:t>
            </w:r>
          </w:p>
        </w:tc>
      </w:tr>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t>存货</w:t>
            </w:r>
          </w:p>
        </w:tc>
        <w:tc>
          <w:tcPr>
            <w:tcW w:w="1080" w:type="dxa"/>
            <w:tcBorders>
              <w:top w:val="nil"/>
              <w:left w:val="nil"/>
              <w:bottom w:val="nil"/>
              <w:right w:val="nil"/>
            </w:tcBorders>
            <w:shd w:val="clear" w:color="auto" w:fill="auto"/>
            <w:noWrap/>
          </w:tcPr>
          <w:p w:rsidR="00F87A7D" w:rsidRPr="00902ED0" w:rsidRDefault="00F87A7D" w:rsidP="00F87A7D">
            <w:pPr>
              <w:rPr>
                <w:b/>
              </w:rPr>
            </w:pPr>
            <w:r w:rsidRPr="00902ED0">
              <w:rPr>
                <w:rFonts w:ascii="宋体" w:cs="宋体" w:hint="eastAsia"/>
                <w:b/>
                <w:kern w:val="0"/>
                <w:szCs w:val="21"/>
              </w:rPr>
              <w:t>100%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80.50%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247.62%</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123.64%</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271.76%</w:t>
            </w:r>
          </w:p>
        </w:tc>
      </w:tr>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t>流动资产合计</w:t>
            </w:r>
          </w:p>
        </w:tc>
        <w:tc>
          <w:tcPr>
            <w:tcW w:w="1080" w:type="dxa"/>
            <w:tcBorders>
              <w:top w:val="nil"/>
              <w:left w:val="nil"/>
              <w:bottom w:val="nil"/>
              <w:right w:val="nil"/>
            </w:tcBorders>
            <w:shd w:val="clear" w:color="auto" w:fill="auto"/>
            <w:noWrap/>
          </w:tcPr>
          <w:p w:rsidR="00F87A7D" w:rsidRPr="00902ED0" w:rsidRDefault="00F87A7D" w:rsidP="00F87A7D">
            <w:pPr>
              <w:rPr>
                <w:b/>
              </w:rPr>
            </w:pPr>
            <w:r w:rsidRPr="00902ED0">
              <w:rPr>
                <w:rFonts w:ascii="宋体" w:cs="宋体" w:hint="eastAsia"/>
                <w:b/>
                <w:kern w:val="0"/>
                <w:szCs w:val="21"/>
              </w:rPr>
              <w:t>100%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144.28%</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92.33%</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68.10%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69.23%</w:t>
            </w:r>
          </w:p>
        </w:tc>
      </w:tr>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t>长期股权投资</w:t>
            </w:r>
          </w:p>
        </w:tc>
        <w:tc>
          <w:tcPr>
            <w:tcW w:w="1080" w:type="dxa"/>
            <w:tcBorders>
              <w:top w:val="nil"/>
              <w:left w:val="nil"/>
              <w:bottom w:val="nil"/>
              <w:right w:val="nil"/>
            </w:tcBorders>
            <w:shd w:val="clear" w:color="auto" w:fill="auto"/>
            <w:noWrap/>
          </w:tcPr>
          <w:p w:rsidR="00F87A7D" w:rsidRPr="00902ED0" w:rsidRDefault="00F87A7D" w:rsidP="00F87A7D">
            <w:pPr>
              <w:rPr>
                <w:b/>
              </w:rPr>
            </w:pPr>
            <w:r w:rsidRPr="00902ED0">
              <w:rPr>
                <w:rFonts w:ascii="宋体" w:cs="宋体" w:hint="eastAsia"/>
                <w:b/>
                <w:kern w:val="0"/>
                <w:szCs w:val="21"/>
              </w:rPr>
              <w:t>100%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100.01%</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162.81%</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194.40%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197.97%</w:t>
            </w:r>
          </w:p>
        </w:tc>
      </w:tr>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t>固定资产</w:t>
            </w:r>
          </w:p>
        </w:tc>
        <w:tc>
          <w:tcPr>
            <w:tcW w:w="1080" w:type="dxa"/>
            <w:tcBorders>
              <w:top w:val="nil"/>
              <w:left w:val="nil"/>
              <w:bottom w:val="nil"/>
              <w:right w:val="nil"/>
            </w:tcBorders>
            <w:shd w:val="clear" w:color="auto" w:fill="auto"/>
            <w:noWrap/>
          </w:tcPr>
          <w:p w:rsidR="00F87A7D" w:rsidRPr="00902ED0" w:rsidRDefault="00F87A7D" w:rsidP="00F87A7D">
            <w:pPr>
              <w:rPr>
                <w:b/>
              </w:rPr>
            </w:pPr>
            <w:r w:rsidRPr="00902ED0">
              <w:rPr>
                <w:rFonts w:ascii="宋体" w:cs="宋体" w:hint="eastAsia"/>
                <w:b/>
                <w:kern w:val="0"/>
                <w:szCs w:val="21"/>
              </w:rPr>
              <w:t>100%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88.97%</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79.27%</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75.40%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65.84%</w:t>
            </w:r>
          </w:p>
        </w:tc>
      </w:tr>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t>资产总计</w:t>
            </w:r>
          </w:p>
        </w:tc>
        <w:tc>
          <w:tcPr>
            <w:tcW w:w="1080" w:type="dxa"/>
            <w:tcBorders>
              <w:top w:val="nil"/>
              <w:left w:val="nil"/>
              <w:bottom w:val="nil"/>
              <w:right w:val="nil"/>
            </w:tcBorders>
            <w:shd w:val="clear" w:color="auto" w:fill="auto"/>
            <w:noWrap/>
          </w:tcPr>
          <w:p w:rsidR="00F87A7D" w:rsidRPr="00902ED0" w:rsidRDefault="00F87A7D" w:rsidP="00F87A7D">
            <w:pPr>
              <w:rPr>
                <w:b/>
              </w:rPr>
            </w:pPr>
            <w:r w:rsidRPr="00902ED0">
              <w:rPr>
                <w:rFonts w:ascii="宋体" w:cs="宋体" w:hint="eastAsia"/>
                <w:b/>
                <w:kern w:val="0"/>
                <w:szCs w:val="21"/>
              </w:rPr>
              <w:t>100%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113.55%</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137.14%</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149.72%</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151.99%</w:t>
            </w:r>
          </w:p>
        </w:tc>
      </w:tr>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t>应付账款</w:t>
            </w:r>
          </w:p>
        </w:tc>
        <w:tc>
          <w:tcPr>
            <w:tcW w:w="1080" w:type="dxa"/>
            <w:tcBorders>
              <w:top w:val="nil"/>
              <w:left w:val="nil"/>
              <w:bottom w:val="nil"/>
              <w:right w:val="nil"/>
            </w:tcBorders>
            <w:shd w:val="clear" w:color="auto" w:fill="auto"/>
            <w:noWrap/>
          </w:tcPr>
          <w:p w:rsidR="00F87A7D" w:rsidRPr="00902ED0" w:rsidRDefault="00F87A7D" w:rsidP="00F87A7D">
            <w:pPr>
              <w:rPr>
                <w:b/>
              </w:rPr>
            </w:pPr>
            <w:r w:rsidRPr="00902ED0">
              <w:rPr>
                <w:rFonts w:ascii="宋体" w:cs="宋体" w:hint="eastAsia"/>
                <w:b/>
                <w:kern w:val="0"/>
                <w:szCs w:val="21"/>
              </w:rPr>
              <w:t>100%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129.06%</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306.56%</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250.83%</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117.51%</w:t>
            </w:r>
          </w:p>
        </w:tc>
      </w:tr>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t>其他应付款</w:t>
            </w:r>
          </w:p>
        </w:tc>
        <w:tc>
          <w:tcPr>
            <w:tcW w:w="1080" w:type="dxa"/>
            <w:tcBorders>
              <w:top w:val="nil"/>
              <w:left w:val="nil"/>
              <w:bottom w:val="nil"/>
              <w:right w:val="nil"/>
            </w:tcBorders>
            <w:shd w:val="clear" w:color="auto" w:fill="auto"/>
            <w:noWrap/>
          </w:tcPr>
          <w:p w:rsidR="00F87A7D" w:rsidRPr="00902ED0" w:rsidRDefault="00F87A7D" w:rsidP="00F87A7D">
            <w:pPr>
              <w:rPr>
                <w:b/>
              </w:rPr>
            </w:pPr>
            <w:r w:rsidRPr="00902ED0">
              <w:rPr>
                <w:rFonts w:ascii="宋体" w:cs="宋体" w:hint="eastAsia"/>
                <w:b/>
                <w:kern w:val="0"/>
                <w:szCs w:val="21"/>
              </w:rPr>
              <w:t>100%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418.70%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462.94%</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311.36%</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730.27%</w:t>
            </w:r>
          </w:p>
        </w:tc>
      </w:tr>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t>流动负债合计</w:t>
            </w:r>
          </w:p>
        </w:tc>
        <w:tc>
          <w:tcPr>
            <w:tcW w:w="1080" w:type="dxa"/>
            <w:tcBorders>
              <w:top w:val="nil"/>
              <w:left w:val="nil"/>
              <w:bottom w:val="nil"/>
              <w:right w:val="nil"/>
            </w:tcBorders>
            <w:shd w:val="clear" w:color="auto" w:fill="auto"/>
            <w:noWrap/>
          </w:tcPr>
          <w:p w:rsidR="00F87A7D" w:rsidRPr="00902ED0" w:rsidRDefault="00F87A7D" w:rsidP="00F87A7D">
            <w:pPr>
              <w:rPr>
                <w:b/>
              </w:rPr>
            </w:pPr>
            <w:r w:rsidRPr="00902ED0">
              <w:rPr>
                <w:rFonts w:ascii="宋体" w:cs="宋体" w:hint="eastAsia"/>
                <w:b/>
                <w:kern w:val="0"/>
                <w:szCs w:val="21"/>
              </w:rPr>
              <w:t>100%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221.77%</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601.83%</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289.38%</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201.13%</w:t>
            </w:r>
          </w:p>
        </w:tc>
      </w:tr>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lastRenderedPageBreak/>
              <w:t>长期负债合计</w:t>
            </w:r>
          </w:p>
        </w:tc>
        <w:tc>
          <w:tcPr>
            <w:tcW w:w="1080" w:type="dxa"/>
            <w:tcBorders>
              <w:top w:val="nil"/>
              <w:left w:val="nil"/>
              <w:bottom w:val="nil"/>
              <w:right w:val="nil"/>
            </w:tcBorders>
            <w:shd w:val="clear" w:color="auto" w:fill="auto"/>
            <w:noWrap/>
          </w:tcPr>
          <w:p w:rsidR="00F87A7D" w:rsidRPr="00902ED0" w:rsidRDefault="00F87A7D" w:rsidP="00F87A7D">
            <w:pPr>
              <w:rPr>
                <w:b/>
              </w:rPr>
            </w:pPr>
            <w:r w:rsidRPr="00902ED0">
              <w:rPr>
                <w:rFonts w:ascii="宋体" w:cs="宋体" w:hint="eastAsia"/>
                <w:b/>
                <w:kern w:val="0"/>
                <w:szCs w:val="21"/>
              </w:rPr>
              <w:t>100%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228.64%</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135.76%</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108.33%</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118.57%</w:t>
            </w:r>
          </w:p>
        </w:tc>
      </w:tr>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t>负债合计</w:t>
            </w:r>
          </w:p>
        </w:tc>
        <w:tc>
          <w:tcPr>
            <w:tcW w:w="1080" w:type="dxa"/>
            <w:tcBorders>
              <w:top w:val="nil"/>
              <w:left w:val="nil"/>
              <w:bottom w:val="nil"/>
              <w:right w:val="nil"/>
            </w:tcBorders>
            <w:shd w:val="clear" w:color="auto" w:fill="auto"/>
            <w:noWrap/>
          </w:tcPr>
          <w:p w:rsidR="00F87A7D" w:rsidRPr="00902ED0" w:rsidRDefault="00F87A7D" w:rsidP="00F87A7D">
            <w:pPr>
              <w:rPr>
                <w:b/>
              </w:rPr>
            </w:pPr>
            <w:r w:rsidRPr="00902ED0">
              <w:rPr>
                <w:rFonts w:ascii="宋体" w:cs="宋体" w:hint="eastAsia"/>
                <w:b/>
                <w:kern w:val="0"/>
                <w:szCs w:val="21"/>
              </w:rPr>
              <w:t>100%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221.79%</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600.84%</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289.00%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200.95%</w:t>
            </w:r>
          </w:p>
        </w:tc>
      </w:tr>
      <w:tr w:rsidR="00F87A7D" w:rsidRPr="003C5F59">
        <w:trPr>
          <w:trHeight w:val="285"/>
        </w:trPr>
        <w:tc>
          <w:tcPr>
            <w:tcW w:w="2140" w:type="dxa"/>
            <w:tcBorders>
              <w:top w:val="nil"/>
              <w:left w:val="nil"/>
              <w:bottom w:val="nil"/>
              <w:right w:val="nil"/>
            </w:tcBorders>
            <w:shd w:val="clear" w:color="auto" w:fill="auto"/>
            <w:noWrap/>
            <w:vAlign w:val="bottom"/>
          </w:tcPr>
          <w:p w:rsidR="00F87A7D" w:rsidRPr="000241CD" w:rsidRDefault="00F87A7D" w:rsidP="00F87A7D">
            <w:pPr>
              <w:widowControl/>
              <w:jc w:val="left"/>
              <w:rPr>
                <w:rFonts w:ascii="宋体" w:hAnsi="宋体" w:cs="宋体"/>
                <w:b/>
                <w:kern w:val="0"/>
                <w:szCs w:val="21"/>
              </w:rPr>
            </w:pPr>
            <w:r w:rsidRPr="000241CD">
              <w:rPr>
                <w:rFonts w:ascii="宋体" w:hAnsi="宋体" w:cs="宋体" w:hint="eastAsia"/>
                <w:b/>
                <w:kern w:val="0"/>
                <w:szCs w:val="21"/>
              </w:rPr>
              <w:t>股东权益合计</w:t>
            </w:r>
          </w:p>
        </w:tc>
        <w:tc>
          <w:tcPr>
            <w:tcW w:w="1080" w:type="dxa"/>
            <w:tcBorders>
              <w:top w:val="nil"/>
              <w:left w:val="nil"/>
              <w:bottom w:val="nil"/>
              <w:right w:val="nil"/>
            </w:tcBorders>
            <w:shd w:val="clear" w:color="auto" w:fill="auto"/>
            <w:noWrap/>
          </w:tcPr>
          <w:p w:rsidR="00F87A7D" w:rsidRPr="00902ED0" w:rsidRDefault="00F87A7D" w:rsidP="00F87A7D">
            <w:pPr>
              <w:rPr>
                <w:b/>
              </w:rPr>
            </w:pPr>
            <w:r w:rsidRPr="00902ED0">
              <w:rPr>
                <w:rFonts w:ascii="宋体" w:cs="宋体" w:hint="eastAsia"/>
                <w:b/>
                <w:kern w:val="0"/>
                <w:szCs w:val="21"/>
              </w:rPr>
              <w:t>100%</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109.69%</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120.61%</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144.75%</w:t>
            </w:r>
          </w:p>
        </w:tc>
        <w:tc>
          <w:tcPr>
            <w:tcW w:w="1080" w:type="dxa"/>
            <w:tcBorders>
              <w:top w:val="nil"/>
              <w:left w:val="nil"/>
              <w:bottom w:val="nil"/>
              <w:right w:val="nil"/>
            </w:tcBorders>
            <w:shd w:val="clear" w:color="auto" w:fill="auto"/>
            <w:noWrap/>
            <w:vAlign w:val="bottom"/>
          </w:tcPr>
          <w:p w:rsidR="00F87A7D" w:rsidRPr="00902ED0" w:rsidRDefault="00F87A7D" w:rsidP="00F87A7D">
            <w:pPr>
              <w:jc w:val="right"/>
              <w:rPr>
                <w:rFonts w:ascii="宋体" w:hAnsi="宋体" w:cs="宋体"/>
                <w:b/>
                <w:sz w:val="24"/>
              </w:rPr>
            </w:pPr>
            <w:r w:rsidRPr="00902ED0">
              <w:rPr>
                <w:rFonts w:hint="eastAsia"/>
                <w:b/>
              </w:rPr>
              <w:t>150.24%</w:t>
            </w:r>
          </w:p>
        </w:tc>
      </w:tr>
    </w:tbl>
    <w:p w:rsidR="00F87A7D" w:rsidRDefault="00F87A7D" w:rsidP="00F87A7D">
      <w:pPr>
        <w:autoSpaceDE w:val="0"/>
        <w:autoSpaceDN w:val="0"/>
        <w:adjustRightInd w:val="0"/>
        <w:ind w:firstLineChars="245" w:firstLine="517"/>
        <w:jc w:val="left"/>
        <w:rPr>
          <w:rFonts w:ascii="宋体" w:cs="宋体"/>
          <w:b/>
          <w:kern w:val="0"/>
          <w:szCs w:val="21"/>
        </w:rPr>
      </w:pPr>
    </w:p>
    <w:p w:rsidR="000241CD" w:rsidRPr="000241CD" w:rsidRDefault="000241CD" w:rsidP="00F87A7D">
      <w:pPr>
        <w:autoSpaceDE w:val="0"/>
        <w:autoSpaceDN w:val="0"/>
        <w:adjustRightInd w:val="0"/>
        <w:ind w:firstLineChars="245" w:firstLine="517"/>
        <w:jc w:val="left"/>
        <w:rPr>
          <w:rFonts w:ascii="宋体" w:cs="宋体"/>
          <w:b/>
          <w:kern w:val="0"/>
          <w:szCs w:val="21"/>
        </w:rPr>
      </w:pPr>
      <w:r w:rsidRPr="000241CD">
        <w:rPr>
          <w:rFonts w:ascii="宋体" w:cs="宋体" w:hint="eastAsia"/>
          <w:b/>
          <w:kern w:val="0"/>
          <w:szCs w:val="21"/>
        </w:rPr>
        <w:t>由</w:t>
      </w:r>
      <w:r w:rsidR="00F87A7D">
        <w:rPr>
          <w:rFonts w:ascii="宋体" w:cs="宋体" w:hint="eastAsia"/>
          <w:b/>
          <w:kern w:val="0"/>
          <w:szCs w:val="21"/>
        </w:rPr>
        <w:t>以</w:t>
      </w:r>
      <w:r w:rsidRPr="000241CD">
        <w:rPr>
          <w:rFonts w:ascii="宋体" w:cs="宋体" w:hint="eastAsia"/>
          <w:b/>
          <w:kern w:val="0"/>
          <w:szCs w:val="21"/>
        </w:rPr>
        <w:t>上</w:t>
      </w:r>
      <w:r w:rsidR="00F87A7D">
        <w:rPr>
          <w:rFonts w:ascii="宋体" w:cs="宋体" w:hint="eastAsia"/>
          <w:b/>
          <w:kern w:val="0"/>
          <w:szCs w:val="21"/>
        </w:rPr>
        <w:t>两张定基</w:t>
      </w:r>
      <w:r w:rsidRPr="000241CD">
        <w:rPr>
          <w:rFonts w:ascii="宋体" w:cs="宋体" w:hint="eastAsia"/>
          <w:b/>
          <w:kern w:val="0"/>
          <w:szCs w:val="21"/>
        </w:rPr>
        <w:t>趋势分析表可以发现：</w:t>
      </w:r>
    </w:p>
    <w:p w:rsidR="00600A50" w:rsidRPr="00E93B2A" w:rsidRDefault="000241CD" w:rsidP="00783238">
      <w:pPr>
        <w:autoSpaceDE w:val="0"/>
        <w:autoSpaceDN w:val="0"/>
        <w:adjustRightInd w:val="0"/>
        <w:ind w:firstLineChars="245" w:firstLine="517"/>
        <w:jc w:val="left"/>
        <w:rPr>
          <w:rFonts w:ascii="宋体" w:cs="宋体"/>
          <w:b/>
          <w:kern w:val="0"/>
          <w:szCs w:val="21"/>
        </w:rPr>
      </w:pPr>
      <w:r w:rsidRPr="000241CD">
        <w:rPr>
          <w:b/>
          <w:kern w:val="0"/>
          <w:szCs w:val="21"/>
        </w:rPr>
        <w:t>1 .</w:t>
      </w:r>
      <w:r w:rsidRPr="000241CD">
        <w:rPr>
          <w:rFonts w:ascii="宋体" w:cs="宋体" w:hint="eastAsia"/>
          <w:b/>
          <w:kern w:val="0"/>
          <w:szCs w:val="21"/>
        </w:rPr>
        <w:t>青岛海尔的主营业务收人自</w:t>
      </w:r>
      <w:r w:rsidRPr="000241CD">
        <w:rPr>
          <w:b/>
          <w:kern w:val="0"/>
          <w:szCs w:val="21"/>
        </w:rPr>
        <w:t>20</w:t>
      </w:r>
      <w:r>
        <w:rPr>
          <w:rFonts w:hint="eastAsia"/>
          <w:b/>
          <w:kern w:val="0"/>
          <w:szCs w:val="21"/>
        </w:rPr>
        <w:t>08</w:t>
      </w:r>
      <w:r w:rsidRPr="000241CD">
        <w:rPr>
          <w:rFonts w:ascii="宋体" w:cs="宋体" w:hint="eastAsia"/>
          <w:b/>
          <w:kern w:val="0"/>
          <w:szCs w:val="21"/>
        </w:rPr>
        <w:t>年起稳中有升，特别是在</w:t>
      </w:r>
      <w:r w:rsidRPr="000241CD">
        <w:rPr>
          <w:b/>
          <w:kern w:val="0"/>
          <w:szCs w:val="21"/>
        </w:rPr>
        <w:t>20</w:t>
      </w:r>
      <w:r>
        <w:rPr>
          <w:rFonts w:hint="eastAsia"/>
          <w:b/>
          <w:kern w:val="0"/>
          <w:szCs w:val="21"/>
        </w:rPr>
        <w:t>10</w:t>
      </w:r>
      <w:r w:rsidRPr="000241CD">
        <w:rPr>
          <w:rFonts w:ascii="宋体" w:cs="宋体" w:hint="eastAsia"/>
          <w:b/>
          <w:kern w:val="0"/>
          <w:szCs w:val="21"/>
        </w:rPr>
        <w:t>年和</w:t>
      </w:r>
      <w:r w:rsidRPr="000241CD">
        <w:rPr>
          <w:b/>
          <w:kern w:val="0"/>
          <w:szCs w:val="21"/>
        </w:rPr>
        <w:t>20</w:t>
      </w:r>
      <w:r>
        <w:rPr>
          <w:rFonts w:hint="eastAsia"/>
          <w:b/>
          <w:kern w:val="0"/>
          <w:szCs w:val="21"/>
        </w:rPr>
        <w:t>11</w:t>
      </w:r>
      <w:r w:rsidRPr="000241CD">
        <w:rPr>
          <w:rFonts w:ascii="宋体" w:cs="宋体" w:hint="eastAsia"/>
          <w:b/>
          <w:kern w:val="0"/>
          <w:szCs w:val="21"/>
        </w:rPr>
        <w:t>年有较大幅度的增长，但考虑到前述会计分析中提到青岛海尔</w:t>
      </w:r>
      <w:r w:rsidR="00F87A7D">
        <w:rPr>
          <w:rFonts w:ascii="宋体" w:cs="宋体" w:hint="eastAsia"/>
          <w:b/>
          <w:kern w:val="0"/>
          <w:szCs w:val="21"/>
        </w:rPr>
        <w:t>收入受诸多因素的影响以及本身收入政策确认的弹性，</w:t>
      </w:r>
      <w:r w:rsidRPr="000241CD">
        <w:rPr>
          <w:rFonts w:ascii="宋体" w:cs="宋体" w:hint="eastAsia"/>
          <w:b/>
          <w:kern w:val="0"/>
          <w:szCs w:val="21"/>
        </w:rPr>
        <w:t>因此，</w:t>
      </w:r>
      <w:r w:rsidR="00F87A7D">
        <w:rPr>
          <w:rFonts w:ascii="宋体" w:cs="宋体" w:hint="eastAsia"/>
          <w:b/>
          <w:kern w:val="0"/>
          <w:szCs w:val="21"/>
        </w:rPr>
        <w:t>我们合理</w:t>
      </w:r>
      <w:r w:rsidR="0073413C">
        <w:rPr>
          <w:rFonts w:ascii="宋体" w:cs="宋体" w:hint="eastAsia"/>
          <w:b/>
          <w:kern w:val="0"/>
          <w:szCs w:val="21"/>
        </w:rPr>
        <w:t>推测</w:t>
      </w:r>
      <w:r w:rsidRPr="000241CD">
        <w:rPr>
          <w:rFonts w:ascii="宋体" w:cs="宋体" w:hint="eastAsia"/>
          <w:b/>
          <w:kern w:val="0"/>
          <w:szCs w:val="21"/>
        </w:rPr>
        <w:t>青岛海尔的主营业务收人增长似乎包含水分。与销售收人的稳中有升相比，青岛海尔的应收账款净额</w:t>
      </w:r>
      <w:r w:rsidR="00F87A7D">
        <w:rPr>
          <w:rFonts w:ascii="宋体" w:cs="宋体" w:hint="eastAsia"/>
          <w:b/>
          <w:kern w:val="0"/>
          <w:szCs w:val="21"/>
        </w:rPr>
        <w:t>增长速度却明显增速过快，且呈现不稳定的波动态势，</w:t>
      </w:r>
      <w:r w:rsidR="00E93B2A">
        <w:rPr>
          <w:rFonts w:ascii="宋体" w:cs="宋体" w:hint="eastAsia"/>
          <w:b/>
          <w:kern w:val="0"/>
          <w:szCs w:val="21"/>
        </w:rPr>
        <w:t>从而呈现与营业收入增长不匹配的异常现象。</w:t>
      </w:r>
      <w:r w:rsidR="00600A50">
        <w:rPr>
          <w:rFonts w:ascii="宋体" w:cs="宋体" w:hint="eastAsia"/>
          <w:b/>
          <w:kern w:val="0"/>
          <w:szCs w:val="21"/>
        </w:rPr>
        <w:t>从经营角度考虑出发，应收账款变动可能出于以下原因：</w:t>
      </w:r>
      <w:r w:rsidR="003242A6">
        <w:rPr>
          <w:rFonts w:ascii="宋体" w:cs="宋体" w:hint="eastAsia"/>
          <w:b/>
          <w:kern w:val="0"/>
          <w:szCs w:val="21"/>
        </w:rPr>
        <w:t>①企业销售规模变动导致应收账款变动；②企业信用政策的改变，当企业实行比较严格的信用政策时，应收账款的规模就会小些；反之，则大些；③企业应收账款政策不当或收账工作执行不力；④应收账款质量有瑕疵，存在长期挂账且收回的可能性较小，或客户暂时发生清偿困难，暂时难以偿还所欠账款。</w:t>
      </w:r>
      <w:r w:rsidR="00E93B2A">
        <w:rPr>
          <w:rFonts w:ascii="宋体" w:cs="宋体" w:hint="eastAsia"/>
          <w:b/>
          <w:kern w:val="0"/>
          <w:szCs w:val="21"/>
        </w:rPr>
        <w:t>由于青岛海尔对此的解释信息披露不充分，所以我们难以准确给出原因。但根据前述的会计分析，我们推断应该主要是第二种和第四种可能。</w:t>
      </w:r>
      <w:r w:rsidR="00527E8E">
        <w:rPr>
          <w:rFonts w:ascii="宋体" w:cs="宋体" w:hint="eastAsia"/>
          <w:b/>
          <w:kern w:val="0"/>
          <w:szCs w:val="21"/>
        </w:rPr>
        <w:t>因此，我们一方面怀疑青岛海尔收入的真实性，一方面怀疑其应收账款的质量。</w:t>
      </w:r>
    </w:p>
    <w:p w:rsidR="00783238" w:rsidRPr="000241CD" w:rsidRDefault="000241CD" w:rsidP="00A1627A">
      <w:pPr>
        <w:autoSpaceDE w:val="0"/>
        <w:autoSpaceDN w:val="0"/>
        <w:adjustRightInd w:val="0"/>
        <w:ind w:firstLineChars="196" w:firstLine="413"/>
        <w:jc w:val="left"/>
        <w:rPr>
          <w:rFonts w:ascii="宋体" w:cs="宋体"/>
          <w:b/>
          <w:kern w:val="0"/>
          <w:szCs w:val="21"/>
        </w:rPr>
      </w:pPr>
      <w:r w:rsidRPr="000241CD">
        <w:rPr>
          <w:b/>
          <w:kern w:val="0"/>
          <w:szCs w:val="21"/>
        </w:rPr>
        <w:t>2 .</w:t>
      </w:r>
      <w:r w:rsidR="006119D6">
        <w:rPr>
          <w:rFonts w:ascii="宋体" w:cs="宋体" w:hint="eastAsia"/>
          <w:b/>
          <w:kern w:val="0"/>
          <w:szCs w:val="21"/>
        </w:rPr>
        <w:t>与营业收入增速相比，营业成本</w:t>
      </w:r>
      <w:r w:rsidR="002D70A6">
        <w:rPr>
          <w:rFonts w:ascii="宋体" w:cs="宋体" w:hint="eastAsia"/>
          <w:b/>
          <w:kern w:val="0"/>
          <w:szCs w:val="21"/>
        </w:rPr>
        <w:t>基本</w:t>
      </w:r>
      <w:r w:rsidR="006119D6">
        <w:rPr>
          <w:rFonts w:ascii="宋体" w:cs="宋体" w:hint="eastAsia"/>
          <w:b/>
          <w:kern w:val="0"/>
          <w:szCs w:val="21"/>
        </w:rPr>
        <w:t>与其保持匹配的增速</w:t>
      </w:r>
      <w:r w:rsidR="002D70A6">
        <w:rPr>
          <w:rFonts w:ascii="宋体" w:cs="宋体" w:hint="eastAsia"/>
          <w:b/>
          <w:kern w:val="0"/>
          <w:szCs w:val="21"/>
        </w:rPr>
        <w:t>。比较特殊的是2012年，营业成本增速明显低于营业收入，其背后的会计处理值得怀疑</w:t>
      </w:r>
      <w:r w:rsidR="00D31218">
        <w:rPr>
          <w:rFonts w:ascii="宋体" w:cs="宋体" w:hint="eastAsia"/>
          <w:b/>
          <w:kern w:val="0"/>
          <w:szCs w:val="21"/>
        </w:rPr>
        <w:t>，尤其是</w:t>
      </w:r>
      <w:r w:rsidR="002D70A6">
        <w:rPr>
          <w:rFonts w:ascii="宋体" w:cs="宋体" w:hint="eastAsia"/>
          <w:b/>
          <w:kern w:val="0"/>
          <w:szCs w:val="21"/>
        </w:rPr>
        <w:t>是否存在</w:t>
      </w:r>
      <w:r w:rsidR="00D31218">
        <w:rPr>
          <w:rFonts w:ascii="宋体" w:cs="宋体" w:hint="eastAsia"/>
          <w:b/>
          <w:kern w:val="0"/>
          <w:szCs w:val="21"/>
        </w:rPr>
        <w:t>“操纵存货”以进行盈余管理的嫌疑？</w:t>
      </w:r>
    </w:p>
    <w:p w:rsidR="00637E41" w:rsidRDefault="000241CD" w:rsidP="00637E41">
      <w:pPr>
        <w:autoSpaceDE w:val="0"/>
        <w:autoSpaceDN w:val="0"/>
        <w:adjustRightInd w:val="0"/>
        <w:ind w:firstLineChars="196" w:firstLine="413"/>
        <w:jc w:val="left"/>
        <w:rPr>
          <w:b/>
          <w:kern w:val="0"/>
          <w:szCs w:val="21"/>
        </w:rPr>
      </w:pPr>
      <w:r w:rsidRPr="000241CD">
        <w:rPr>
          <w:b/>
          <w:kern w:val="0"/>
          <w:szCs w:val="21"/>
        </w:rPr>
        <w:t>3 .</w:t>
      </w:r>
      <w:r w:rsidR="00534A33">
        <w:rPr>
          <w:rFonts w:hint="eastAsia"/>
          <w:b/>
          <w:kern w:val="0"/>
          <w:szCs w:val="21"/>
        </w:rPr>
        <w:t>青岛海尔的销售费用增速明显低于营业收入的增速，</w:t>
      </w:r>
      <w:r w:rsidR="001C12C4">
        <w:rPr>
          <w:rFonts w:hint="eastAsia"/>
          <w:b/>
          <w:kern w:val="0"/>
          <w:szCs w:val="21"/>
        </w:rPr>
        <w:t>同时营业利润增大，这大概有两个原因。一是表明青岛海尔经营业务呈上升趋势，产品市场需求较大，同时其费用控制制度执行有效；二是青岛海尔在销售费用上会计处理可能存在不适当之处。</w:t>
      </w:r>
      <w:r w:rsidR="00DC1A7B">
        <w:rPr>
          <w:rFonts w:hint="eastAsia"/>
          <w:b/>
          <w:kern w:val="0"/>
          <w:szCs w:val="21"/>
        </w:rPr>
        <w:t>在这里我们将青岛海尔的销售费用划分为三大类：第一类与其业务活动有关，包括运输费用、销售佣金、广告宣传费用等；第二类与企业从事销售活动人员的待遇有关；第三类与企业的未来发展、开拓市场、扩大品牌的知名度有关。从青岛海尔对上述各类费用的有效控制来看，尽管对诸如广告费和营销人员的薪酬等可以采取控制或降低其规模，但是这种措施不利于其长远发展。因此</w:t>
      </w:r>
      <w:r w:rsidR="008B706A">
        <w:rPr>
          <w:rFonts w:hint="eastAsia"/>
          <w:b/>
          <w:kern w:val="0"/>
          <w:szCs w:val="21"/>
        </w:rPr>
        <w:t>，在青岛海尔业务发展和家电行业竞争激烈的背景下，难以想象其销售费用会下降。</w:t>
      </w:r>
      <w:r w:rsidR="00637E41">
        <w:rPr>
          <w:rFonts w:hint="eastAsia"/>
          <w:b/>
          <w:kern w:val="0"/>
          <w:szCs w:val="21"/>
        </w:rPr>
        <w:t>此外，如果是第一种原因，这本身是对业务快速发展的一种反应，青岛海尔应该很乐意披露相关状况，而我们在其财务报告中却看不到关于销售费用的详细解释。综合正反两方面的分析，我们认为第二种可能性比较大。对于青岛海尔可能选用的不恰当会计处理，我们推测大概有以下几种可能手法：①将部分销售费用资本化；②将本该当期全部确认为销售费用的广告支出采取分期摊销的处理；③将销售费用入账时间推迟，即以收付</w:t>
      </w:r>
      <w:r w:rsidR="00CD7816">
        <w:rPr>
          <w:rFonts w:hint="eastAsia"/>
          <w:b/>
          <w:kern w:val="0"/>
          <w:szCs w:val="21"/>
        </w:rPr>
        <w:t>实现制作为其入账规则；④对后续产品质量采取不确认预计负债的处理；⑤利用关联关系操纵销售费用规模。</w:t>
      </w:r>
    </w:p>
    <w:p w:rsidR="00C33E99" w:rsidRDefault="00C33E99" w:rsidP="00B609AE">
      <w:pPr>
        <w:autoSpaceDE w:val="0"/>
        <w:autoSpaceDN w:val="0"/>
        <w:adjustRightInd w:val="0"/>
        <w:ind w:firstLineChars="196" w:firstLine="413"/>
        <w:jc w:val="left"/>
        <w:rPr>
          <w:b/>
          <w:kern w:val="0"/>
          <w:szCs w:val="21"/>
        </w:rPr>
      </w:pPr>
      <w:r>
        <w:rPr>
          <w:rFonts w:hint="eastAsia"/>
          <w:b/>
          <w:kern w:val="0"/>
          <w:szCs w:val="21"/>
        </w:rPr>
        <w:t xml:space="preserve">4 </w:t>
      </w:r>
      <w:r>
        <w:rPr>
          <w:rFonts w:hint="eastAsia"/>
          <w:b/>
          <w:kern w:val="0"/>
          <w:szCs w:val="21"/>
        </w:rPr>
        <w:t>青岛海尔的管理费用增速较快，我们认为这是正常的，并且与销售费用相比，可能更加真实的反映了其运营状况。这种判断一方面基于前述部分的分析，青岛海尔业务不断拓展，研发支出重点投入；另一方面，从其财务报告中看以看出，青岛海尔的并购活动相对比较频繁，管理费用支出应当大幅度增长。</w:t>
      </w:r>
    </w:p>
    <w:p w:rsidR="001C246D" w:rsidRDefault="00B609AE" w:rsidP="00DB4054">
      <w:pPr>
        <w:autoSpaceDE w:val="0"/>
        <w:autoSpaceDN w:val="0"/>
        <w:adjustRightInd w:val="0"/>
        <w:ind w:firstLineChars="196" w:firstLine="413"/>
        <w:jc w:val="left"/>
        <w:rPr>
          <w:b/>
          <w:kern w:val="0"/>
          <w:szCs w:val="21"/>
        </w:rPr>
      </w:pPr>
      <w:r>
        <w:rPr>
          <w:rFonts w:hint="eastAsia"/>
          <w:b/>
          <w:kern w:val="0"/>
          <w:szCs w:val="21"/>
        </w:rPr>
        <w:t xml:space="preserve">5 </w:t>
      </w:r>
      <w:r>
        <w:rPr>
          <w:rFonts w:hint="eastAsia"/>
          <w:b/>
          <w:kern w:val="0"/>
          <w:szCs w:val="21"/>
        </w:rPr>
        <w:t>青岛海尔的资产减值损失</w:t>
      </w:r>
      <w:r w:rsidR="009136CB">
        <w:rPr>
          <w:rFonts w:hint="eastAsia"/>
          <w:b/>
          <w:kern w:val="0"/>
          <w:szCs w:val="21"/>
        </w:rPr>
        <w:t>波动异常，这表现在先是减值准备大量计提，随后又大额转回，并且在</w:t>
      </w:r>
      <w:r w:rsidR="009136CB">
        <w:rPr>
          <w:rFonts w:hint="eastAsia"/>
          <w:b/>
          <w:kern w:val="0"/>
          <w:szCs w:val="21"/>
        </w:rPr>
        <w:t>2010</w:t>
      </w:r>
      <w:r w:rsidR="009136CB">
        <w:rPr>
          <w:rFonts w:hint="eastAsia"/>
          <w:b/>
          <w:kern w:val="0"/>
          <w:szCs w:val="21"/>
        </w:rPr>
        <w:t>年和</w:t>
      </w:r>
      <w:r w:rsidR="009136CB">
        <w:rPr>
          <w:rFonts w:hint="eastAsia"/>
          <w:b/>
          <w:kern w:val="0"/>
          <w:szCs w:val="21"/>
        </w:rPr>
        <w:t>2012</w:t>
      </w:r>
      <w:r w:rsidR="009136CB">
        <w:rPr>
          <w:rFonts w:hint="eastAsia"/>
          <w:b/>
          <w:kern w:val="0"/>
          <w:szCs w:val="21"/>
        </w:rPr>
        <w:t>年出现巨额负值。考查青岛海尔减值准备的构成主要有三类：坏账准备、存货跌价准备和长期股权投资减值准备。我国会计准则规定，前两类减值准备允许转回，</w:t>
      </w:r>
      <w:r w:rsidR="007B0AFC">
        <w:rPr>
          <w:rFonts w:hint="eastAsia"/>
          <w:b/>
          <w:kern w:val="0"/>
          <w:szCs w:val="21"/>
        </w:rPr>
        <w:t>而</w:t>
      </w:r>
      <w:r w:rsidR="009136CB">
        <w:rPr>
          <w:rFonts w:hint="eastAsia"/>
          <w:b/>
          <w:kern w:val="0"/>
          <w:szCs w:val="21"/>
        </w:rPr>
        <w:t>后一种一经计提，不得转回。</w:t>
      </w:r>
      <w:r w:rsidR="007B0AFC">
        <w:rPr>
          <w:rFonts w:hint="eastAsia"/>
          <w:b/>
          <w:kern w:val="0"/>
          <w:szCs w:val="21"/>
        </w:rPr>
        <w:t>因此青岛海尔减值准备的异常变动应该是主要由于前两类引起的。由于资产减值损失计提判断的高度主观性，因此很容易成为企业操纵</w:t>
      </w:r>
      <w:r w:rsidR="007B0AFC">
        <w:rPr>
          <w:rFonts w:hint="eastAsia"/>
          <w:b/>
          <w:kern w:val="0"/>
          <w:szCs w:val="21"/>
        </w:rPr>
        <w:lastRenderedPageBreak/>
        <w:t>利润的工具。</w:t>
      </w:r>
      <w:r w:rsidR="001C246D">
        <w:rPr>
          <w:rFonts w:hint="eastAsia"/>
          <w:b/>
          <w:kern w:val="0"/>
          <w:szCs w:val="21"/>
        </w:rPr>
        <w:t>青岛海尔对存货和应收账款计提巨额减值准备可能出于两方面的原因，一是以前期间有意高估存货成本，二是由于对环境变化而做出适当的反映；三是利用减值准备计提的弹性，打算跨期操纵利润</w:t>
      </w:r>
      <w:r w:rsidR="001C246D">
        <w:rPr>
          <w:rFonts w:hint="eastAsia"/>
          <w:b/>
          <w:kern w:val="0"/>
          <w:szCs w:val="21"/>
        </w:rPr>
        <w:t xml:space="preserve"> </w:t>
      </w:r>
      <w:r w:rsidR="001C246D">
        <w:rPr>
          <w:rFonts w:hint="eastAsia"/>
          <w:b/>
          <w:kern w:val="0"/>
          <w:szCs w:val="21"/>
        </w:rPr>
        <w:t>。考虑到青岛海尔这几年前期一大额计提后期即巨额转回的异常举动，</w:t>
      </w:r>
      <w:r w:rsidR="00DB648D">
        <w:rPr>
          <w:rFonts w:hint="eastAsia"/>
          <w:b/>
          <w:kern w:val="0"/>
          <w:szCs w:val="21"/>
        </w:rPr>
        <w:t>以及青岛海尔并没有在其附注披露中详细解释其会计估计基础和依据以及对这种异常行为作出合理解释，</w:t>
      </w:r>
      <w:r w:rsidR="001C246D">
        <w:rPr>
          <w:rFonts w:hint="eastAsia"/>
          <w:b/>
          <w:kern w:val="0"/>
          <w:szCs w:val="21"/>
        </w:rPr>
        <w:t>我们合理推断</w:t>
      </w:r>
      <w:r w:rsidR="00DB648D">
        <w:rPr>
          <w:rFonts w:hint="eastAsia"/>
          <w:b/>
          <w:kern w:val="0"/>
          <w:szCs w:val="21"/>
        </w:rPr>
        <w:t>青岛海尔应该是滥用</w:t>
      </w:r>
      <w:r w:rsidR="00D92EB7">
        <w:rPr>
          <w:rFonts w:hint="eastAsia"/>
          <w:b/>
          <w:kern w:val="0"/>
          <w:szCs w:val="21"/>
        </w:rPr>
        <w:t>会计估计，</w:t>
      </w:r>
      <w:r w:rsidR="00DB648D">
        <w:rPr>
          <w:rFonts w:hint="eastAsia"/>
          <w:b/>
          <w:kern w:val="0"/>
          <w:szCs w:val="21"/>
        </w:rPr>
        <w:t>有</w:t>
      </w:r>
      <w:r w:rsidR="00D92EB7">
        <w:rPr>
          <w:rFonts w:hint="eastAsia"/>
          <w:b/>
          <w:kern w:val="0"/>
          <w:szCs w:val="21"/>
        </w:rPr>
        <w:t>利用减值准备操纵利润</w:t>
      </w:r>
      <w:r w:rsidR="00DB648D">
        <w:rPr>
          <w:rFonts w:hint="eastAsia"/>
          <w:b/>
          <w:kern w:val="0"/>
          <w:szCs w:val="21"/>
        </w:rPr>
        <w:t>的嫌疑</w:t>
      </w:r>
      <w:r w:rsidR="00D92EB7">
        <w:rPr>
          <w:rFonts w:hint="eastAsia"/>
          <w:b/>
          <w:kern w:val="0"/>
          <w:szCs w:val="21"/>
        </w:rPr>
        <w:t>。</w:t>
      </w:r>
    </w:p>
    <w:p w:rsidR="000241CD" w:rsidRPr="000241CD" w:rsidRDefault="0009578B" w:rsidP="0009578B">
      <w:pPr>
        <w:autoSpaceDE w:val="0"/>
        <w:autoSpaceDN w:val="0"/>
        <w:adjustRightInd w:val="0"/>
        <w:ind w:firstLineChars="196" w:firstLine="413"/>
        <w:jc w:val="left"/>
        <w:rPr>
          <w:rFonts w:ascii="宋体" w:cs="宋体"/>
          <w:b/>
          <w:kern w:val="0"/>
          <w:szCs w:val="21"/>
        </w:rPr>
      </w:pPr>
      <w:r>
        <w:rPr>
          <w:rFonts w:hint="eastAsia"/>
          <w:b/>
          <w:kern w:val="0"/>
          <w:szCs w:val="21"/>
        </w:rPr>
        <w:t>6</w:t>
      </w:r>
      <w:r w:rsidR="000241CD" w:rsidRPr="000241CD">
        <w:rPr>
          <w:b/>
          <w:kern w:val="0"/>
          <w:szCs w:val="21"/>
        </w:rPr>
        <w:t xml:space="preserve"> .</w:t>
      </w:r>
      <w:r w:rsidR="000241CD" w:rsidRPr="000241CD">
        <w:rPr>
          <w:rFonts w:ascii="宋体" w:cs="宋体" w:hint="eastAsia"/>
          <w:b/>
          <w:kern w:val="0"/>
          <w:szCs w:val="21"/>
        </w:rPr>
        <w:t>青岛海尔总资产规模</w:t>
      </w:r>
      <w:r>
        <w:rPr>
          <w:rFonts w:ascii="宋体" w:cs="宋体" w:hint="eastAsia"/>
          <w:b/>
          <w:kern w:val="0"/>
          <w:szCs w:val="21"/>
        </w:rPr>
        <w:t>增长相对较快，而流动资产规模则呈现下降趋势。</w:t>
      </w:r>
      <w:r w:rsidR="000241CD" w:rsidRPr="000241CD">
        <w:rPr>
          <w:rFonts w:ascii="宋体" w:cs="宋体" w:hint="eastAsia"/>
          <w:b/>
          <w:kern w:val="0"/>
          <w:szCs w:val="21"/>
        </w:rPr>
        <w:t>在流动资产中，公司应收票据增长迅速，主要是因为通过票据结算的业务量增大，导致银行承兑汇票增加；</w:t>
      </w:r>
      <w:r>
        <w:rPr>
          <w:rFonts w:ascii="宋体" w:cs="宋体" w:hint="eastAsia"/>
          <w:b/>
          <w:kern w:val="0"/>
          <w:szCs w:val="21"/>
        </w:rPr>
        <w:t>应收账款变化波动比较大，而预收账款则呈现高速增长</w:t>
      </w:r>
      <w:r w:rsidR="000241CD" w:rsidRPr="000241CD">
        <w:rPr>
          <w:rFonts w:ascii="宋体" w:cs="宋体" w:hint="eastAsia"/>
          <w:b/>
          <w:kern w:val="0"/>
          <w:szCs w:val="21"/>
        </w:rPr>
        <w:t>，可能是由于关联方</w:t>
      </w:r>
      <w:r>
        <w:rPr>
          <w:rFonts w:ascii="宋体" w:cs="宋体" w:hint="eastAsia"/>
          <w:b/>
          <w:kern w:val="0"/>
          <w:szCs w:val="21"/>
        </w:rPr>
        <w:t>增加</w:t>
      </w:r>
      <w:r w:rsidR="000241CD" w:rsidRPr="000241CD">
        <w:rPr>
          <w:rFonts w:ascii="宋体" w:cs="宋体" w:hint="eastAsia"/>
          <w:b/>
          <w:kern w:val="0"/>
          <w:szCs w:val="21"/>
        </w:rPr>
        <w:t>了对青岛海尔的资金占用。值得我们关注的是，与主营业务成本的增长趋势不同，存货水平</w:t>
      </w:r>
      <w:r>
        <w:rPr>
          <w:rFonts w:ascii="宋体" w:cs="宋体" w:hint="eastAsia"/>
          <w:b/>
          <w:kern w:val="0"/>
          <w:szCs w:val="21"/>
        </w:rPr>
        <w:t>增长较快</w:t>
      </w:r>
      <w:r w:rsidR="000241CD" w:rsidRPr="000241CD">
        <w:rPr>
          <w:rFonts w:ascii="宋体" w:cs="宋体" w:hint="eastAsia"/>
          <w:b/>
          <w:kern w:val="0"/>
          <w:szCs w:val="21"/>
        </w:rPr>
        <w:t>，这是不是</w:t>
      </w:r>
      <w:r>
        <w:rPr>
          <w:rFonts w:ascii="宋体" w:cs="宋体" w:hint="eastAsia"/>
          <w:b/>
          <w:kern w:val="0"/>
          <w:szCs w:val="21"/>
        </w:rPr>
        <w:t>与</w:t>
      </w:r>
      <w:r w:rsidR="000241CD" w:rsidRPr="000241CD">
        <w:rPr>
          <w:rFonts w:ascii="宋体" w:cs="宋体" w:hint="eastAsia"/>
          <w:b/>
          <w:kern w:val="0"/>
          <w:szCs w:val="21"/>
        </w:rPr>
        <w:t>青岛海尔一直提倡的流程再造降低了存货资金占用量抑或是产品的热销降低了库存</w:t>
      </w:r>
      <w:r>
        <w:rPr>
          <w:rFonts w:ascii="宋体" w:cs="宋体" w:hint="eastAsia"/>
          <w:b/>
          <w:kern w:val="0"/>
          <w:szCs w:val="21"/>
        </w:rPr>
        <w:t>的情况相悖</w:t>
      </w:r>
      <w:r w:rsidR="000241CD" w:rsidRPr="000241CD">
        <w:rPr>
          <w:rFonts w:ascii="宋体" w:cs="宋体" w:hint="eastAsia"/>
          <w:b/>
          <w:kern w:val="0"/>
          <w:szCs w:val="21"/>
        </w:rPr>
        <w:t>？</w:t>
      </w:r>
      <w:r>
        <w:rPr>
          <w:rFonts w:ascii="宋体" w:cs="宋体" w:hint="eastAsia"/>
          <w:b/>
          <w:kern w:val="0"/>
          <w:szCs w:val="21"/>
        </w:rPr>
        <w:t>还是青岛海尔对市场前景的判断过度乐观。</w:t>
      </w:r>
      <w:r w:rsidR="000241CD" w:rsidRPr="000241CD">
        <w:rPr>
          <w:rFonts w:ascii="宋体" w:cs="宋体" w:hint="eastAsia"/>
          <w:b/>
          <w:kern w:val="0"/>
          <w:szCs w:val="21"/>
        </w:rPr>
        <w:t>我们进一步分析了青岛海尔的存货构成，发现</w:t>
      </w:r>
      <w:r>
        <w:rPr>
          <w:rFonts w:hint="eastAsia"/>
          <w:b/>
          <w:kern w:val="0"/>
          <w:szCs w:val="21"/>
        </w:rPr>
        <w:t xml:space="preserve"> 2008</w:t>
      </w:r>
      <w:r>
        <w:rPr>
          <w:rFonts w:hint="eastAsia"/>
          <w:b/>
          <w:kern w:val="0"/>
          <w:szCs w:val="21"/>
        </w:rPr>
        <w:t>—</w:t>
      </w:r>
      <w:r>
        <w:rPr>
          <w:rFonts w:hint="eastAsia"/>
          <w:b/>
          <w:kern w:val="0"/>
          <w:szCs w:val="21"/>
        </w:rPr>
        <w:t>2012</w:t>
      </w:r>
      <w:r w:rsidR="000241CD" w:rsidRPr="000241CD">
        <w:rPr>
          <w:rFonts w:ascii="宋体" w:cs="宋体" w:hint="eastAsia"/>
          <w:b/>
          <w:kern w:val="0"/>
          <w:szCs w:val="21"/>
        </w:rPr>
        <w:t>年存货中的产成品其实是有较大增长的，因此，存货的</w:t>
      </w:r>
      <w:r>
        <w:rPr>
          <w:rFonts w:ascii="宋体" w:cs="宋体" w:hint="eastAsia"/>
          <w:b/>
          <w:kern w:val="0"/>
          <w:szCs w:val="21"/>
        </w:rPr>
        <w:t>上升</w:t>
      </w:r>
      <w:r w:rsidR="000241CD" w:rsidRPr="000241CD">
        <w:rPr>
          <w:rFonts w:ascii="宋体" w:cs="宋体" w:hint="eastAsia"/>
          <w:b/>
          <w:kern w:val="0"/>
          <w:szCs w:val="21"/>
        </w:rPr>
        <w:t>似乎并非</w:t>
      </w:r>
      <w:r>
        <w:rPr>
          <w:rFonts w:ascii="宋体" w:cs="宋体" w:hint="eastAsia"/>
          <w:b/>
          <w:kern w:val="0"/>
          <w:szCs w:val="21"/>
        </w:rPr>
        <w:t>表明青岛海尔的存货管理制度并没有达到其宣称的那种效果</w:t>
      </w:r>
      <w:r w:rsidR="000241CD" w:rsidRPr="000241CD">
        <w:rPr>
          <w:rFonts w:ascii="宋体" w:cs="宋体" w:hint="eastAsia"/>
          <w:b/>
          <w:kern w:val="0"/>
          <w:szCs w:val="21"/>
        </w:rPr>
        <w:t>。此外，通过流程再造降低存货所采用的方法是通过客户定单来拉动整个供应链，因此首先降低的是产成品库存量，而不太可能出现产成品大幅度上升</w:t>
      </w:r>
      <w:r>
        <w:rPr>
          <w:rFonts w:ascii="宋体" w:cs="宋体" w:hint="eastAsia"/>
          <w:b/>
          <w:kern w:val="0"/>
          <w:szCs w:val="21"/>
        </w:rPr>
        <w:t>的情况</w:t>
      </w:r>
      <w:r w:rsidR="000241CD" w:rsidRPr="000241CD">
        <w:rPr>
          <w:rFonts w:ascii="宋体" w:cs="宋体" w:hint="eastAsia"/>
          <w:b/>
          <w:kern w:val="0"/>
          <w:szCs w:val="21"/>
        </w:rPr>
        <w:t>。考虑到会计分析部分中对存货计价的探讨，青岛海尔存货水平的异常变动可能是海尔集团利用关联方交易定价进行调控的结果。</w:t>
      </w:r>
    </w:p>
    <w:p w:rsidR="000241CD" w:rsidRPr="00650BF1" w:rsidRDefault="000241CD" w:rsidP="00DB4054">
      <w:pPr>
        <w:autoSpaceDE w:val="0"/>
        <w:autoSpaceDN w:val="0"/>
        <w:adjustRightInd w:val="0"/>
        <w:ind w:firstLineChars="196" w:firstLine="413"/>
        <w:jc w:val="left"/>
        <w:rPr>
          <w:rFonts w:ascii="宋体" w:cs="宋体"/>
          <w:b/>
          <w:kern w:val="0"/>
          <w:szCs w:val="21"/>
        </w:rPr>
      </w:pPr>
      <w:r w:rsidRPr="000241CD">
        <w:rPr>
          <w:rFonts w:ascii="宋体" w:cs="宋体" w:hint="eastAsia"/>
          <w:b/>
          <w:kern w:val="0"/>
          <w:szCs w:val="21"/>
        </w:rPr>
        <w:t>综上分析，就经营状况而言，青岛海尔的主营业务收入虽然</w:t>
      </w:r>
      <w:r w:rsidR="00650BF1">
        <w:rPr>
          <w:rFonts w:ascii="宋体" w:cs="宋体" w:hint="eastAsia"/>
          <w:b/>
          <w:kern w:val="0"/>
          <w:szCs w:val="21"/>
        </w:rPr>
        <w:t>呈增长</w:t>
      </w:r>
      <w:r w:rsidRPr="000241CD">
        <w:rPr>
          <w:rFonts w:ascii="宋体" w:cs="宋体" w:hint="eastAsia"/>
          <w:b/>
          <w:kern w:val="0"/>
          <w:szCs w:val="21"/>
        </w:rPr>
        <w:t>，但主营业务成本、营业费用的</w:t>
      </w:r>
      <w:r w:rsidR="00650BF1">
        <w:rPr>
          <w:rFonts w:ascii="宋体" w:cs="宋体" w:hint="eastAsia"/>
          <w:b/>
          <w:kern w:val="0"/>
          <w:szCs w:val="21"/>
        </w:rPr>
        <w:t>异常变动似乎表明其业绩有一定的水分</w:t>
      </w:r>
      <w:r w:rsidRPr="000241CD">
        <w:rPr>
          <w:rFonts w:ascii="宋体" w:cs="宋体" w:hint="eastAsia"/>
          <w:b/>
          <w:kern w:val="0"/>
          <w:szCs w:val="21"/>
        </w:rPr>
        <w:t>。这其中有行业因素，如原材料价格上涨和不断的价格战降低了行业毛利率，但同时也有青岛海尔经营管理效率不高的因素，我们将在比率分析中进一步探讨。就财务状况而言，青岛海尔的流动资产略有增加，而且流动性较强的货币资金和应收票据增长迅速，</w:t>
      </w:r>
      <w:r w:rsidR="00650BF1">
        <w:rPr>
          <w:rFonts w:ascii="宋体" w:cs="宋体" w:hint="eastAsia"/>
          <w:b/>
          <w:kern w:val="0"/>
          <w:szCs w:val="21"/>
        </w:rPr>
        <w:t>同时</w:t>
      </w:r>
      <w:r w:rsidRPr="000241CD">
        <w:rPr>
          <w:rFonts w:ascii="宋体" w:cs="宋体" w:hint="eastAsia"/>
          <w:b/>
          <w:kern w:val="0"/>
          <w:szCs w:val="21"/>
        </w:rPr>
        <w:t>流动负债大幅</w:t>
      </w:r>
      <w:r w:rsidR="00650BF1">
        <w:rPr>
          <w:rFonts w:ascii="宋体" w:cs="宋体" w:hint="eastAsia"/>
          <w:b/>
          <w:kern w:val="0"/>
          <w:szCs w:val="21"/>
        </w:rPr>
        <w:t>也增加</w:t>
      </w:r>
      <w:r w:rsidRPr="000241CD">
        <w:rPr>
          <w:rFonts w:ascii="宋体" w:cs="宋体" w:hint="eastAsia"/>
          <w:b/>
          <w:kern w:val="0"/>
          <w:szCs w:val="21"/>
        </w:rPr>
        <w:t>，</w:t>
      </w:r>
      <w:r w:rsidRPr="000241CD">
        <w:rPr>
          <w:b/>
          <w:kern w:val="0"/>
          <w:szCs w:val="21"/>
        </w:rPr>
        <w:t>20</w:t>
      </w:r>
      <w:r w:rsidR="00650BF1">
        <w:rPr>
          <w:rFonts w:hint="eastAsia"/>
          <w:b/>
          <w:kern w:val="0"/>
          <w:szCs w:val="21"/>
        </w:rPr>
        <w:t>12</w:t>
      </w:r>
      <w:r w:rsidRPr="000241CD">
        <w:rPr>
          <w:rFonts w:ascii="宋体" w:cs="宋体" w:hint="eastAsia"/>
          <w:b/>
          <w:kern w:val="0"/>
          <w:szCs w:val="21"/>
        </w:rPr>
        <w:t>年流动负债合计和负债合计均只有</w:t>
      </w:r>
      <w:r w:rsidRPr="000241CD">
        <w:rPr>
          <w:b/>
          <w:kern w:val="0"/>
          <w:szCs w:val="21"/>
        </w:rPr>
        <w:t>20</w:t>
      </w:r>
      <w:r w:rsidR="00650BF1">
        <w:rPr>
          <w:rFonts w:hint="eastAsia"/>
          <w:b/>
          <w:kern w:val="0"/>
          <w:szCs w:val="21"/>
        </w:rPr>
        <w:t>08</w:t>
      </w:r>
      <w:r w:rsidRPr="000241CD">
        <w:rPr>
          <w:rFonts w:ascii="宋体" w:cs="宋体" w:hint="eastAsia"/>
          <w:b/>
          <w:kern w:val="0"/>
          <w:szCs w:val="21"/>
        </w:rPr>
        <w:t>年的</w:t>
      </w:r>
      <w:r w:rsidR="00650BF1">
        <w:rPr>
          <w:rFonts w:hint="eastAsia"/>
          <w:b/>
          <w:kern w:val="0"/>
          <w:szCs w:val="21"/>
        </w:rPr>
        <w:t>2</w:t>
      </w:r>
      <w:r w:rsidR="00650BF1">
        <w:rPr>
          <w:rFonts w:hint="eastAsia"/>
          <w:b/>
          <w:kern w:val="0"/>
          <w:szCs w:val="21"/>
        </w:rPr>
        <w:t>倍</w:t>
      </w:r>
      <w:r w:rsidRPr="000241CD">
        <w:rPr>
          <w:rFonts w:ascii="宋体" w:cs="宋体" w:hint="eastAsia"/>
          <w:b/>
          <w:kern w:val="0"/>
          <w:szCs w:val="21"/>
        </w:rPr>
        <w:t>左右，从而</w:t>
      </w:r>
      <w:r w:rsidR="00650BF1">
        <w:rPr>
          <w:rFonts w:ascii="宋体" w:cs="宋体" w:hint="eastAsia"/>
          <w:b/>
          <w:kern w:val="0"/>
          <w:szCs w:val="21"/>
        </w:rPr>
        <w:t>增加</w:t>
      </w:r>
      <w:r w:rsidRPr="000241CD">
        <w:rPr>
          <w:rFonts w:ascii="宋体" w:cs="宋体" w:hint="eastAsia"/>
          <w:b/>
          <w:kern w:val="0"/>
          <w:szCs w:val="21"/>
        </w:rPr>
        <w:t>了青岛海尔的财务风险，这在一方面提高了青岛海尔的财务安全性，但另一</w:t>
      </w:r>
      <w:r w:rsidRPr="000241CD">
        <w:rPr>
          <w:b/>
          <w:kern w:val="0"/>
          <w:szCs w:val="21"/>
        </w:rPr>
        <w:t>•</w:t>
      </w:r>
      <w:r w:rsidRPr="000241CD">
        <w:rPr>
          <w:rFonts w:ascii="宋体" w:cs="宋体" w:hint="eastAsia"/>
          <w:b/>
          <w:kern w:val="0"/>
          <w:szCs w:val="21"/>
        </w:rPr>
        <w:t>方面也产生了财务杠杆运用</w:t>
      </w:r>
      <w:r w:rsidR="00650BF1">
        <w:rPr>
          <w:rFonts w:ascii="宋体" w:cs="宋体" w:hint="eastAsia"/>
          <w:b/>
          <w:kern w:val="0"/>
          <w:szCs w:val="21"/>
        </w:rPr>
        <w:t>过度</w:t>
      </w:r>
      <w:r w:rsidRPr="000241CD">
        <w:rPr>
          <w:rFonts w:ascii="宋体" w:cs="宋体" w:hint="eastAsia"/>
          <w:b/>
          <w:kern w:val="0"/>
          <w:szCs w:val="21"/>
        </w:rPr>
        <w:t>的问题，我们将在比率分析部分进一步探讨此问题。</w:t>
      </w:r>
    </w:p>
    <w:p w:rsidR="00686372" w:rsidRDefault="00341E25" w:rsidP="00341E25">
      <w:pPr>
        <w:rPr>
          <w:b/>
          <w:szCs w:val="21"/>
        </w:rPr>
      </w:pPr>
      <w:r>
        <w:rPr>
          <w:rFonts w:hint="eastAsia"/>
          <w:b/>
          <w:szCs w:val="21"/>
        </w:rPr>
        <w:t>二</w:t>
      </w:r>
      <w:r>
        <w:rPr>
          <w:rFonts w:hint="eastAsia"/>
          <w:b/>
          <w:szCs w:val="21"/>
        </w:rPr>
        <w:t xml:space="preserve"> </w:t>
      </w:r>
      <w:r>
        <w:rPr>
          <w:rFonts w:hint="eastAsia"/>
          <w:b/>
          <w:szCs w:val="21"/>
        </w:rPr>
        <w:t>结构分析</w:t>
      </w:r>
    </w:p>
    <w:p w:rsidR="00341E25" w:rsidRDefault="00B65F4B" w:rsidP="00900939">
      <w:pPr>
        <w:ind w:firstLineChars="196" w:firstLine="413"/>
        <w:rPr>
          <w:b/>
          <w:szCs w:val="21"/>
        </w:rPr>
      </w:pPr>
      <w:r>
        <w:rPr>
          <w:rFonts w:hint="eastAsia"/>
          <w:b/>
          <w:szCs w:val="21"/>
        </w:rPr>
        <w:t>青岛海尔的主营产品是空调和冰箱，而青岛海尔、格力电器和美的电器是我国空调冰箱的前三强，但美的电器</w:t>
      </w:r>
      <w:r w:rsidR="00901421">
        <w:rPr>
          <w:rFonts w:hint="eastAsia"/>
          <w:b/>
          <w:szCs w:val="21"/>
        </w:rPr>
        <w:t>于</w:t>
      </w:r>
      <w:r>
        <w:rPr>
          <w:rFonts w:hint="eastAsia"/>
          <w:b/>
          <w:szCs w:val="21"/>
        </w:rPr>
        <w:t>2013</w:t>
      </w:r>
      <w:r>
        <w:rPr>
          <w:rFonts w:hint="eastAsia"/>
          <w:b/>
          <w:szCs w:val="21"/>
        </w:rPr>
        <w:t>年被</w:t>
      </w:r>
      <w:r w:rsidR="00901421">
        <w:rPr>
          <w:rFonts w:hint="eastAsia"/>
          <w:b/>
          <w:szCs w:val="21"/>
        </w:rPr>
        <w:t>美的集团吸收合并，考</w:t>
      </w:r>
      <w:r w:rsidR="00900939">
        <w:rPr>
          <w:rFonts w:hint="eastAsia"/>
          <w:b/>
          <w:szCs w:val="21"/>
        </w:rPr>
        <w:t>虑到并购交易的长期性和复杂性，美的电器不再适合作为比较参照公司，</w:t>
      </w:r>
      <w:r w:rsidR="00901421">
        <w:rPr>
          <w:rFonts w:hint="eastAsia"/>
          <w:b/>
          <w:szCs w:val="21"/>
        </w:rPr>
        <w:t>因此我们只选择格力电器作为比较对象。</w:t>
      </w:r>
      <w:r w:rsidR="00900939">
        <w:rPr>
          <w:rFonts w:hint="eastAsia"/>
          <w:b/>
          <w:szCs w:val="21"/>
        </w:rPr>
        <w:t>我们将比较的时间基准定于</w:t>
      </w:r>
      <w:r w:rsidR="00900939">
        <w:rPr>
          <w:rFonts w:hint="eastAsia"/>
          <w:b/>
          <w:szCs w:val="21"/>
        </w:rPr>
        <w:t>2012</w:t>
      </w:r>
      <w:r w:rsidR="00900939">
        <w:rPr>
          <w:rFonts w:hint="eastAsia"/>
          <w:b/>
          <w:szCs w:val="21"/>
        </w:rPr>
        <w:t>年，其主要出于以下原因考虑：金融危机对这两家企业的外部因素影响已基本消除，两家企业只是在行业内开展激烈的竞争。</w:t>
      </w:r>
      <w:r>
        <w:rPr>
          <w:rFonts w:hint="eastAsia"/>
          <w:b/>
          <w:szCs w:val="21"/>
        </w:rPr>
        <w:t>在本分析中我们选取青岛海尔的竞争对手格力电器</w:t>
      </w:r>
      <w:r w:rsidR="00341E25">
        <w:rPr>
          <w:rFonts w:hint="eastAsia"/>
          <w:b/>
          <w:szCs w:val="21"/>
        </w:rPr>
        <w:t>作为比较对象，通过对</w:t>
      </w:r>
      <w:r>
        <w:rPr>
          <w:rFonts w:hint="eastAsia"/>
          <w:b/>
          <w:szCs w:val="21"/>
        </w:rPr>
        <w:t>两</w:t>
      </w:r>
      <w:r w:rsidR="00341E25">
        <w:rPr>
          <w:rFonts w:hint="eastAsia"/>
          <w:b/>
          <w:szCs w:val="21"/>
        </w:rPr>
        <w:t>家企业的资产负债表结构和利润表结构进行纵向比较</w:t>
      </w:r>
      <w:r w:rsidR="00B92B7D">
        <w:rPr>
          <w:rFonts w:hint="eastAsia"/>
          <w:b/>
          <w:szCs w:val="21"/>
        </w:rPr>
        <w:t>，来揭示青岛海尔在行业中所处的整体地位和竞争力。</w:t>
      </w:r>
    </w:p>
    <w:p w:rsidR="00B36A71" w:rsidRDefault="00B36A71" w:rsidP="00B36A71">
      <w:pPr>
        <w:numPr>
          <w:ilvl w:val="0"/>
          <w:numId w:val="1"/>
        </w:numPr>
        <w:rPr>
          <w:b/>
          <w:szCs w:val="21"/>
        </w:rPr>
      </w:pPr>
      <w:r>
        <w:rPr>
          <w:rFonts w:hint="eastAsia"/>
          <w:b/>
          <w:szCs w:val="21"/>
        </w:rPr>
        <w:t>资产负债表结构分析</w:t>
      </w:r>
    </w:p>
    <w:p w:rsidR="00B36A71" w:rsidRDefault="002262B8" w:rsidP="00B36A71">
      <w:pPr>
        <w:ind w:firstLineChars="196" w:firstLine="413"/>
        <w:rPr>
          <w:b/>
          <w:szCs w:val="21"/>
        </w:rPr>
      </w:pPr>
      <w:r>
        <w:rPr>
          <w:rFonts w:hint="eastAsia"/>
          <w:b/>
          <w:szCs w:val="21"/>
        </w:rPr>
        <w:t>表</w:t>
      </w:r>
      <w:r>
        <w:rPr>
          <w:rFonts w:hint="eastAsia"/>
          <w:b/>
          <w:szCs w:val="21"/>
        </w:rPr>
        <w:t>3</w:t>
      </w:r>
      <w:r>
        <w:rPr>
          <w:rFonts w:hint="eastAsia"/>
          <w:b/>
          <w:szCs w:val="21"/>
        </w:rPr>
        <w:t>列示了</w:t>
      </w:r>
      <w:r>
        <w:rPr>
          <w:rFonts w:hint="eastAsia"/>
          <w:b/>
          <w:szCs w:val="21"/>
        </w:rPr>
        <w:t>2012</w:t>
      </w:r>
      <w:r>
        <w:rPr>
          <w:rFonts w:hint="eastAsia"/>
          <w:b/>
          <w:szCs w:val="21"/>
        </w:rPr>
        <w:t>年青岛海尔的资产负债结构比例及其竞争对手</w:t>
      </w:r>
      <w:r w:rsidR="003F3BD5">
        <w:rPr>
          <w:rFonts w:hint="eastAsia"/>
          <w:b/>
          <w:szCs w:val="21"/>
        </w:rPr>
        <w:t>格力电器</w:t>
      </w:r>
      <w:r>
        <w:rPr>
          <w:rFonts w:hint="eastAsia"/>
          <w:b/>
          <w:szCs w:val="21"/>
        </w:rPr>
        <w:t>的比较。</w:t>
      </w:r>
    </w:p>
    <w:p w:rsidR="00DC420E" w:rsidRDefault="00DC420E" w:rsidP="00DC420E">
      <w:pPr>
        <w:ind w:firstLineChars="196" w:firstLine="413"/>
        <w:jc w:val="center"/>
        <w:rPr>
          <w:b/>
          <w:szCs w:val="21"/>
        </w:rPr>
      </w:pPr>
      <w:r>
        <w:rPr>
          <w:rFonts w:hint="eastAsia"/>
          <w:b/>
          <w:szCs w:val="21"/>
        </w:rPr>
        <w:t>表</w:t>
      </w:r>
      <w:r>
        <w:rPr>
          <w:rFonts w:hint="eastAsia"/>
          <w:b/>
          <w:szCs w:val="21"/>
        </w:rPr>
        <w:t xml:space="preserve">3 </w:t>
      </w:r>
      <w:r>
        <w:rPr>
          <w:rFonts w:hint="eastAsia"/>
          <w:b/>
          <w:szCs w:val="21"/>
        </w:rPr>
        <w:t>各公司资产负债结构比例比较</w:t>
      </w:r>
    </w:p>
    <w:tbl>
      <w:tblPr>
        <w:tblStyle w:val="a3"/>
        <w:tblW w:w="0" w:type="auto"/>
        <w:tblLook w:val="01E0" w:firstRow="1" w:lastRow="1" w:firstColumn="1" w:lastColumn="1" w:noHBand="0" w:noVBand="0"/>
      </w:tblPr>
      <w:tblGrid>
        <w:gridCol w:w="2065"/>
        <w:gridCol w:w="1581"/>
        <w:gridCol w:w="1420"/>
        <w:gridCol w:w="1686"/>
        <w:gridCol w:w="1544"/>
      </w:tblGrid>
      <w:tr w:rsidR="00AB57E8">
        <w:trPr>
          <w:trHeight w:val="158"/>
        </w:trPr>
        <w:tc>
          <w:tcPr>
            <w:tcW w:w="2129" w:type="dxa"/>
            <w:vMerge w:val="restart"/>
          </w:tcPr>
          <w:p w:rsidR="00AB57E8" w:rsidRDefault="00AB57E8" w:rsidP="00D12F72">
            <w:pPr>
              <w:jc w:val="center"/>
              <w:rPr>
                <w:b/>
                <w:szCs w:val="21"/>
              </w:rPr>
            </w:pPr>
            <w:r>
              <w:rPr>
                <w:rFonts w:hint="eastAsia"/>
                <w:b/>
                <w:szCs w:val="21"/>
              </w:rPr>
              <w:t>项目</w:t>
            </w:r>
          </w:p>
        </w:tc>
        <w:tc>
          <w:tcPr>
            <w:tcW w:w="3019" w:type="dxa"/>
            <w:gridSpan w:val="2"/>
          </w:tcPr>
          <w:p w:rsidR="00AB57E8" w:rsidRDefault="00AB57E8" w:rsidP="00D12F72">
            <w:pPr>
              <w:jc w:val="center"/>
              <w:rPr>
                <w:b/>
                <w:szCs w:val="21"/>
              </w:rPr>
            </w:pPr>
            <w:r>
              <w:rPr>
                <w:rFonts w:hint="eastAsia"/>
                <w:b/>
                <w:szCs w:val="21"/>
              </w:rPr>
              <w:t>青岛海尔</w:t>
            </w:r>
          </w:p>
        </w:tc>
        <w:tc>
          <w:tcPr>
            <w:tcW w:w="3072" w:type="dxa"/>
            <w:gridSpan w:val="2"/>
            <w:shd w:val="clear" w:color="auto" w:fill="auto"/>
          </w:tcPr>
          <w:p w:rsidR="00AB57E8" w:rsidRDefault="00AB57E8" w:rsidP="00D12F72">
            <w:pPr>
              <w:jc w:val="center"/>
              <w:rPr>
                <w:b/>
                <w:szCs w:val="21"/>
              </w:rPr>
            </w:pPr>
            <w:r>
              <w:rPr>
                <w:rFonts w:hint="eastAsia"/>
                <w:b/>
                <w:szCs w:val="21"/>
              </w:rPr>
              <w:t>格力电器</w:t>
            </w:r>
          </w:p>
        </w:tc>
      </w:tr>
      <w:tr w:rsidR="00AB57E8">
        <w:trPr>
          <w:trHeight w:val="312"/>
        </w:trPr>
        <w:tc>
          <w:tcPr>
            <w:tcW w:w="2129" w:type="dxa"/>
            <w:vMerge/>
          </w:tcPr>
          <w:p w:rsidR="00AB57E8" w:rsidRDefault="00AB57E8" w:rsidP="00D12F72">
            <w:pPr>
              <w:jc w:val="center"/>
              <w:rPr>
                <w:b/>
                <w:szCs w:val="21"/>
              </w:rPr>
            </w:pPr>
          </w:p>
        </w:tc>
        <w:tc>
          <w:tcPr>
            <w:tcW w:w="1581" w:type="dxa"/>
            <w:shd w:val="clear" w:color="auto" w:fill="auto"/>
          </w:tcPr>
          <w:p w:rsidR="00AB57E8" w:rsidRDefault="00AB57E8" w:rsidP="00D12F72">
            <w:pPr>
              <w:jc w:val="center"/>
              <w:rPr>
                <w:b/>
                <w:szCs w:val="21"/>
              </w:rPr>
            </w:pPr>
            <w:r>
              <w:rPr>
                <w:rFonts w:hint="eastAsia"/>
                <w:b/>
                <w:szCs w:val="21"/>
              </w:rPr>
              <w:t>金额</w:t>
            </w:r>
          </w:p>
        </w:tc>
        <w:tc>
          <w:tcPr>
            <w:tcW w:w="1438" w:type="dxa"/>
            <w:shd w:val="clear" w:color="auto" w:fill="auto"/>
          </w:tcPr>
          <w:p w:rsidR="00AB57E8" w:rsidRDefault="00AB57E8" w:rsidP="00D12F72">
            <w:pPr>
              <w:jc w:val="center"/>
              <w:rPr>
                <w:b/>
                <w:szCs w:val="21"/>
              </w:rPr>
            </w:pPr>
            <w:r>
              <w:rPr>
                <w:rFonts w:hint="eastAsia"/>
                <w:b/>
                <w:szCs w:val="21"/>
              </w:rPr>
              <w:t>百分比</w:t>
            </w:r>
          </w:p>
        </w:tc>
        <w:tc>
          <w:tcPr>
            <w:tcW w:w="1506" w:type="dxa"/>
            <w:shd w:val="clear" w:color="auto" w:fill="auto"/>
          </w:tcPr>
          <w:p w:rsidR="00AB57E8" w:rsidRDefault="00AB57E8" w:rsidP="00D12F72">
            <w:pPr>
              <w:jc w:val="center"/>
              <w:rPr>
                <w:b/>
                <w:szCs w:val="21"/>
              </w:rPr>
            </w:pPr>
            <w:r>
              <w:rPr>
                <w:rFonts w:hint="eastAsia"/>
                <w:b/>
                <w:szCs w:val="21"/>
              </w:rPr>
              <w:t>金额</w:t>
            </w:r>
          </w:p>
        </w:tc>
        <w:tc>
          <w:tcPr>
            <w:tcW w:w="1566" w:type="dxa"/>
            <w:shd w:val="clear" w:color="auto" w:fill="auto"/>
          </w:tcPr>
          <w:p w:rsidR="00AB57E8" w:rsidRDefault="00AB57E8" w:rsidP="00D12F72">
            <w:pPr>
              <w:jc w:val="center"/>
              <w:rPr>
                <w:b/>
                <w:szCs w:val="21"/>
              </w:rPr>
            </w:pPr>
            <w:r>
              <w:rPr>
                <w:rFonts w:hint="eastAsia"/>
                <w:b/>
                <w:szCs w:val="21"/>
              </w:rPr>
              <w:t>百分比</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t>货币资金</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312,738,977</w:t>
            </w:r>
          </w:p>
        </w:tc>
        <w:tc>
          <w:tcPr>
            <w:tcW w:w="1438" w:type="dxa"/>
            <w:shd w:val="clear" w:color="auto" w:fill="auto"/>
            <w:vAlign w:val="bottom"/>
          </w:tcPr>
          <w:p w:rsidR="007308F8" w:rsidRDefault="007308F8">
            <w:pPr>
              <w:jc w:val="right"/>
              <w:rPr>
                <w:rFonts w:ascii="宋体" w:hAnsi="宋体" w:cs="宋体"/>
                <w:sz w:val="24"/>
              </w:rPr>
            </w:pPr>
            <w:r>
              <w:rPr>
                <w:rFonts w:hint="eastAsia"/>
              </w:rPr>
              <w:t>3.63%</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28,976,465,567</w:t>
            </w:r>
          </w:p>
        </w:tc>
        <w:tc>
          <w:tcPr>
            <w:tcW w:w="1566" w:type="dxa"/>
            <w:shd w:val="clear" w:color="auto" w:fill="auto"/>
            <w:vAlign w:val="bottom"/>
          </w:tcPr>
          <w:p w:rsidR="007308F8" w:rsidRDefault="007308F8">
            <w:pPr>
              <w:jc w:val="right"/>
              <w:rPr>
                <w:rFonts w:ascii="宋体" w:hAnsi="宋体" w:cs="宋体"/>
                <w:sz w:val="24"/>
              </w:rPr>
            </w:pPr>
            <w:r>
              <w:rPr>
                <w:rFonts w:hint="eastAsia"/>
              </w:rPr>
              <w:t>31.72%</w:t>
            </w:r>
          </w:p>
        </w:tc>
      </w:tr>
      <w:tr w:rsidR="007308F8" w:rsidRPr="00DC75D8">
        <w:trPr>
          <w:trHeight w:val="158"/>
        </w:trPr>
        <w:tc>
          <w:tcPr>
            <w:tcW w:w="2129" w:type="dxa"/>
          </w:tcPr>
          <w:p w:rsidR="007308F8" w:rsidRPr="00DC75D8" w:rsidRDefault="007308F8" w:rsidP="00D12F72">
            <w:pPr>
              <w:jc w:val="center"/>
              <w:rPr>
                <w:b/>
                <w:szCs w:val="21"/>
              </w:rPr>
            </w:pPr>
            <w:r w:rsidRPr="00DC75D8">
              <w:rPr>
                <w:rFonts w:hint="eastAsia"/>
                <w:b/>
                <w:szCs w:val="21"/>
              </w:rPr>
              <w:t>应收票据</w:t>
            </w:r>
          </w:p>
        </w:tc>
        <w:tc>
          <w:tcPr>
            <w:tcW w:w="1581" w:type="dxa"/>
            <w:shd w:val="clear" w:color="auto" w:fill="auto"/>
          </w:tcPr>
          <w:p w:rsidR="007308F8" w:rsidRPr="00DC75D8" w:rsidRDefault="007308F8" w:rsidP="0078004B">
            <w:pPr>
              <w:jc w:val="right"/>
              <w:rPr>
                <w:szCs w:val="21"/>
              </w:rPr>
            </w:pPr>
            <w:r w:rsidRPr="00DC75D8">
              <w:rPr>
                <w:rFonts w:hint="eastAsia"/>
                <w:szCs w:val="21"/>
              </w:rPr>
              <w:t>0</w:t>
            </w:r>
          </w:p>
        </w:tc>
        <w:tc>
          <w:tcPr>
            <w:tcW w:w="1438" w:type="dxa"/>
            <w:shd w:val="clear" w:color="auto" w:fill="auto"/>
            <w:vAlign w:val="bottom"/>
          </w:tcPr>
          <w:p w:rsidR="007308F8" w:rsidRDefault="007308F8">
            <w:pPr>
              <w:jc w:val="right"/>
              <w:rPr>
                <w:rFonts w:ascii="宋体" w:hAnsi="宋体" w:cs="宋体"/>
                <w:sz w:val="24"/>
              </w:rPr>
            </w:pPr>
            <w:r>
              <w:rPr>
                <w:rFonts w:hint="eastAsia"/>
              </w:rPr>
              <w:t>0.00%</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32,448,619,946</w:t>
            </w:r>
          </w:p>
        </w:tc>
        <w:tc>
          <w:tcPr>
            <w:tcW w:w="1566" w:type="dxa"/>
            <w:shd w:val="clear" w:color="auto" w:fill="auto"/>
            <w:vAlign w:val="bottom"/>
          </w:tcPr>
          <w:p w:rsidR="007308F8" w:rsidRDefault="007308F8">
            <w:pPr>
              <w:jc w:val="right"/>
              <w:rPr>
                <w:rFonts w:ascii="宋体" w:hAnsi="宋体" w:cs="宋体"/>
                <w:sz w:val="24"/>
              </w:rPr>
            </w:pPr>
            <w:r>
              <w:rPr>
                <w:rFonts w:hint="eastAsia"/>
              </w:rPr>
              <w:t>35.52%</w:t>
            </w:r>
          </w:p>
        </w:tc>
      </w:tr>
      <w:tr w:rsidR="007308F8" w:rsidRPr="00DC75D8">
        <w:trPr>
          <w:trHeight w:val="157"/>
        </w:trPr>
        <w:tc>
          <w:tcPr>
            <w:tcW w:w="2129" w:type="dxa"/>
          </w:tcPr>
          <w:p w:rsidR="007308F8" w:rsidRPr="00DC75D8" w:rsidRDefault="007308F8" w:rsidP="00D12F72">
            <w:pPr>
              <w:jc w:val="center"/>
              <w:rPr>
                <w:b/>
                <w:szCs w:val="21"/>
              </w:rPr>
            </w:pPr>
            <w:r w:rsidRPr="00DC75D8">
              <w:rPr>
                <w:rFonts w:hint="eastAsia"/>
                <w:b/>
                <w:szCs w:val="21"/>
              </w:rPr>
              <w:t>应收账款</w:t>
            </w:r>
          </w:p>
        </w:tc>
        <w:tc>
          <w:tcPr>
            <w:tcW w:w="1581" w:type="dxa"/>
            <w:shd w:val="clear" w:color="auto" w:fill="auto"/>
          </w:tcPr>
          <w:p w:rsidR="007308F8" w:rsidRPr="00DC75D8" w:rsidRDefault="007308F8" w:rsidP="0078004B">
            <w:pPr>
              <w:jc w:val="right"/>
              <w:rPr>
                <w:szCs w:val="21"/>
              </w:rPr>
            </w:pPr>
            <w:r w:rsidRPr="00DC75D8">
              <w:rPr>
                <w:szCs w:val="21"/>
              </w:rPr>
              <w:t>146,500,506</w:t>
            </w:r>
          </w:p>
        </w:tc>
        <w:tc>
          <w:tcPr>
            <w:tcW w:w="1438" w:type="dxa"/>
            <w:shd w:val="clear" w:color="auto" w:fill="auto"/>
            <w:vAlign w:val="bottom"/>
          </w:tcPr>
          <w:p w:rsidR="007308F8" w:rsidRDefault="007308F8">
            <w:pPr>
              <w:jc w:val="right"/>
              <w:rPr>
                <w:rFonts w:ascii="宋体" w:hAnsi="宋体" w:cs="宋体"/>
                <w:sz w:val="24"/>
              </w:rPr>
            </w:pPr>
            <w:r>
              <w:rPr>
                <w:rFonts w:hint="eastAsia"/>
              </w:rPr>
              <w:t>1.70%</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757,987,897</w:t>
            </w:r>
          </w:p>
        </w:tc>
        <w:tc>
          <w:tcPr>
            <w:tcW w:w="1566" w:type="dxa"/>
            <w:shd w:val="clear" w:color="auto" w:fill="auto"/>
            <w:vAlign w:val="bottom"/>
          </w:tcPr>
          <w:p w:rsidR="007308F8" w:rsidRDefault="007308F8">
            <w:pPr>
              <w:jc w:val="right"/>
              <w:rPr>
                <w:rFonts w:ascii="宋体" w:hAnsi="宋体" w:cs="宋体"/>
                <w:sz w:val="24"/>
              </w:rPr>
            </w:pPr>
            <w:r>
              <w:rPr>
                <w:rFonts w:hint="eastAsia"/>
              </w:rPr>
              <w:t>0.83%</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t>预付账款</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18,005,912</w:t>
            </w:r>
          </w:p>
        </w:tc>
        <w:tc>
          <w:tcPr>
            <w:tcW w:w="1438" w:type="dxa"/>
            <w:shd w:val="clear" w:color="auto" w:fill="auto"/>
            <w:vAlign w:val="bottom"/>
          </w:tcPr>
          <w:p w:rsidR="007308F8" w:rsidRDefault="007308F8">
            <w:pPr>
              <w:jc w:val="right"/>
              <w:rPr>
                <w:rFonts w:ascii="宋体" w:hAnsi="宋体" w:cs="宋体"/>
                <w:sz w:val="24"/>
              </w:rPr>
            </w:pPr>
            <w:r>
              <w:rPr>
                <w:rFonts w:hint="eastAsia"/>
              </w:rPr>
              <w:t>0.21%</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2,454,609,223</w:t>
            </w:r>
          </w:p>
        </w:tc>
        <w:tc>
          <w:tcPr>
            <w:tcW w:w="1566" w:type="dxa"/>
            <w:shd w:val="clear" w:color="auto" w:fill="auto"/>
            <w:vAlign w:val="bottom"/>
          </w:tcPr>
          <w:p w:rsidR="007308F8" w:rsidRDefault="007308F8">
            <w:pPr>
              <w:jc w:val="right"/>
              <w:rPr>
                <w:rFonts w:ascii="宋体" w:hAnsi="宋体" w:cs="宋体"/>
                <w:sz w:val="24"/>
              </w:rPr>
            </w:pPr>
            <w:r>
              <w:rPr>
                <w:rFonts w:hint="eastAsia"/>
              </w:rPr>
              <w:t>2.69%</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t>存货</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92,291,657</w:t>
            </w:r>
          </w:p>
        </w:tc>
        <w:tc>
          <w:tcPr>
            <w:tcW w:w="1438" w:type="dxa"/>
            <w:shd w:val="clear" w:color="auto" w:fill="auto"/>
            <w:vAlign w:val="bottom"/>
          </w:tcPr>
          <w:p w:rsidR="007308F8" w:rsidRDefault="007308F8">
            <w:pPr>
              <w:jc w:val="right"/>
              <w:rPr>
                <w:rFonts w:ascii="宋体" w:hAnsi="宋体" w:cs="宋体"/>
                <w:sz w:val="24"/>
              </w:rPr>
            </w:pPr>
            <w:r>
              <w:rPr>
                <w:rFonts w:hint="eastAsia"/>
              </w:rPr>
              <w:t>1.07%</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12,774,675,268</w:t>
            </w:r>
          </w:p>
        </w:tc>
        <w:tc>
          <w:tcPr>
            <w:tcW w:w="1566" w:type="dxa"/>
            <w:shd w:val="clear" w:color="auto" w:fill="auto"/>
            <w:vAlign w:val="bottom"/>
          </w:tcPr>
          <w:p w:rsidR="007308F8" w:rsidRDefault="007308F8">
            <w:pPr>
              <w:jc w:val="right"/>
              <w:rPr>
                <w:rFonts w:ascii="宋体" w:hAnsi="宋体" w:cs="宋体"/>
                <w:sz w:val="24"/>
              </w:rPr>
            </w:pPr>
            <w:r>
              <w:rPr>
                <w:rFonts w:hint="eastAsia"/>
              </w:rPr>
              <w:t>13.98%</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lastRenderedPageBreak/>
              <w:t>流动资产合计</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1,212,332,057</w:t>
            </w:r>
          </w:p>
        </w:tc>
        <w:tc>
          <w:tcPr>
            <w:tcW w:w="1438" w:type="dxa"/>
            <w:shd w:val="clear" w:color="auto" w:fill="auto"/>
            <w:vAlign w:val="bottom"/>
          </w:tcPr>
          <w:p w:rsidR="007308F8" w:rsidRDefault="007308F8">
            <w:pPr>
              <w:jc w:val="right"/>
              <w:rPr>
                <w:rFonts w:ascii="宋体" w:hAnsi="宋体" w:cs="宋体"/>
                <w:sz w:val="24"/>
              </w:rPr>
            </w:pPr>
            <w:r>
              <w:rPr>
                <w:rFonts w:hint="eastAsia"/>
              </w:rPr>
              <w:t>14.08%</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79,055,740,985</w:t>
            </w:r>
          </w:p>
        </w:tc>
        <w:tc>
          <w:tcPr>
            <w:tcW w:w="1566" w:type="dxa"/>
            <w:shd w:val="clear" w:color="auto" w:fill="auto"/>
            <w:vAlign w:val="bottom"/>
          </w:tcPr>
          <w:p w:rsidR="007308F8" w:rsidRDefault="007308F8">
            <w:pPr>
              <w:jc w:val="right"/>
              <w:rPr>
                <w:rFonts w:ascii="宋体" w:hAnsi="宋体" w:cs="宋体"/>
                <w:sz w:val="24"/>
              </w:rPr>
            </w:pPr>
            <w:r>
              <w:rPr>
                <w:rFonts w:hint="eastAsia"/>
              </w:rPr>
              <w:t>86.53%</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t>长期股权投资</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7,204,568,410</w:t>
            </w:r>
          </w:p>
        </w:tc>
        <w:tc>
          <w:tcPr>
            <w:tcW w:w="1438" w:type="dxa"/>
            <w:shd w:val="clear" w:color="auto" w:fill="auto"/>
            <w:vAlign w:val="bottom"/>
          </w:tcPr>
          <w:p w:rsidR="007308F8" w:rsidRDefault="007308F8">
            <w:pPr>
              <w:jc w:val="right"/>
              <w:rPr>
                <w:rFonts w:ascii="宋体" w:hAnsi="宋体" w:cs="宋体"/>
                <w:sz w:val="24"/>
              </w:rPr>
            </w:pPr>
            <w:r>
              <w:rPr>
                <w:rFonts w:hint="eastAsia"/>
              </w:rPr>
              <w:t>83.67%</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5,486,555,135</w:t>
            </w:r>
          </w:p>
        </w:tc>
        <w:tc>
          <w:tcPr>
            <w:tcW w:w="1566" w:type="dxa"/>
            <w:shd w:val="clear" w:color="auto" w:fill="auto"/>
            <w:vAlign w:val="bottom"/>
          </w:tcPr>
          <w:p w:rsidR="007308F8" w:rsidRDefault="007308F8">
            <w:pPr>
              <w:jc w:val="right"/>
              <w:rPr>
                <w:rFonts w:ascii="宋体" w:hAnsi="宋体" w:cs="宋体"/>
                <w:sz w:val="24"/>
              </w:rPr>
            </w:pPr>
            <w:r>
              <w:rPr>
                <w:rFonts w:hint="eastAsia"/>
              </w:rPr>
              <w:t>6.01%</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t>固定资产</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132,031,444</w:t>
            </w:r>
          </w:p>
        </w:tc>
        <w:tc>
          <w:tcPr>
            <w:tcW w:w="1438" w:type="dxa"/>
            <w:shd w:val="clear" w:color="auto" w:fill="auto"/>
            <w:vAlign w:val="bottom"/>
          </w:tcPr>
          <w:p w:rsidR="007308F8" w:rsidRDefault="007308F8">
            <w:pPr>
              <w:jc w:val="right"/>
              <w:rPr>
                <w:rFonts w:ascii="宋体" w:hAnsi="宋体" w:cs="宋体"/>
                <w:sz w:val="24"/>
              </w:rPr>
            </w:pPr>
            <w:r>
              <w:rPr>
                <w:rFonts w:hint="eastAsia"/>
              </w:rPr>
              <w:t>1.53%</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3,458,656,601</w:t>
            </w:r>
          </w:p>
        </w:tc>
        <w:tc>
          <w:tcPr>
            <w:tcW w:w="1566" w:type="dxa"/>
            <w:shd w:val="clear" w:color="auto" w:fill="auto"/>
            <w:vAlign w:val="bottom"/>
          </w:tcPr>
          <w:p w:rsidR="007308F8" w:rsidRDefault="007308F8">
            <w:pPr>
              <w:jc w:val="right"/>
              <w:rPr>
                <w:rFonts w:ascii="宋体" w:hAnsi="宋体" w:cs="宋体"/>
                <w:sz w:val="24"/>
              </w:rPr>
            </w:pPr>
            <w:r>
              <w:rPr>
                <w:rFonts w:hint="eastAsia"/>
              </w:rPr>
              <w:t>3.79%</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t>无形资产</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9,696,899</w:t>
            </w:r>
          </w:p>
        </w:tc>
        <w:tc>
          <w:tcPr>
            <w:tcW w:w="1438" w:type="dxa"/>
            <w:shd w:val="clear" w:color="auto" w:fill="auto"/>
            <w:vAlign w:val="bottom"/>
          </w:tcPr>
          <w:p w:rsidR="007308F8" w:rsidRDefault="007308F8">
            <w:pPr>
              <w:jc w:val="right"/>
              <w:rPr>
                <w:rFonts w:ascii="宋体" w:hAnsi="宋体" w:cs="宋体"/>
                <w:sz w:val="24"/>
              </w:rPr>
            </w:pPr>
            <w:r>
              <w:rPr>
                <w:rFonts w:hint="eastAsia"/>
              </w:rPr>
              <w:t>0.11%</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223,104,712</w:t>
            </w:r>
          </w:p>
        </w:tc>
        <w:tc>
          <w:tcPr>
            <w:tcW w:w="1566" w:type="dxa"/>
            <w:shd w:val="clear" w:color="auto" w:fill="auto"/>
            <w:vAlign w:val="bottom"/>
          </w:tcPr>
          <w:p w:rsidR="007308F8" w:rsidRDefault="007308F8">
            <w:pPr>
              <w:jc w:val="right"/>
              <w:rPr>
                <w:rFonts w:ascii="宋体" w:hAnsi="宋体" w:cs="宋体"/>
                <w:sz w:val="24"/>
              </w:rPr>
            </w:pPr>
            <w:r>
              <w:rPr>
                <w:rFonts w:hint="eastAsia"/>
              </w:rPr>
              <w:t>0.24%</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t>资产合计</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8,610,223,963</w:t>
            </w:r>
          </w:p>
        </w:tc>
        <w:tc>
          <w:tcPr>
            <w:tcW w:w="1438" w:type="dxa"/>
            <w:shd w:val="clear" w:color="auto" w:fill="auto"/>
            <w:vAlign w:val="bottom"/>
          </w:tcPr>
          <w:p w:rsidR="007308F8" w:rsidRDefault="007308F8">
            <w:pPr>
              <w:jc w:val="right"/>
              <w:rPr>
                <w:rFonts w:ascii="宋体" w:hAnsi="宋体" w:cs="宋体"/>
                <w:sz w:val="24"/>
              </w:rPr>
            </w:pPr>
            <w:r>
              <w:rPr>
                <w:rFonts w:hint="eastAsia"/>
              </w:rPr>
              <w:t>100.00%</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91,364,412,676</w:t>
            </w:r>
          </w:p>
        </w:tc>
        <w:tc>
          <w:tcPr>
            <w:tcW w:w="1566" w:type="dxa"/>
            <w:shd w:val="clear" w:color="auto" w:fill="auto"/>
            <w:vAlign w:val="bottom"/>
          </w:tcPr>
          <w:p w:rsidR="007308F8" w:rsidRDefault="007308F8">
            <w:pPr>
              <w:jc w:val="right"/>
              <w:rPr>
                <w:rFonts w:ascii="宋体" w:hAnsi="宋体" w:cs="宋体"/>
                <w:sz w:val="24"/>
              </w:rPr>
            </w:pPr>
            <w:r>
              <w:rPr>
                <w:rFonts w:hint="eastAsia"/>
              </w:rPr>
              <w:t>100.00%</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t>短期借款</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hint="eastAsia"/>
                <w:szCs w:val="21"/>
              </w:rPr>
              <w:t>0</w:t>
            </w:r>
          </w:p>
        </w:tc>
        <w:tc>
          <w:tcPr>
            <w:tcW w:w="1438" w:type="dxa"/>
            <w:shd w:val="clear" w:color="auto" w:fill="auto"/>
            <w:vAlign w:val="bottom"/>
          </w:tcPr>
          <w:p w:rsidR="007308F8" w:rsidRDefault="007308F8">
            <w:pPr>
              <w:jc w:val="right"/>
              <w:rPr>
                <w:rFonts w:ascii="宋体" w:hAnsi="宋体" w:cs="宋体"/>
                <w:sz w:val="24"/>
              </w:rPr>
            </w:pPr>
            <w:r>
              <w:rPr>
                <w:rFonts w:hint="eastAsia"/>
              </w:rPr>
              <w:t>0.00%</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1,054,582,450</w:t>
            </w:r>
          </w:p>
        </w:tc>
        <w:tc>
          <w:tcPr>
            <w:tcW w:w="1566" w:type="dxa"/>
            <w:shd w:val="clear" w:color="auto" w:fill="auto"/>
            <w:vAlign w:val="bottom"/>
          </w:tcPr>
          <w:p w:rsidR="007308F8" w:rsidRDefault="007308F8">
            <w:pPr>
              <w:jc w:val="right"/>
              <w:rPr>
                <w:rFonts w:ascii="宋体" w:hAnsi="宋体" w:cs="宋体"/>
                <w:sz w:val="24"/>
              </w:rPr>
            </w:pPr>
            <w:r>
              <w:rPr>
                <w:rFonts w:hint="eastAsia"/>
              </w:rPr>
              <w:t>1.15%</w:t>
            </w:r>
          </w:p>
        </w:tc>
      </w:tr>
      <w:tr w:rsidR="007308F8" w:rsidRPr="00DC75D8">
        <w:trPr>
          <w:trHeight w:val="158"/>
        </w:trPr>
        <w:tc>
          <w:tcPr>
            <w:tcW w:w="2129" w:type="dxa"/>
          </w:tcPr>
          <w:p w:rsidR="007308F8" w:rsidRPr="00DC75D8" w:rsidRDefault="007308F8" w:rsidP="00D12F72">
            <w:pPr>
              <w:jc w:val="center"/>
              <w:rPr>
                <w:b/>
                <w:szCs w:val="21"/>
              </w:rPr>
            </w:pPr>
            <w:r w:rsidRPr="00DC75D8">
              <w:rPr>
                <w:rFonts w:hint="eastAsia"/>
                <w:b/>
                <w:szCs w:val="21"/>
              </w:rPr>
              <w:t>应付票据</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hint="eastAsia"/>
                <w:szCs w:val="21"/>
              </w:rPr>
              <w:t>0</w:t>
            </w:r>
          </w:p>
        </w:tc>
        <w:tc>
          <w:tcPr>
            <w:tcW w:w="1438" w:type="dxa"/>
            <w:shd w:val="clear" w:color="auto" w:fill="auto"/>
            <w:vAlign w:val="bottom"/>
          </w:tcPr>
          <w:p w:rsidR="007308F8" w:rsidRDefault="007308F8">
            <w:pPr>
              <w:jc w:val="right"/>
              <w:rPr>
                <w:rFonts w:ascii="宋体" w:hAnsi="宋体" w:cs="宋体"/>
                <w:sz w:val="24"/>
              </w:rPr>
            </w:pPr>
            <w:r>
              <w:rPr>
                <w:rFonts w:hint="eastAsia"/>
              </w:rPr>
              <w:t>0.00%</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8,932,104,943</w:t>
            </w:r>
          </w:p>
        </w:tc>
        <w:tc>
          <w:tcPr>
            <w:tcW w:w="1566" w:type="dxa"/>
            <w:shd w:val="clear" w:color="auto" w:fill="auto"/>
            <w:vAlign w:val="bottom"/>
          </w:tcPr>
          <w:p w:rsidR="007308F8" w:rsidRDefault="007308F8">
            <w:pPr>
              <w:jc w:val="right"/>
              <w:rPr>
                <w:rFonts w:ascii="宋体" w:hAnsi="宋体" w:cs="宋体"/>
                <w:sz w:val="24"/>
              </w:rPr>
            </w:pPr>
            <w:r>
              <w:rPr>
                <w:rFonts w:hint="eastAsia"/>
              </w:rPr>
              <w:t>9.78%</w:t>
            </w:r>
          </w:p>
        </w:tc>
      </w:tr>
      <w:tr w:rsidR="007308F8" w:rsidRPr="00DC75D8">
        <w:trPr>
          <w:trHeight w:val="157"/>
        </w:trPr>
        <w:tc>
          <w:tcPr>
            <w:tcW w:w="2129" w:type="dxa"/>
          </w:tcPr>
          <w:p w:rsidR="007308F8" w:rsidRPr="00DC75D8" w:rsidRDefault="007308F8" w:rsidP="00D12F72">
            <w:pPr>
              <w:jc w:val="center"/>
              <w:rPr>
                <w:b/>
                <w:szCs w:val="21"/>
              </w:rPr>
            </w:pPr>
            <w:r w:rsidRPr="00DC75D8">
              <w:rPr>
                <w:rFonts w:hint="eastAsia"/>
                <w:b/>
                <w:szCs w:val="21"/>
              </w:rPr>
              <w:t>应付账款</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216,493,220</w:t>
            </w:r>
          </w:p>
        </w:tc>
        <w:tc>
          <w:tcPr>
            <w:tcW w:w="1438" w:type="dxa"/>
            <w:shd w:val="clear" w:color="auto" w:fill="auto"/>
            <w:vAlign w:val="bottom"/>
          </w:tcPr>
          <w:p w:rsidR="007308F8" w:rsidRDefault="007308F8">
            <w:pPr>
              <w:jc w:val="right"/>
              <w:rPr>
                <w:rFonts w:ascii="宋体" w:hAnsi="宋体" w:cs="宋体"/>
                <w:sz w:val="24"/>
              </w:rPr>
            </w:pPr>
            <w:r>
              <w:rPr>
                <w:rFonts w:hint="eastAsia"/>
              </w:rPr>
              <w:t>2.51%</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23,585,567,656</w:t>
            </w:r>
          </w:p>
        </w:tc>
        <w:tc>
          <w:tcPr>
            <w:tcW w:w="1566" w:type="dxa"/>
            <w:shd w:val="clear" w:color="auto" w:fill="auto"/>
            <w:vAlign w:val="bottom"/>
          </w:tcPr>
          <w:p w:rsidR="007308F8" w:rsidRDefault="007308F8">
            <w:pPr>
              <w:jc w:val="right"/>
              <w:rPr>
                <w:rFonts w:ascii="宋体" w:hAnsi="宋体" w:cs="宋体"/>
                <w:sz w:val="24"/>
              </w:rPr>
            </w:pPr>
            <w:r>
              <w:rPr>
                <w:rFonts w:hint="eastAsia"/>
              </w:rPr>
              <w:t>25.81%</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t>预收账款</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hint="eastAsia"/>
                <w:szCs w:val="21"/>
              </w:rPr>
              <w:t>0</w:t>
            </w:r>
          </w:p>
        </w:tc>
        <w:tc>
          <w:tcPr>
            <w:tcW w:w="1438" w:type="dxa"/>
            <w:shd w:val="clear" w:color="auto" w:fill="auto"/>
            <w:vAlign w:val="bottom"/>
          </w:tcPr>
          <w:p w:rsidR="007308F8" w:rsidRDefault="007308F8">
            <w:pPr>
              <w:jc w:val="right"/>
              <w:rPr>
                <w:rFonts w:ascii="宋体" w:hAnsi="宋体" w:cs="宋体"/>
                <w:sz w:val="24"/>
              </w:rPr>
            </w:pPr>
            <w:r>
              <w:rPr>
                <w:rFonts w:hint="eastAsia"/>
              </w:rPr>
              <w:t>0.00%</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18,864,469,264</w:t>
            </w:r>
          </w:p>
        </w:tc>
        <w:tc>
          <w:tcPr>
            <w:tcW w:w="1566" w:type="dxa"/>
            <w:shd w:val="clear" w:color="auto" w:fill="auto"/>
            <w:vAlign w:val="bottom"/>
          </w:tcPr>
          <w:p w:rsidR="007308F8" w:rsidRDefault="007308F8">
            <w:pPr>
              <w:jc w:val="right"/>
              <w:rPr>
                <w:rFonts w:ascii="宋体" w:hAnsi="宋体" w:cs="宋体"/>
                <w:sz w:val="24"/>
              </w:rPr>
            </w:pPr>
            <w:r>
              <w:rPr>
                <w:rFonts w:hint="eastAsia"/>
              </w:rPr>
              <w:t>20.65%</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t>流动负债</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391,347,881</w:t>
            </w:r>
          </w:p>
        </w:tc>
        <w:tc>
          <w:tcPr>
            <w:tcW w:w="1438" w:type="dxa"/>
            <w:shd w:val="clear" w:color="auto" w:fill="auto"/>
            <w:vAlign w:val="bottom"/>
          </w:tcPr>
          <w:p w:rsidR="007308F8" w:rsidRDefault="007308F8">
            <w:pPr>
              <w:jc w:val="right"/>
              <w:rPr>
                <w:rFonts w:ascii="宋体" w:hAnsi="宋体" w:cs="宋体"/>
                <w:sz w:val="24"/>
              </w:rPr>
            </w:pPr>
            <w:r>
              <w:rPr>
                <w:rFonts w:hint="eastAsia"/>
              </w:rPr>
              <w:t>4.55%</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72,856,199,783</w:t>
            </w:r>
          </w:p>
        </w:tc>
        <w:tc>
          <w:tcPr>
            <w:tcW w:w="1566" w:type="dxa"/>
            <w:shd w:val="clear" w:color="auto" w:fill="auto"/>
            <w:vAlign w:val="bottom"/>
          </w:tcPr>
          <w:p w:rsidR="007308F8" w:rsidRDefault="007308F8">
            <w:pPr>
              <w:jc w:val="right"/>
              <w:rPr>
                <w:rFonts w:ascii="宋体" w:hAnsi="宋体" w:cs="宋体"/>
                <w:sz w:val="24"/>
              </w:rPr>
            </w:pPr>
            <w:r>
              <w:rPr>
                <w:rFonts w:hint="eastAsia"/>
              </w:rPr>
              <w:t>79.74%</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t>长期负债合计</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489,266</w:t>
            </w:r>
          </w:p>
        </w:tc>
        <w:tc>
          <w:tcPr>
            <w:tcW w:w="1438" w:type="dxa"/>
            <w:shd w:val="clear" w:color="auto" w:fill="auto"/>
            <w:vAlign w:val="bottom"/>
          </w:tcPr>
          <w:p w:rsidR="007308F8" w:rsidRDefault="007308F8">
            <w:pPr>
              <w:jc w:val="right"/>
              <w:rPr>
                <w:rFonts w:ascii="宋体" w:hAnsi="宋体" w:cs="宋体"/>
                <w:sz w:val="24"/>
              </w:rPr>
            </w:pPr>
            <w:r>
              <w:rPr>
                <w:rFonts w:hint="eastAsia"/>
              </w:rPr>
              <w:t>0.57%</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539,644,680</w:t>
            </w:r>
          </w:p>
        </w:tc>
        <w:tc>
          <w:tcPr>
            <w:tcW w:w="1566" w:type="dxa"/>
            <w:shd w:val="clear" w:color="auto" w:fill="auto"/>
            <w:vAlign w:val="bottom"/>
          </w:tcPr>
          <w:p w:rsidR="007308F8" w:rsidRDefault="007308F8">
            <w:pPr>
              <w:jc w:val="right"/>
              <w:rPr>
                <w:rFonts w:ascii="宋体" w:hAnsi="宋体" w:cs="宋体"/>
                <w:sz w:val="24"/>
              </w:rPr>
            </w:pPr>
            <w:r>
              <w:rPr>
                <w:rFonts w:hint="eastAsia"/>
              </w:rPr>
              <w:t>0.59%</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t>负债合计</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391,837,147</w:t>
            </w:r>
          </w:p>
        </w:tc>
        <w:tc>
          <w:tcPr>
            <w:tcW w:w="1438" w:type="dxa"/>
            <w:shd w:val="clear" w:color="auto" w:fill="auto"/>
            <w:vAlign w:val="bottom"/>
          </w:tcPr>
          <w:p w:rsidR="007308F8" w:rsidRDefault="007308F8">
            <w:pPr>
              <w:jc w:val="right"/>
              <w:rPr>
                <w:rFonts w:ascii="宋体" w:hAnsi="宋体" w:cs="宋体"/>
                <w:sz w:val="24"/>
              </w:rPr>
            </w:pPr>
            <w:r>
              <w:rPr>
                <w:rFonts w:hint="eastAsia"/>
              </w:rPr>
              <w:t>4.55%</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73,395,844,464</w:t>
            </w:r>
          </w:p>
        </w:tc>
        <w:tc>
          <w:tcPr>
            <w:tcW w:w="1566" w:type="dxa"/>
            <w:shd w:val="clear" w:color="auto" w:fill="auto"/>
            <w:vAlign w:val="bottom"/>
          </w:tcPr>
          <w:p w:rsidR="007308F8" w:rsidRDefault="007308F8">
            <w:pPr>
              <w:jc w:val="right"/>
              <w:rPr>
                <w:rFonts w:ascii="宋体" w:hAnsi="宋体" w:cs="宋体"/>
                <w:sz w:val="24"/>
              </w:rPr>
            </w:pPr>
            <w:r>
              <w:rPr>
                <w:rFonts w:hint="eastAsia"/>
              </w:rPr>
              <w:t>80.33%</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t>股东权益</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8,218,386,815</w:t>
            </w:r>
          </w:p>
        </w:tc>
        <w:tc>
          <w:tcPr>
            <w:tcW w:w="1438" w:type="dxa"/>
            <w:shd w:val="clear" w:color="auto" w:fill="auto"/>
            <w:vAlign w:val="bottom"/>
          </w:tcPr>
          <w:p w:rsidR="007308F8" w:rsidRDefault="007308F8">
            <w:pPr>
              <w:jc w:val="right"/>
              <w:rPr>
                <w:rFonts w:ascii="宋体" w:hAnsi="宋体" w:cs="宋体"/>
                <w:sz w:val="24"/>
              </w:rPr>
            </w:pPr>
            <w:r>
              <w:rPr>
                <w:rFonts w:hint="eastAsia"/>
              </w:rPr>
              <w:t>95.45%</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17,968,568,211</w:t>
            </w:r>
          </w:p>
        </w:tc>
        <w:tc>
          <w:tcPr>
            <w:tcW w:w="1566" w:type="dxa"/>
            <w:shd w:val="clear" w:color="auto" w:fill="auto"/>
            <w:vAlign w:val="bottom"/>
          </w:tcPr>
          <w:p w:rsidR="007308F8" w:rsidRDefault="007308F8">
            <w:pPr>
              <w:jc w:val="right"/>
              <w:rPr>
                <w:rFonts w:ascii="宋体" w:hAnsi="宋体" w:cs="宋体"/>
                <w:sz w:val="24"/>
              </w:rPr>
            </w:pPr>
            <w:r>
              <w:rPr>
                <w:rFonts w:hint="eastAsia"/>
              </w:rPr>
              <w:t>19.67%</w:t>
            </w:r>
          </w:p>
        </w:tc>
      </w:tr>
      <w:tr w:rsidR="007308F8" w:rsidRPr="00DC75D8">
        <w:tc>
          <w:tcPr>
            <w:tcW w:w="2129" w:type="dxa"/>
          </w:tcPr>
          <w:p w:rsidR="007308F8" w:rsidRPr="00DC75D8" w:rsidRDefault="007308F8" w:rsidP="00D12F72">
            <w:pPr>
              <w:jc w:val="center"/>
              <w:rPr>
                <w:b/>
                <w:szCs w:val="21"/>
              </w:rPr>
            </w:pPr>
            <w:r w:rsidRPr="00DC75D8">
              <w:rPr>
                <w:rFonts w:hint="eastAsia"/>
                <w:b/>
                <w:szCs w:val="21"/>
              </w:rPr>
              <w:t>负债与股东权益合计</w:t>
            </w:r>
          </w:p>
        </w:tc>
        <w:tc>
          <w:tcPr>
            <w:tcW w:w="1581"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8,610,223,963</w:t>
            </w:r>
          </w:p>
        </w:tc>
        <w:tc>
          <w:tcPr>
            <w:tcW w:w="1438" w:type="dxa"/>
            <w:shd w:val="clear" w:color="auto" w:fill="auto"/>
            <w:vAlign w:val="bottom"/>
          </w:tcPr>
          <w:p w:rsidR="007308F8" w:rsidRDefault="007308F8">
            <w:pPr>
              <w:jc w:val="right"/>
              <w:rPr>
                <w:rFonts w:ascii="宋体" w:hAnsi="宋体" w:cs="宋体"/>
                <w:sz w:val="24"/>
              </w:rPr>
            </w:pPr>
            <w:r>
              <w:rPr>
                <w:rFonts w:hint="eastAsia"/>
              </w:rPr>
              <w:t>100.00%</w:t>
            </w:r>
          </w:p>
        </w:tc>
        <w:tc>
          <w:tcPr>
            <w:tcW w:w="1506" w:type="dxa"/>
            <w:shd w:val="clear" w:color="auto" w:fill="auto"/>
            <w:vAlign w:val="bottom"/>
          </w:tcPr>
          <w:p w:rsidR="007308F8" w:rsidRPr="00DC75D8" w:rsidRDefault="007308F8">
            <w:pPr>
              <w:jc w:val="right"/>
              <w:rPr>
                <w:rFonts w:ascii="宋体" w:hAnsi="宋体" w:cs="宋体"/>
                <w:szCs w:val="21"/>
              </w:rPr>
            </w:pPr>
            <w:r w:rsidRPr="00DC75D8">
              <w:rPr>
                <w:rFonts w:ascii="宋体" w:hAnsi="宋体" w:cs="宋体"/>
                <w:szCs w:val="21"/>
              </w:rPr>
              <w:t>91,364,412,676</w:t>
            </w:r>
          </w:p>
        </w:tc>
        <w:tc>
          <w:tcPr>
            <w:tcW w:w="1566" w:type="dxa"/>
            <w:shd w:val="clear" w:color="auto" w:fill="auto"/>
            <w:vAlign w:val="bottom"/>
          </w:tcPr>
          <w:p w:rsidR="007308F8" w:rsidRDefault="007308F8">
            <w:pPr>
              <w:jc w:val="right"/>
              <w:rPr>
                <w:rFonts w:ascii="宋体" w:hAnsi="宋体" w:cs="宋体"/>
                <w:sz w:val="24"/>
              </w:rPr>
            </w:pPr>
            <w:r>
              <w:rPr>
                <w:rFonts w:hint="eastAsia"/>
              </w:rPr>
              <w:t>100.00%</w:t>
            </w:r>
          </w:p>
        </w:tc>
      </w:tr>
    </w:tbl>
    <w:p w:rsidR="003F3BD5" w:rsidRPr="003F3BD5" w:rsidRDefault="003F3BD5" w:rsidP="003F3BD5">
      <w:pPr>
        <w:autoSpaceDE w:val="0"/>
        <w:autoSpaceDN w:val="0"/>
        <w:adjustRightInd w:val="0"/>
        <w:ind w:firstLineChars="196" w:firstLine="413"/>
        <w:jc w:val="left"/>
        <w:rPr>
          <w:rFonts w:ascii="宋体" w:cs="宋体"/>
          <w:b/>
          <w:kern w:val="0"/>
          <w:szCs w:val="21"/>
        </w:rPr>
      </w:pPr>
      <w:r w:rsidRPr="003F3BD5">
        <w:rPr>
          <w:rFonts w:ascii="宋体" w:cs="宋体" w:hint="eastAsia"/>
          <w:b/>
          <w:kern w:val="0"/>
          <w:szCs w:val="21"/>
        </w:rPr>
        <w:t>由上表</w:t>
      </w:r>
      <w:r>
        <w:rPr>
          <w:rFonts w:ascii="宋体" w:cs="宋体" w:hint="eastAsia"/>
          <w:b/>
          <w:kern w:val="0"/>
          <w:szCs w:val="21"/>
        </w:rPr>
        <w:t>我们可以得出下列结论</w:t>
      </w:r>
      <w:r w:rsidRPr="003F3BD5">
        <w:rPr>
          <w:rFonts w:ascii="宋体" w:cs="宋体" w:hint="eastAsia"/>
          <w:b/>
          <w:kern w:val="0"/>
          <w:szCs w:val="21"/>
        </w:rPr>
        <w:t>：</w:t>
      </w:r>
    </w:p>
    <w:p w:rsidR="00F86275" w:rsidRPr="00DB1908" w:rsidRDefault="003F3BD5" w:rsidP="00DB1908">
      <w:pPr>
        <w:autoSpaceDE w:val="0"/>
        <w:autoSpaceDN w:val="0"/>
        <w:adjustRightInd w:val="0"/>
        <w:ind w:firstLineChars="196" w:firstLine="413"/>
        <w:jc w:val="left"/>
        <w:rPr>
          <w:rFonts w:ascii="宋体" w:cs="宋体"/>
          <w:b/>
          <w:kern w:val="0"/>
          <w:szCs w:val="21"/>
        </w:rPr>
      </w:pPr>
      <w:r w:rsidRPr="003F3BD5">
        <w:rPr>
          <w:b/>
          <w:kern w:val="0"/>
          <w:szCs w:val="21"/>
        </w:rPr>
        <w:t>1 .</w:t>
      </w:r>
      <w:r w:rsidRPr="003F3BD5">
        <w:rPr>
          <w:rFonts w:ascii="宋体" w:cs="宋体" w:hint="eastAsia"/>
          <w:b/>
          <w:kern w:val="0"/>
          <w:szCs w:val="21"/>
        </w:rPr>
        <w:t>虽然有海尔集团这个名声显赫的靠山，但</w:t>
      </w:r>
      <w:r w:rsidR="00F86275">
        <w:rPr>
          <w:rFonts w:ascii="宋体" w:cs="宋体" w:hint="eastAsia"/>
          <w:b/>
          <w:kern w:val="0"/>
          <w:szCs w:val="21"/>
        </w:rPr>
        <w:t>青岛海尔</w:t>
      </w:r>
      <w:r w:rsidRPr="003F3BD5">
        <w:rPr>
          <w:rFonts w:ascii="宋体" w:cs="宋体" w:hint="eastAsia"/>
          <w:b/>
          <w:kern w:val="0"/>
          <w:szCs w:val="21"/>
        </w:rPr>
        <w:t>实际资产规模并不大</w:t>
      </w:r>
      <w:r w:rsidRPr="003F3BD5">
        <w:rPr>
          <w:b/>
          <w:kern w:val="0"/>
          <w:szCs w:val="21"/>
        </w:rPr>
        <w:t>,20</w:t>
      </w:r>
      <w:r w:rsidR="00F86275">
        <w:rPr>
          <w:rFonts w:hint="eastAsia"/>
          <w:b/>
          <w:kern w:val="0"/>
          <w:szCs w:val="21"/>
        </w:rPr>
        <w:t>12</w:t>
      </w:r>
      <w:r w:rsidRPr="003F3BD5">
        <w:rPr>
          <w:rFonts w:ascii="宋体" w:cs="宋体" w:hint="eastAsia"/>
          <w:b/>
          <w:kern w:val="0"/>
          <w:szCs w:val="21"/>
        </w:rPr>
        <w:t>年末总资产只有格力电器</w:t>
      </w:r>
      <w:r w:rsidR="00F86275">
        <w:rPr>
          <w:rFonts w:ascii="宋体" w:cs="宋体" w:hint="eastAsia"/>
          <w:b/>
          <w:kern w:val="0"/>
          <w:szCs w:val="21"/>
        </w:rPr>
        <w:t>9.42%。这似乎</w:t>
      </w:r>
      <w:r w:rsidRPr="003F3BD5">
        <w:rPr>
          <w:rFonts w:ascii="宋体" w:cs="宋体" w:hint="eastAsia"/>
          <w:b/>
          <w:kern w:val="0"/>
          <w:szCs w:val="21"/>
        </w:rPr>
        <w:t>显示出青岛海尔只是海尔集团庞大资本网络上的一个节点。</w:t>
      </w:r>
      <w:r w:rsidR="00F86275">
        <w:rPr>
          <w:rFonts w:ascii="宋体" w:cs="宋体" w:hint="eastAsia"/>
          <w:b/>
          <w:kern w:val="0"/>
          <w:szCs w:val="21"/>
        </w:rPr>
        <w:t>从这个角度考虑，青岛海尔的未来发展前景似乎更多的需要服从海尔集团的战略部署。因此即使青岛海尔目前占据国内约略三分之一的市场，我们对其前景的估计依然持有不乐观的看法。</w:t>
      </w:r>
    </w:p>
    <w:p w:rsidR="003F3BD5" w:rsidRDefault="003F3BD5" w:rsidP="00DB1908">
      <w:pPr>
        <w:autoSpaceDE w:val="0"/>
        <w:autoSpaceDN w:val="0"/>
        <w:adjustRightInd w:val="0"/>
        <w:ind w:firstLineChars="196" w:firstLine="413"/>
        <w:jc w:val="left"/>
        <w:rPr>
          <w:rFonts w:ascii="宋体" w:cs="宋体"/>
          <w:b/>
          <w:kern w:val="0"/>
          <w:szCs w:val="21"/>
        </w:rPr>
      </w:pPr>
      <w:r w:rsidRPr="003F3BD5">
        <w:rPr>
          <w:b/>
          <w:kern w:val="0"/>
          <w:szCs w:val="21"/>
        </w:rPr>
        <w:t>2 .</w:t>
      </w:r>
      <w:r w:rsidRPr="003F3BD5">
        <w:rPr>
          <w:rFonts w:ascii="宋体" w:cs="宋体" w:hint="eastAsia"/>
          <w:b/>
          <w:kern w:val="0"/>
          <w:szCs w:val="21"/>
        </w:rPr>
        <w:t>在资产结构方面，青岛海尔应收账款的比重明显高于格力电器和，考虑到应收账款中大</w:t>
      </w:r>
      <w:r w:rsidR="00DB1908">
        <w:rPr>
          <w:rFonts w:ascii="宋体" w:cs="宋体" w:hint="eastAsia"/>
          <w:b/>
          <w:kern w:val="0"/>
          <w:szCs w:val="21"/>
        </w:rPr>
        <w:t>部分为应收关联方款，因此可能是由于关联方过多地占用青岛海尔资金，这可能造成无法及时筹足足够的营运资金以满足不断扩大的市场需求。</w:t>
      </w:r>
    </w:p>
    <w:p w:rsidR="0098722A" w:rsidRPr="00623EB2" w:rsidRDefault="003F3BD5" w:rsidP="00623EB2">
      <w:pPr>
        <w:autoSpaceDE w:val="0"/>
        <w:autoSpaceDN w:val="0"/>
        <w:adjustRightInd w:val="0"/>
        <w:ind w:firstLineChars="196" w:firstLine="413"/>
        <w:jc w:val="left"/>
        <w:rPr>
          <w:rFonts w:ascii="宋体" w:cs="宋体"/>
          <w:b/>
          <w:kern w:val="0"/>
          <w:szCs w:val="21"/>
        </w:rPr>
      </w:pPr>
      <w:r w:rsidRPr="003F3BD5">
        <w:rPr>
          <w:b/>
          <w:kern w:val="0"/>
          <w:szCs w:val="21"/>
        </w:rPr>
        <w:t>3 .</w:t>
      </w:r>
      <w:r w:rsidRPr="003F3BD5">
        <w:rPr>
          <w:rFonts w:ascii="宋体" w:cs="宋体" w:hint="eastAsia"/>
          <w:b/>
          <w:kern w:val="0"/>
          <w:szCs w:val="21"/>
        </w:rPr>
        <w:t>青岛海尔的存货金额和比重都远远低于</w:t>
      </w:r>
      <w:r w:rsidR="0098722A">
        <w:rPr>
          <w:rFonts w:ascii="宋体" w:cs="宋体" w:hint="eastAsia"/>
          <w:b/>
          <w:kern w:val="0"/>
          <w:szCs w:val="21"/>
        </w:rPr>
        <w:t>格力电器</w:t>
      </w:r>
      <w:r w:rsidRPr="003F3BD5">
        <w:rPr>
          <w:rFonts w:ascii="宋体" w:cs="宋体" w:hint="eastAsia"/>
          <w:b/>
          <w:kern w:val="0"/>
          <w:szCs w:val="21"/>
        </w:rPr>
        <w:t>，这可能是由于青岛海尔一直致力于通过流程再造来减少库存，降低存货资金占用量，但正如会计分析部分所言，青岛海尔的存货计价受关联方交易价格影响极大，这将影响我们对青岛海尔的存货管理效率的判断。</w:t>
      </w:r>
    </w:p>
    <w:p w:rsidR="003F3BD5" w:rsidRPr="003F3BD5" w:rsidRDefault="003F3BD5" w:rsidP="00623EB2">
      <w:pPr>
        <w:autoSpaceDE w:val="0"/>
        <w:autoSpaceDN w:val="0"/>
        <w:adjustRightInd w:val="0"/>
        <w:ind w:firstLineChars="196" w:firstLine="413"/>
        <w:jc w:val="left"/>
        <w:rPr>
          <w:rFonts w:ascii="宋体" w:cs="宋体"/>
          <w:b/>
          <w:kern w:val="0"/>
          <w:szCs w:val="21"/>
        </w:rPr>
      </w:pPr>
      <w:r w:rsidRPr="003F3BD5">
        <w:rPr>
          <w:b/>
          <w:kern w:val="0"/>
          <w:szCs w:val="21"/>
        </w:rPr>
        <w:t xml:space="preserve">4 . </w:t>
      </w:r>
      <w:r w:rsidRPr="003F3BD5">
        <w:rPr>
          <w:rFonts w:ascii="宋体" w:cs="宋体" w:hint="eastAsia"/>
          <w:b/>
          <w:kern w:val="0"/>
          <w:szCs w:val="21"/>
        </w:rPr>
        <w:t>由于存货水平较低，青岛海尔的流动资产比例远低于</w:t>
      </w:r>
      <w:r w:rsidR="00623EB2">
        <w:rPr>
          <w:rFonts w:ascii="宋体" w:cs="宋体" w:hint="eastAsia"/>
          <w:b/>
          <w:kern w:val="0"/>
          <w:szCs w:val="21"/>
        </w:rPr>
        <w:t>格力电器</w:t>
      </w:r>
      <w:r w:rsidRPr="003F3BD5">
        <w:rPr>
          <w:rFonts w:ascii="宋体" w:cs="宋体" w:hint="eastAsia"/>
          <w:b/>
          <w:kern w:val="0"/>
          <w:szCs w:val="21"/>
        </w:rPr>
        <w:t>。但在长期资产方面，青岛海尔的长期股权投资比例和绝对值水平均远髙于竞争对手，而这与海尔集团内部各关联企业间相互投资、相互持股的复杂资本关系有关。这种错综复杂的投资关系将青岛海尔的利益与各关联方紧密联系在一起。</w:t>
      </w:r>
    </w:p>
    <w:p w:rsidR="00BE0B31" w:rsidRDefault="003F3BD5" w:rsidP="00BE0B31">
      <w:pPr>
        <w:autoSpaceDE w:val="0"/>
        <w:autoSpaceDN w:val="0"/>
        <w:adjustRightInd w:val="0"/>
        <w:ind w:firstLineChars="147" w:firstLine="310"/>
        <w:jc w:val="left"/>
        <w:rPr>
          <w:rFonts w:ascii="宋体" w:cs="宋体"/>
          <w:b/>
          <w:kern w:val="0"/>
          <w:szCs w:val="21"/>
        </w:rPr>
      </w:pPr>
      <w:r w:rsidRPr="003F3BD5">
        <w:rPr>
          <w:b/>
          <w:kern w:val="0"/>
          <w:szCs w:val="21"/>
        </w:rPr>
        <w:t>5 .</w:t>
      </w:r>
      <w:r w:rsidRPr="003F3BD5">
        <w:rPr>
          <w:rFonts w:ascii="宋体" w:cs="宋体" w:hint="eastAsia"/>
          <w:b/>
          <w:kern w:val="0"/>
          <w:szCs w:val="21"/>
        </w:rPr>
        <w:t>在资金来源方面，青岛海尔的流动负偾各项目比例均远远低于竞争对手，</w:t>
      </w:r>
      <w:r w:rsidR="00BE0B31">
        <w:rPr>
          <w:rFonts w:ascii="宋体" w:cs="宋体" w:hint="eastAsia"/>
          <w:b/>
          <w:kern w:val="0"/>
          <w:szCs w:val="21"/>
        </w:rPr>
        <w:t>尤其是短期借款、应收票据和预收账款均为零，这在白色家电行业有些反常，但青岛海尔在年报中并没有对此作出合理解释。由于这三项均为非金融负债，青岛海尔可以无偿使用，但目前其</w:t>
      </w:r>
    </w:p>
    <w:p w:rsidR="003F3BD5" w:rsidRPr="003F3BD5" w:rsidRDefault="00BE0B31" w:rsidP="00CC3C80">
      <w:pPr>
        <w:autoSpaceDE w:val="0"/>
        <w:autoSpaceDN w:val="0"/>
        <w:adjustRightInd w:val="0"/>
        <w:jc w:val="left"/>
        <w:rPr>
          <w:rFonts w:ascii="宋体" w:cs="宋体"/>
          <w:b/>
          <w:kern w:val="0"/>
          <w:szCs w:val="21"/>
        </w:rPr>
      </w:pPr>
      <w:r>
        <w:rPr>
          <w:rFonts w:ascii="宋体" w:cs="宋体" w:hint="eastAsia"/>
          <w:b/>
          <w:kern w:val="0"/>
          <w:szCs w:val="21"/>
        </w:rPr>
        <w:t>并没有获得这项商业信用，这是一个反常的信号</w:t>
      </w:r>
      <w:r w:rsidR="00CC3C80">
        <w:rPr>
          <w:rFonts w:ascii="宋体" w:cs="宋体" w:hint="eastAsia"/>
          <w:b/>
          <w:kern w:val="0"/>
          <w:szCs w:val="21"/>
        </w:rPr>
        <w:t>，同时也表明青岛海尔采取的一种稳健的营运资本筹资策略，即流动资产需要长期资本来支持，加大了其资本成本</w:t>
      </w:r>
      <w:r>
        <w:rPr>
          <w:rFonts w:ascii="宋体" w:cs="宋体" w:hint="eastAsia"/>
          <w:b/>
          <w:kern w:val="0"/>
          <w:szCs w:val="21"/>
        </w:rPr>
        <w:t>。</w:t>
      </w:r>
      <w:r w:rsidR="00CC3C80">
        <w:rPr>
          <w:rFonts w:ascii="宋体" w:cs="宋体" w:hint="eastAsia"/>
          <w:b/>
          <w:kern w:val="0"/>
          <w:szCs w:val="21"/>
        </w:rPr>
        <w:t>从融资结构考虑，2012年</w:t>
      </w:r>
      <w:r w:rsidR="003F3BD5" w:rsidRPr="003F3BD5">
        <w:rPr>
          <w:rFonts w:ascii="宋体" w:cs="宋体" w:hint="eastAsia"/>
          <w:b/>
          <w:kern w:val="0"/>
          <w:szCs w:val="21"/>
        </w:rPr>
        <w:t>青岛海尔的流动负债仅占资金来源的</w:t>
      </w:r>
      <w:r w:rsidR="00B279A7">
        <w:rPr>
          <w:rFonts w:hint="eastAsia"/>
          <w:b/>
          <w:kern w:val="0"/>
          <w:szCs w:val="21"/>
        </w:rPr>
        <w:t>4.55</w:t>
      </w:r>
      <w:r w:rsidR="003F3BD5" w:rsidRPr="003F3BD5">
        <w:rPr>
          <w:b/>
          <w:kern w:val="0"/>
          <w:szCs w:val="21"/>
        </w:rPr>
        <w:t>%</w:t>
      </w:r>
      <w:r w:rsidR="003F3BD5" w:rsidRPr="003F3BD5">
        <w:rPr>
          <w:rFonts w:ascii="宋体" w:cs="宋体" w:hint="eastAsia"/>
          <w:b/>
          <w:kern w:val="0"/>
          <w:szCs w:val="21"/>
        </w:rPr>
        <w:t>左右，而格力电器</w:t>
      </w:r>
      <w:r w:rsidR="00B279A7">
        <w:rPr>
          <w:rFonts w:ascii="宋体" w:cs="宋体" w:hint="eastAsia"/>
          <w:b/>
          <w:kern w:val="0"/>
          <w:szCs w:val="21"/>
        </w:rPr>
        <w:t>则占79</w:t>
      </w:r>
      <w:r w:rsidR="003F3BD5" w:rsidRPr="003F3BD5">
        <w:rPr>
          <w:b/>
          <w:kern w:val="0"/>
          <w:szCs w:val="21"/>
        </w:rPr>
        <w:t>% ,</w:t>
      </w:r>
      <w:r w:rsidR="003F3BD5" w:rsidRPr="003F3BD5">
        <w:rPr>
          <w:rFonts w:ascii="宋体" w:cs="宋体" w:hint="eastAsia"/>
          <w:b/>
          <w:kern w:val="0"/>
          <w:szCs w:val="21"/>
        </w:rPr>
        <w:t>这虽然降低了青岛海尔的财务风险，但也表明青岛海尔未能充分利用商业信用优势获取低成本融资。</w:t>
      </w:r>
    </w:p>
    <w:p w:rsidR="003F3BD5" w:rsidRPr="00DB4054" w:rsidRDefault="003F3BD5" w:rsidP="00DB4054">
      <w:pPr>
        <w:autoSpaceDE w:val="0"/>
        <w:autoSpaceDN w:val="0"/>
        <w:adjustRightInd w:val="0"/>
        <w:ind w:firstLineChars="196" w:firstLine="413"/>
        <w:jc w:val="left"/>
        <w:rPr>
          <w:rFonts w:ascii="宋体" w:cs="宋体"/>
          <w:b/>
          <w:kern w:val="0"/>
          <w:szCs w:val="21"/>
        </w:rPr>
      </w:pPr>
      <w:r w:rsidRPr="003F3BD5">
        <w:rPr>
          <w:b/>
          <w:kern w:val="0"/>
          <w:szCs w:val="21"/>
        </w:rPr>
        <w:t>6 .</w:t>
      </w:r>
      <w:r w:rsidRPr="003F3BD5">
        <w:rPr>
          <w:rFonts w:ascii="宋体" w:cs="宋体" w:hint="eastAsia"/>
          <w:b/>
          <w:kern w:val="0"/>
          <w:szCs w:val="21"/>
        </w:rPr>
        <w:t>青岛海尔的负债比例远远低于其竞争对手，主要是依靠股权融资来筹集资金。这说明青岛海尔未能充分利用财务杠杆，在接下来的比率分析中我们将发现较低的财务杠杆是极大地影响了青岛海尔的净资产收益率。过多地依赖权益融资还使得青岛海尔的加权平均</w:t>
      </w:r>
      <w:r w:rsidRPr="003F3BD5">
        <w:rPr>
          <w:rFonts w:ascii="宋体" w:cs="宋体" w:hint="eastAsia"/>
          <w:b/>
          <w:kern w:val="0"/>
          <w:szCs w:val="21"/>
        </w:rPr>
        <w:lastRenderedPageBreak/>
        <w:t>资本成本较高，从而对其经济增加值造成不利影响。</w:t>
      </w:r>
    </w:p>
    <w:p w:rsidR="00B1554B" w:rsidRDefault="00B1554B" w:rsidP="00B1554B">
      <w:pPr>
        <w:numPr>
          <w:ilvl w:val="0"/>
          <w:numId w:val="1"/>
        </w:numPr>
        <w:rPr>
          <w:b/>
          <w:szCs w:val="21"/>
        </w:rPr>
      </w:pPr>
      <w:r>
        <w:rPr>
          <w:rFonts w:hint="eastAsia"/>
          <w:b/>
          <w:szCs w:val="21"/>
        </w:rPr>
        <w:t>利润表结构分析</w:t>
      </w:r>
    </w:p>
    <w:p w:rsidR="00B1554B" w:rsidRDefault="00B1554B" w:rsidP="00B1554B">
      <w:pPr>
        <w:ind w:left="413"/>
        <w:rPr>
          <w:b/>
          <w:szCs w:val="21"/>
        </w:rPr>
      </w:pPr>
      <w:r>
        <w:rPr>
          <w:rFonts w:hint="eastAsia"/>
          <w:b/>
          <w:szCs w:val="21"/>
        </w:rPr>
        <w:t>表</w:t>
      </w:r>
      <w:r>
        <w:rPr>
          <w:rFonts w:hint="eastAsia"/>
          <w:b/>
          <w:szCs w:val="21"/>
        </w:rPr>
        <w:t>4</w:t>
      </w:r>
      <w:r>
        <w:rPr>
          <w:rFonts w:hint="eastAsia"/>
          <w:b/>
          <w:szCs w:val="21"/>
        </w:rPr>
        <w:t>列示了</w:t>
      </w:r>
      <w:r>
        <w:rPr>
          <w:rFonts w:hint="eastAsia"/>
          <w:b/>
          <w:szCs w:val="21"/>
        </w:rPr>
        <w:t>2012</w:t>
      </w:r>
      <w:r>
        <w:rPr>
          <w:rFonts w:hint="eastAsia"/>
          <w:b/>
          <w:szCs w:val="21"/>
        </w:rPr>
        <w:t>年青岛海尔的利润表结构比例以及与格力电器的比较。</w:t>
      </w:r>
    </w:p>
    <w:p w:rsidR="00B1554B" w:rsidRDefault="00B1554B" w:rsidP="00B1554B">
      <w:pPr>
        <w:ind w:left="413"/>
        <w:rPr>
          <w:b/>
          <w:szCs w:val="21"/>
        </w:rPr>
      </w:pPr>
    </w:p>
    <w:p w:rsidR="00B1554B" w:rsidRDefault="00B1554B" w:rsidP="00B1554B">
      <w:pPr>
        <w:ind w:left="413"/>
        <w:rPr>
          <w:b/>
          <w:szCs w:val="21"/>
        </w:rPr>
      </w:pPr>
    </w:p>
    <w:p w:rsidR="00B1554B" w:rsidRDefault="00B1554B" w:rsidP="00B1554B">
      <w:pPr>
        <w:ind w:left="413"/>
        <w:rPr>
          <w:b/>
          <w:szCs w:val="21"/>
        </w:rPr>
      </w:pPr>
    </w:p>
    <w:p w:rsidR="00B1554B" w:rsidRDefault="00B1554B" w:rsidP="00B1554B">
      <w:pPr>
        <w:ind w:left="413"/>
        <w:rPr>
          <w:b/>
          <w:szCs w:val="21"/>
        </w:rPr>
      </w:pPr>
    </w:p>
    <w:p w:rsidR="00B1554B" w:rsidRDefault="00B1554B" w:rsidP="00B1554B">
      <w:pPr>
        <w:ind w:left="413"/>
        <w:rPr>
          <w:b/>
          <w:szCs w:val="21"/>
        </w:rPr>
      </w:pPr>
    </w:p>
    <w:p w:rsidR="00B1554B" w:rsidRDefault="00B1554B" w:rsidP="00B1554B">
      <w:pPr>
        <w:ind w:left="413"/>
        <w:jc w:val="center"/>
        <w:rPr>
          <w:b/>
          <w:szCs w:val="21"/>
        </w:rPr>
      </w:pPr>
      <w:r>
        <w:rPr>
          <w:rFonts w:hint="eastAsia"/>
          <w:b/>
          <w:szCs w:val="21"/>
        </w:rPr>
        <w:t>表</w:t>
      </w:r>
      <w:r>
        <w:rPr>
          <w:rFonts w:hint="eastAsia"/>
          <w:b/>
          <w:szCs w:val="21"/>
        </w:rPr>
        <w:t xml:space="preserve">4 </w:t>
      </w:r>
      <w:r>
        <w:rPr>
          <w:rFonts w:hint="eastAsia"/>
          <w:b/>
          <w:szCs w:val="21"/>
        </w:rPr>
        <w:t>各公司利润表结构比例比较</w:t>
      </w:r>
    </w:p>
    <w:tbl>
      <w:tblPr>
        <w:tblStyle w:val="a3"/>
        <w:tblW w:w="0" w:type="auto"/>
        <w:tblLook w:val="01E0" w:firstRow="1" w:lastRow="1" w:firstColumn="1" w:lastColumn="1" w:noHBand="0" w:noVBand="0"/>
      </w:tblPr>
      <w:tblGrid>
        <w:gridCol w:w="2490"/>
        <w:gridCol w:w="1424"/>
        <w:gridCol w:w="1348"/>
        <w:gridCol w:w="1686"/>
        <w:gridCol w:w="1348"/>
      </w:tblGrid>
      <w:tr w:rsidR="00B1554B">
        <w:trPr>
          <w:trHeight w:val="158"/>
        </w:trPr>
        <w:tc>
          <w:tcPr>
            <w:tcW w:w="2650" w:type="dxa"/>
            <w:vMerge w:val="restart"/>
            <w:vAlign w:val="center"/>
          </w:tcPr>
          <w:p w:rsidR="00B1554B" w:rsidRDefault="00B1554B" w:rsidP="002011FB">
            <w:pPr>
              <w:jc w:val="center"/>
              <w:rPr>
                <w:b/>
                <w:szCs w:val="21"/>
              </w:rPr>
            </w:pPr>
            <w:r>
              <w:rPr>
                <w:rFonts w:hint="eastAsia"/>
                <w:b/>
                <w:szCs w:val="21"/>
              </w:rPr>
              <w:t>项目</w:t>
            </w:r>
          </w:p>
        </w:tc>
        <w:tc>
          <w:tcPr>
            <w:tcW w:w="2805" w:type="dxa"/>
            <w:gridSpan w:val="2"/>
          </w:tcPr>
          <w:p w:rsidR="00B1554B" w:rsidRDefault="00B1554B" w:rsidP="002011FB">
            <w:pPr>
              <w:jc w:val="center"/>
              <w:rPr>
                <w:b/>
                <w:szCs w:val="21"/>
              </w:rPr>
            </w:pPr>
            <w:r>
              <w:rPr>
                <w:rFonts w:hint="eastAsia"/>
                <w:b/>
                <w:szCs w:val="21"/>
              </w:rPr>
              <w:t>青岛海尔</w:t>
            </w:r>
          </w:p>
        </w:tc>
        <w:tc>
          <w:tcPr>
            <w:tcW w:w="3067" w:type="dxa"/>
            <w:gridSpan w:val="2"/>
            <w:shd w:val="clear" w:color="auto" w:fill="auto"/>
          </w:tcPr>
          <w:p w:rsidR="00B1554B" w:rsidRPr="00B1554B" w:rsidRDefault="00B1554B" w:rsidP="002011FB">
            <w:pPr>
              <w:jc w:val="center"/>
              <w:rPr>
                <w:b/>
                <w:szCs w:val="21"/>
              </w:rPr>
            </w:pPr>
            <w:r>
              <w:rPr>
                <w:rFonts w:hint="eastAsia"/>
                <w:b/>
                <w:szCs w:val="21"/>
              </w:rPr>
              <w:t>格力电器</w:t>
            </w:r>
          </w:p>
        </w:tc>
      </w:tr>
      <w:tr w:rsidR="00315AE3">
        <w:trPr>
          <w:trHeight w:val="157"/>
        </w:trPr>
        <w:tc>
          <w:tcPr>
            <w:tcW w:w="2650" w:type="dxa"/>
            <w:vMerge/>
          </w:tcPr>
          <w:p w:rsidR="00315AE3" w:rsidRDefault="00315AE3" w:rsidP="00B1554B">
            <w:pPr>
              <w:rPr>
                <w:b/>
                <w:szCs w:val="21"/>
              </w:rPr>
            </w:pPr>
          </w:p>
        </w:tc>
        <w:tc>
          <w:tcPr>
            <w:tcW w:w="1424" w:type="dxa"/>
            <w:shd w:val="clear" w:color="auto" w:fill="auto"/>
          </w:tcPr>
          <w:p w:rsidR="00315AE3" w:rsidRDefault="002011FB" w:rsidP="00B1554B">
            <w:pPr>
              <w:rPr>
                <w:b/>
                <w:szCs w:val="21"/>
              </w:rPr>
            </w:pPr>
            <w:r>
              <w:rPr>
                <w:rFonts w:hint="eastAsia"/>
                <w:b/>
                <w:szCs w:val="21"/>
              </w:rPr>
              <w:t>金额</w:t>
            </w:r>
          </w:p>
        </w:tc>
        <w:tc>
          <w:tcPr>
            <w:tcW w:w="1381" w:type="dxa"/>
            <w:shd w:val="clear" w:color="auto" w:fill="auto"/>
          </w:tcPr>
          <w:p w:rsidR="00315AE3" w:rsidRDefault="002011FB" w:rsidP="00B1554B">
            <w:pPr>
              <w:rPr>
                <w:b/>
                <w:szCs w:val="21"/>
              </w:rPr>
            </w:pPr>
            <w:r>
              <w:rPr>
                <w:rFonts w:hint="eastAsia"/>
                <w:b/>
                <w:szCs w:val="21"/>
              </w:rPr>
              <w:t>百分比</w:t>
            </w:r>
          </w:p>
        </w:tc>
        <w:tc>
          <w:tcPr>
            <w:tcW w:w="1686" w:type="dxa"/>
            <w:shd w:val="clear" w:color="auto" w:fill="auto"/>
          </w:tcPr>
          <w:p w:rsidR="00315AE3" w:rsidRDefault="002011FB" w:rsidP="00B1554B">
            <w:pPr>
              <w:rPr>
                <w:b/>
                <w:szCs w:val="21"/>
              </w:rPr>
            </w:pPr>
            <w:r>
              <w:rPr>
                <w:rFonts w:hint="eastAsia"/>
                <w:b/>
                <w:szCs w:val="21"/>
              </w:rPr>
              <w:t>金额</w:t>
            </w:r>
          </w:p>
        </w:tc>
        <w:tc>
          <w:tcPr>
            <w:tcW w:w="1381" w:type="dxa"/>
            <w:shd w:val="clear" w:color="auto" w:fill="auto"/>
          </w:tcPr>
          <w:p w:rsidR="00315AE3" w:rsidRDefault="002011FB" w:rsidP="00B1554B">
            <w:pPr>
              <w:rPr>
                <w:b/>
                <w:szCs w:val="21"/>
              </w:rPr>
            </w:pPr>
            <w:r>
              <w:rPr>
                <w:rFonts w:hint="eastAsia"/>
                <w:b/>
                <w:szCs w:val="21"/>
              </w:rPr>
              <w:t>百分比</w:t>
            </w:r>
          </w:p>
        </w:tc>
      </w:tr>
      <w:tr w:rsidR="00E50C93">
        <w:tc>
          <w:tcPr>
            <w:tcW w:w="2650" w:type="dxa"/>
          </w:tcPr>
          <w:p w:rsidR="00E50C93" w:rsidRDefault="00E50C93" w:rsidP="004C6F6C">
            <w:pPr>
              <w:autoSpaceDE w:val="0"/>
              <w:autoSpaceDN w:val="0"/>
              <w:adjustRightInd w:val="0"/>
              <w:jc w:val="left"/>
              <w:rPr>
                <w:rFonts w:ascii="宋体" w:cs="宋体"/>
                <w:b/>
                <w:kern w:val="0"/>
                <w:szCs w:val="21"/>
              </w:rPr>
            </w:pPr>
            <w:r>
              <w:rPr>
                <w:rFonts w:ascii="宋体" w:cs="宋体" w:hint="eastAsia"/>
                <w:b/>
                <w:kern w:val="0"/>
                <w:szCs w:val="21"/>
              </w:rPr>
              <w:t>一营业总收入</w:t>
            </w:r>
          </w:p>
        </w:tc>
        <w:tc>
          <w:tcPr>
            <w:tcW w:w="1424" w:type="dxa"/>
            <w:shd w:val="clear" w:color="auto" w:fill="auto"/>
          </w:tcPr>
          <w:p w:rsidR="00E50C93" w:rsidRPr="002011FB" w:rsidRDefault="00E50C93" w:rsidP="00B1554B">
            <w:pPr>
              <w:rPr>
                <w:b/>
                <w:szCs w:val="21"/>
              </w:rPr>
            </w:pPr>
            <w:r w:rsidRPr="002011FB">
              <w:rPr>
                <w:b/>
                <w:szCs w:val="21"/>
              </w:rPr>
              <w:t>2,789,559,494</w:t>
            </w:r>
          </w:p>
        </w:tc>
        <w:tc>
          <w:tcPr>
            <w:tcW w:w="1381" w:type="dxa"/>
            <w:shd w:val="clear" w:color="auto" w:fill="auto"/>
            <w:vAlign w:val="bottom"/>
          </w:tcPr>
          <w:p w:rsidR="00E50C93" w:rsidRDefault="00E50C93">
            <w:pPr>
              <w:jc w:val="right"/>
              <w:rPr>
                <w:rFonts w:ascii="宋体" w:hAnsi="宋体" w:cs="宋体"/>
                <w:sz w:val="24"/>
              </w:rPr>
            </w:pPr>
            <w:r>
              <w:rPr>
                <w:rFonts w:hint="eastAsia"/>
              </w:rPr>
              <w:t>100.00%</w:t>
            </w:r>
          </w:p>
        </w:tc>
        <w:tc>
          <w:tcPr>
            <w:tcW w:w="1686" w:type="dxa"/>
            <w:shd w:val="clear" w:color="auto" w:fill="auto"/>
            <w:vAlign w:val="bottom"/>
          </w:tcPr>
          <w:p w:rsidR="00E50C93" w:rsidRDefault="00E50C93">
            <w:pPr>
              <w:jc w:val="right"/>
              <w:rPr>
                <w:rFonts w:ascii="宋体" w:hAnsi="宋体" w:cs="宋体"/>
                <w:sz w:val="24"/>
              </w:rPr>
            </w:pPr>
            <w:r>
              <w:rPr>
                <w:rFonts w:hint="eastAsia"/>
              </w:rPr>
              <w:t>96,826,436,400</w:t>
            </w:r>
          </w:p>
        </w:tc>
        <w:tc>
          <w:tcPr>
            <w:tcW w:w="1381" w:type="dxa"/>
            <w:shd w:val="clear" w:color="auto" w:fill="auto"/>
            <w:vAlign w:val="bottom"/>
          </w:tcPr>
          <w:p w:rsidR="00E50C93" w:rsidRDefault="00E50C93">
            <w:pPr>
              <w:jc w:val="right"/>
              <w:rPr>
                <w:rFonts w:ascii="宋体" w:hAnsi="宋体" w:cs="宋体"/>
                <w:sz w:val="24"/>
              </w:rPr>
            </w:pPr>
            <w:r>
              <w:rPr>
                <w:rFonts w:hint="eastAsia"/>
              </w:rPr>
              <w:t>100.00%</w:t>
            </w:r>
          </w:p>
        </w:tc>
      </w:tr>
      <w:tr w:rsidR="00E50C93">
        <w:tc>
          <w:tcPr>
            <w:tcW w:w="2650" w:type="dxa"/>
          </w:tcPr>
          <w:p w:rsidR="00E50C93" w:rsidRDefault="00E50C93" w:rsidP="004C6F6C">
            <w:pPr>
              <w:autoSpaceDE w:val="0"/>
              <w:autoSpaceDN w:val="0"/>
              <w:adjustRightInd w:val="0"/>
              <w:jc w:val="left"/>
              <w:rPr>
                <w:rFonts w:ascii="宋体" w:cs="宋体"/>
                <w:b/>
                <w:kern w:val="0"/>
                <w:szCs w:val="21"/>
              </w:rPr>
            </w:pPr>
            <w:r>
              <w:rPr>
                <w:rFonts w:ascii="宋体" w:cs="宋体" w:hint="eastAsia"/>
                <w:b/>
                <w:kern w:val="0"/>
                <w:szCs w:val="21"/>
              </w:rPr>
              <w:t>减：营业成本</w:t>
            </w:r>
          </w:p>
        </w:tc>
        <w:tc>
          <w:tcPr>
            <w:tcW w:w="1424" w:type="dxa"/>
            <w:shd w:val="clear" w:color="auto" w:fill="auto"/>
          </w:tcPr>
          <w:p w:rsidR="00E50C93" w:rsidRPr="002011FB" w:rsidRDefault="00E50C93" w:rsidP="00B1554B">
            <w:pPr>
              <w:rPr>
                <w:b/>
                <w:szCs w:val="21"/>
              </w:rPr>
            </w:pPr>
            <w:r w:rsidRPr="002011FB">
              <w:rPr>
                <w:b/>
                <w:szCs w:val="21"/>
              </w:rPr>
              <w:t>1,918,381,843</w:t>
            </w:r>
          </w:p>
        </w:tc>
        <w:tc>
          <w:tcPr>
            <w:tcW w:w="1381" w:type="dxa"/>
            <w:shd w:val="clear" w:color="auto" w:fill="auto"/>
            <w:vAlign w:val="bottom"/>
          </w:tcPr>
          <w:p w:rsidR="00E50C93" w:rsidRDefault="00E50C93">
            <w:pPr>
              <w:jc w:val="right"/>
              <w:rPr>
                <w:rFonts w:ascii="宋体" w:hAnsi="宋体" w:cs="宋体"/>
                <w:sz w:val="24"/>
              </w:rPr>
            </w:pPr>
            <w:r>
              <w:rPr>
                <w:rFonts w:hint="eastAsia"/>
              </w:rPr>
              <w:t>68.77%</w:t>
            </w:r>
          </w:p>
        </w:tc>
        <w:tc>
          <w:tcPr>
            <w:tcW w:w="1686" w:type="dxa"/>
            <w:shd w:val="clear" w:color="auto" w:fill="auto"/>
            <w:vAlign w:val="bottom"/>
          </w:tcPr>
          <w:p w:rsidR="00E50C93" w:rsidRDefault="00E50C93">
            <w:pPr>
              <w:jc w:val="right"/>
              <w:rPr>
                <w:rFonts w:ascii="宋体" w:hAnsi="宋体" w:cs="宋体"/>
                <w:sz w:val="24"/>
              </w:rPr>
            </w:pPr>
            <w:r>
              <w:rPr>
                <w:rFonts w:hint="eastAsia"/>
              </w:rPr>
              <w:t>76,484,384,303</w:t>
            </w:r>
          </w:p>
        </w:tc>
        <w:tc>
          <w:tcPr>
            <w:tcW w:w="1381" w:type="dxa"/>
            <w:shd w:val="clear" w:color="auto" w:fill="auto"/>
            <w:vAlign w:val="bottom"/>
          </w:tcPr>
          <w:p w:rsidR="00E50C93" w:rsidRDefault="00E50C93">
            <w:pPr>
              <w:jc w:val="right"/>
              <w:rPr>
                <w:rFonts w:ascii="宋体" w:hAnsi="宋体" w:cs="宋体"/>
                <w:sz w:val="24"/>
              </w:rPr>
            </w:pPr>
            <w:r>
              <w:rPr>
                <w:rFonts w:hint="eastAsia"/>
              </w:rPr>
              <w:t>78.99%</w:t>
            </w:r>
          </w:p>
        </w:tc>
      </w:tr>
      <w:tr w:rsidR="00E50C93">
        <w:tc>
          <w:tcPr>
            <w:tcW w:w="2650" w:type="dxa"/>
          </w:tcPr>
          <w:p w:rsidR="00E50C93" w:rsidRDefault="00E50C93" w:rsidP="004C6F6C">
            <w:pPr>
              <w:autoSpaceDE w:val="0"/>
              <w:autoSpaceDN w:val="0"/>
              <w:adjustRightInd w:val="0"/>
              <w:jc w:val="left"/>
              <w:rPr>
                <w:rFonts w:ascii="宋体" w:cs="宋体"/>
                <w:b/>
                <w:kern w:val="0"/>
                <w:szCs w:val="21"/>
              </w:rPr>
            </w:pPr>
            <w:r>
              <w:rPr>
                <w:rFonts w:ascii="宋体" w:cs="宋体" w:hint="eastAsia"/>
                <w:b/>
                <w:kern w:val="0"/>
                <w:szCs w:val="21"/>
              </w:rPr>
              <w:t>营业税金及附加</w:t>
            </w:r>
          </w:p>
        </w:tc>
        <w:tc>
          <w:tcPr>
            <w:tcW w:w="1424" w:type="dxa"/>
            <w:shd w:val="clear" w:color="auto" w:fill="auto"/>
          </w:tcPr>
          <w:p w:rsidR="00E50C93" w:rsidRPr="002011FB" w:rsidRDefault="00E50C93" w:rsidP="00B1554B">
            <w:pPr>
              <w:rPr>
                <w:b/>
                <w:szCs w:val="21"/>
              </w:rPr>
            </w:pPr>
            <w:r w:rsidRPr="002011FB">
              <w:rPr>
                <w:b/>
                <w:szCs w:val="21"/>
              </w:rPr>
              <w:t>11,822,392</w:t>
            </w:r>
          </w:p>
        </w:tc>
        <w:tc>
          <w:tcPr>
            <w:tcW w:w="1381" w:type="dxa"/>
            <w:shd w:val="clear" w:color="auto" w:fill="auto"/>
            <w:vAlign w:val="bottom"/>
          </w:tcPr>
          <w:p w:rsidR="00E50C93" w:rsidRDefault="00E50C93">
            <w:pPr>
              <w:jc w:val="right"/>
              <w:rPr>
                <w:rFonts w:ascii="宋体" w:hAnsi="宋体" w:cs="宋体"/>
                <w:sz w:val="24"/>
              </w:rPr>
            </w:pPr>
            <w:r>
              <w:rPr>
                <w:rFonts w:hint="eastAsia"/>
              </w:rPr>
              <w:t>0.42%</w:t>
            </w:r>
          </w:p>
        </w:tc>
        <w:tc>
          <w:tcPr>
            <w:tcW w:w="1686" w:type="dxa"/>
            <w:shd w:val="clear" w:color="auto" w:fill="auto"/>
            <w:vAlign w:val="bottom"/>
          </w:tcPr>
          <w:p w:rsidR="00E50C93" w:rsidRDefault="00E50C93">
            <w:pPr>
              <w:jc w:val="right"/>
              <w:rPr>
                <w:rFonts w:ascii="宋体" w:hAnsi="宋体" w:cs="宋体"/>
                <w:sz w:val="24"/>
              </w:rPr>
            </w:pPr>
            <w:r>
              <w:rPr>
                <w:rFonts w:hint="eastAsia"/>
              </w:rPr>
              <w:t>408,426,398</w:t>
            </w:r>
          </w:p>
        </w:tc>
        <w:tc>
          <w:tcPr>
            <w:tcW w:w="1381" w:type="dxa"/>
            <w:shd w:val="clear" w:color="auto" w:fill="auto"/>
            <w:vAlign w:val="bottom"/>
          </w:tcPr>
          <w:p w:rsidR="00E50C93" w:rsidRDefault="00E50C93">
            <w:pPr>
              <w:jc w:val="right"/>
              <w:rPr>
                <w:rFonts w:ascii="宋体" w:hAnsi="宋体" w:cs="宋体"/>
                <w:sz w:val="24"/>
              </w:rPr>
            </w:pPr>
            <w:r>
              <w:rPr>
                <w:rFonts w:hint="eastAsia"/>
              </w:rPr>
              <w:t>0.42%</w:t>
            </w:r>
          </w:p>
        </w:tc>
      </w:tr>
      <w:tr w:rsidR="00E50C93">
        <w:tc>
          <w:tcPr>
            <w:tcW w:w="2650" w:type="dxa"/>
          </w:tcPr>
          <w:p w:rsidR="00E50C93" w:rsidRDefault="00E50C93" w:rsidP="004C6F6C">
            <w:pPr>
              <w:autoSpaceDE w:val="0"/>
              <w:autoSpaceDN w:val="0"/>
              <w:adjustRightInd w:val="0"/>
              <w:jc w:val="left"/>
              <w:rPr>
                <w:rFonts w:ascii="宋体" w:cs="宋体"/>
                <w:b/>
                <w:kern w:val="0"/>
                <w:szCs w:val="21"/>
              </w:rPr>
            </w:pPr>
            <w:r>
              <w:rPr>
                <w:rFonts w:ascii="宋体" w:cs="宋体" w:hint="eastAsia"/>
                <w:b/>
                <w:kern w:val="0"/>
                <w:szCs w:val="21"/>
              </w:rPr>
              <w:t>销售费用</w:t>
            </w:r>
          </w:p>
        </w:tc>
        <w:tc>
          <w:tcPr>
            <w:tcW w:w="1424" w:type="dxa"/>
            <w:shd w:val="clear" w:color="auto" w:fill="auto"/>
          </w:tcPr>
          <w:p w:rsidR="00E50C93" w:rsidRPr="002011FB" w:rsidRDefault="00E50C93" w:rsidP="00B1554B">
            <w:pPr>
              <w:rPr>
                <w:b/>
                <w:szCs w:val="21"/>
              </w:rPr>
            </w:pPr>
            <w:r w:rsidRPr="002011FB">
              <w:rPr>
                <w:b/>
                <w:szCs w:val="21"/>
              </w:rPr>
              <w:t>200,407,096</w:t>
            </w:r>
          </w:p>
        </w:tc>
        <w:tc>
          <w:tcPr>
            <w:tcW w:w="1381" w:type="dxa"/>
            <w:shd w:val="clear" w:color="auto" w:fill="auto"/>
            <w:vAlign w:val="bottom"/>
          </w:tcPr>
          <w:p w:rsidR="00E50C93" w:rsidRDefault="00E50C93">
            <w:pPr>
              <w:jc w:val="right"/>
              <w:rPr>
                <w:rFonts w:ascii="宋体" w:hAnsi="宋体" w:cs="宋体"/>
                <w:sz w:val="24"/>
              </w:rPr>
            </w:pPr>
            <w:r>
              <w:rPr>
                <w:rFonts w:hint="eastAsia"/>
              </w:rPr>
              <w:t>7.18%</w:t>
            </w:r>
          </w:p>
        </w:tc>
        <w:tc>
          <w:tcPr>
            <w:tcW w:w="1686" w:type="dxa"/>
            <w:shd w:val="clear" w:color="auto" w:fill="auto"/>
            <w:vAlign w:val="bottom"/>
          </w:tcPr>
          <w:p w:rsidR="00E50C93" w:rsidRDefault="00E50C93">
            <w:pPr>
              <w:jc w:val="right"/>
              <w:rPr>
                <w:rFonts w:ascii="宋体" w:hAnsi="宋体" w:cs="宋体"/>
                <w:sz w:val="24"/>
              </w:rPr>
            </w:pPr>
            <w:r>
              <w:rPr>
                <w:rFonts w:hint="eastAsia"/>
              </w:rPr>
              <w:t>14,131,075,887</w:t>
            </w:r>
          </w:p>
        </w:tc>
        <w:tc>
          <w:tcPr>
            <w:tcW w:w="1381" w:type="dxa"/>
            <w:shd w:val="clear" w:color="auto" w:fill="auto"/>
            <w:vAlign w:val="bottom"/>
          </w:tcPr>
          <w:p w:rsidR="00E50C93" w:rsidRDefault="00E50C93">
            <w:pPr>
              <w:jc w:val="right"/>
              <w:rPr>
                <w:rFonts w:ascii="宋体" w:hAnsi="宋体" w:cs="宋体"/>
                <w:sz w:val="24"/>
              </w:rPr>
            </w:pPr>
            <w:r>
              <w:rPr>
                <w:rFonts w:hint="eastAsia"/>
              </w:rPr>
              <w:t>14.59%</w:t>
            </w:r>
          </w:p>
        </w:tc>
      </w:tr>
      <w:tr w:rsidR="00E50C93">
        <w:tc>
          <w:tcPr>
            <w:tcW w:w="2650" w:type="dxa"/>
          </w:tcPr>
          <w:p w:rsidR="00E50C93" w:rsidRDefault="00E50C93" w:rsidP="004C6F6C">
            <w:pPr>
              <w:autoSpaceDE w:val="0"/>
              <w:autoSpaceDN w:val="0"/>
              <w:adjustRightInd w:val="0"/>
              <w:jc w:val="left"/>
              <w:rPr>
                <w:rFonts w:ascii="宋体" w:cs="宋体"/>
                <w:b/>
                <w:kern w:val="0"/>
                <w:szCs w:val="21"/>
              </w:rPr>
            </w:pPr>
            <w:r>
              <w:rPr>
                <w:rFonts w:ascii="宋体" w:cs="宋体" w:hint="eastAsia"/>
                <w:b/>
                <w:kern w:val="0"/>
                <w:szCs w:val="21"/>
              </w:rPr>
              <w:t>管理费用</w:t>
            </w:r>
          </w:p>
        </w:tc>
        <w:tc>
          <w:tcPr>
            <w:tcW w:w="1424" w:type="dxa"/>
            <w:shd w:val="clear" w:color="auto" w:fill="auto"/>
          </w:tcPr>
          <w:p w:rsidR="00E50C93" w:rsidRPr="002011FB" w:rsidRDefault="00E50C93" w:rsidP="00B1554B">
            <w:pPr>
              <w:rPr>
                <w:b/>
                <w:szCs w:val="21"/>
              </w:rPr>
            </w:pPr>
            <w:r w:rsidRPr="002011FB">
              <w:rPr>
                <w:b/>
                <w:szCs w:val="21"/>
              </w:rPr>
              <w:t>438,563,323</w:t>
            </w:r>
          </w:p>
        </w:tc>
        <w:tc>
          <w:tcPr>
            <w:tcW w:w="1381" w:type="dxa"/>
            <w:shd w:val="clear" w:color="auto" w:fill="auto"/>
            <w:vAlign w:val="bottom"/>
          </w:tcPr>
          <w:p w:rsidR="00E50C93" w:rsidRDefault="00E50C93">
            <w:pPr>
              <w:jc w:val="right"/>
              <w:rPr>
                <w:rFonts w:ascii="宋体" w:hAnsi="宋体" w:cs="宋体"/>
                <w:sz w:val="24"/>
              </w:rPr>
            </w:pPr>
            <w:r>
              <w:rPr>
                <w:rFonts w:hint="eastAsia"/>
              </w:rPr>
              <w:t>15.72%</w:t>
            </w:r>
          </w:p>
        </w:tc>
        <w:tc>
          <w:tcPr>
            <w:tcW w:w="1686" w:type="dxa"/>
            <w:shd w:val="clear" w:color="auto" w:fill="auto"/>
            <w:vAlign w:val="bottom"/>
          </w:tcPr>
          <w:p w:rsidR="00E50C93" w:rsidRDefault="00E50C93">
            <w:pPr>
              <w:jc w:val="right"/>
              <w:rPr>
                <w:rFonts w:ascii="宋体" w:hAnsi="宋体" w:cs="宋体"/>
                <w:sz w:val="24"/>
              </w:rPr>
            </w:pPr>
            <w:r>
              <w:rPr>
                <w:rFonts w:hint="eastAsia"/>
              </w:rPr>
              <w:t>2,051,591,692</w:t>
            </w:r>
          </w:p>
        </w:tc>
        <w:tc>
          <w:tcPr>
            <w:tcW w:w="1381" w:type="dxa"/>
            <w:shd w:val="clear" w:color="auto" w:fill="auto"/>
            <w:vAlign w:val="bottom"/>
          </w:tcPr>
          <w:p w:rsidR="00E50C93" w:rsidRDefault="00E50C93">
            <w:pPr>
              <w:jc w:val="right"/>
              <w:rPr>
                <w:rFonts w:ascii="宋体" w:hAnsi="宋体" w:cs="宋体"/>
                <w:sz w:val="24"/>
              </w:rPr>
            </w:pPr>
            <w:r>
              <w:rPr>
                <w:rFonts w:hint="eastAsia"/>
              </w:rPr>
              <w:t>2.12%</w:t>
            </w:r>
          </w:p>
        </w:tc>
      </w:tr>
      <w:tr w:rsidR="00E50C93">
        <w:tc>
          <w:tcPr>
            <w:tcW w:w="2650" w:type="dxa"/>
          </w:tcPr>
          <w:p w:rsidR="00E50C93" w:rsidRDefault="00E50C93" w:rsidP="004C6F6C">
            <w:pPr>
              <w:autoSpaceDE w:val="0"/>
              <w:autoSpaceDN w:val="0"/>
              <w:adjustRightInd w:val="0"/>
              <w:jc w:val="left"/>
              <w:rPr>
                <w:rFonts w:ascii="宋体" w:cs="宋体"/>
                <w:b/>
                <w:kern w:val="0"/>
                <w:szCs w:val="21"/>
              </w:rPr>
            </w:pPr>
            <w:r>
              <w:rPr>
                <w:rFonts w:ascii="宋体" w:cs="宋体" w:hint="eastAsia"/>
                <w:b/>
                <w:kern w:val="0"/>
                <w:szCs w:val="21"/>
              </w:rPr>
              <w:t>财务费用</w:t>
            </w:r>
          </w:p>
        </w:tc>
        <w:tc>
          <w:tcPr>
            <w:tcW w:w="1424" w:type="dxa"/>
            <w:shd w:val="clear" w:color="auto" w:fill="auto"/>
          </w:tcPr>
          <w:p w:rsidR="00E50C93" w:rsidRPr="002011FB" w:rsidRDefault="00E50C93" w:rsidP="00B1554B">
            <w:pPr>
              <w:rPr>
                <w:b/>
                <w:szCs w:val="21"/>
              </w:rPr>
            </w:pPr>
            <w:r w:rsidRPr="002011FB">
              <w:rPr>
                <w:b/>
                <w:szCs w:val="21"/>
              </w:rPr>
              <w:t>1,773,045</w:t>
            </w:r>
          </w:p>
        </w:tc>
        <w:tc>
          <w:tcPr>
            <w:tcW w:w="1381" w:type="dxa"/>
            <w:shd w:val="clear" w:color="auto" w:fill="auto"/>
            <w:vAlign w:val="bottom"/>
          </w:tcPr>
          <w:p w:rsidR="00E50C93" w:rsidRDefault="00E50C93">
            <w:pPr>
              <w:jc w:val="right"/>
              <w:rPr>
                <w:rFonts w:ascii="宋体" w:hAnsi="宋体" w:cs="宋体"/>
                <w:sz w:val="24"/>
              </w:rPr>
            </w:pPr>
            <w:r>
              <w:rPr>
                <w:rFonts w:hint="eastAsia"/>
              </w:rPr>
              <w:t>0.06%</w:t>
            </w:r>
          </w:p>
        </w:tc>
        <w:tc>
          <w:tcPr>
            <w:tcW w:w="1686" w:type="dxa"/>
            <w:shd w:val="clear" w:color="auto" w:fill="auto"/>
            <w:vAlign w:val="bottom"/>
          </w:tcPr>
          <w:p w:rsidR="00E50C93" w:rsidRDefault="00E50C93">
            <w:pPr>
              <w:jc w:val="right"/>
              <w:rPr>
                <w:rFonts w:ascii="宋体" w:hAnsi="宋体" w:cs="宋体"/>
                <w:sz w:val="24"/>
              </w:rPr>
            </w:pPr>
            <w:r>
              <w:rPr>
                <w:rFonts w:hint="eastAsia"/>
              </w:rPr>
              <w:t>-899,960,141</w:t>
            </w:r>
          </w:p>
        </w:tc>
        <w:tc>
          <w:tcPr>
            <w:tcW w:w="1381" w:type="dxa"/>
            <w:shd w:val="clear" w:color="auto" w:fill="auto"/>
            <w:vAlign w:val="bottom"/>
          </w:tcPr>
          <w:p w:rsidR="00E50C93" w:rsidRDefault="00E50C93">
            <w:pPr>
              <w:jc w:val="right"/>
              <w:rPr>
                <w:rFonts w:ascii="宋体" w:hAnsi="宋体" w:cs="宋体"/>
                <w:sz w:val="24"/>
              </w:rPr>
            </w:pPr>
            <w:r>
              <w:rPr>
                <w:rFonts w:hint="eastAsia"/>
              </w:rPr>
              <w:t>-0.93%</w:t>
            </w:r>
          </w:p>
        </w:tc>
      </w:tr>
      <w:tr w:rsidR="00E50C93">
        <w:tc>
          <w:tcPr>
            <w:tcW w:w="2650" w:type="dxa"/>
          </w:tcPr>
          <w:p w:rsidR="00E50C93" w:rsidRDefault="00E50C93" w:rsidP="004C6F6C">
            <w:pPr>
              <w:autoSpaceDE w:val="0"/>
              <w:autoSpaceDN w:val="0"/>
              <w:adjustRightInd w:val="0"/>
              <w:jc w:val="left"/>
              <w:rPr>
                <w:rFonts w:ascii="宋体" w:cs="宋体"/>
                <w:b/>
                <w:kern w:val="0"/>
                <w:szCs w:val="21"/>
              </w:rPr>
            </w:pPr>
            <w:r>
              <w:rPr>
                <w:rFonts w:ascii="宋体" w:cs="宋体" w:hint="eastAsia"/>
                <w:b/>
                <w:kern w:val="0"/>
                <w:szCs w:val="21"/>
              </w:rPr>
              <w:t>资产减值损失</w:t>
            </w:r>
          </w:p>
        </w:tc>
        <w:tc>
          <w:tcPr>
            <w:tcW w:w="1424" w:type="dxa"/>
            <w:shd w:val="clear" w:color="auto" w:fill="auto"/>
          </w:tcPr>
          <w:p w:rsidR="00E50C93" w:rsidRPr="002011FB" w:rsidRDefault="00E50C93" w:rsidP="00B1554B">
            <w:pPr>
              <w:rPr>
                <w:b/>
                <w:szCs w:val="21"/>
              </w:rPr>
            </w:pPr>
            <w:r w:rsidRPr="002011FB">
              <w:rPr>
                <w:b/>
                <w:szCs w:val="21"/>
              </w:rPr>
              <w:t>-10,397,959</w:t>
            </w:r>
          </w:p>
        </w:tc>
        <w:tc>
          <w:tcPr>
            <w:tcW w:w="1381" w:type="dxa"/>
            <w:shd w:val="clear" w:color="auto" w:fill="auto"/>
            <w:vAlign w:val="bottom"/>
          </w:tcPr>
          <w:p w:rsidR="00E50C93" w:rsidRDefault="00E50C93">
            <w:pPr>
              <w:jc w:val="right"/>
              <w:rPr>
                <w:rFonts w:ascii="宋体" w:hAnsi="宋体" w:cs="宋体"/>
                <w:sz w:val="24"/>
              </w:rPr>
            </w:pPr>
            <w:r>
              <w:rPr>
                <w:rFonts w:hint="eastAsia"/>
              </w:rPr>
              <w:t>-0.37%</w:t>
            </w:r>
          </w:p>
        </w:tc>
        <w:tc>
          <w:tcPr>
            <w:tcW w:w="1686" w:type="dxa"/>
            <w:shd w:val="clear" w:color="auto" w:fill="auto"/>
            <w:vAlign w:val="bottom"/>
          </w:tcPr>
          <w:p w:rsidR="00E50C93" w:rsidRDefault="00E50C93">
            <w:pPr>
              <w:jc w:val="right"/>
              <w:rPr>
                <w:rFonts w:ascii="宋体" w:hAnsi="宋体" w:cs="宋体"/>
                <w:sz w:val="24"/>
              </w:rPr>
            </w:pPr>
            <w:r>
              <w:rPr>
                <w:rFonts w:hint="eastAsia"/>
              </w:rPr>
              <w:t>-116,091,297</w:t>
            </w:r>
          </w:p>
        </w:tc>
        <w:tc>
          <w:tcPr>
            <w:tcW w:w="1381" w:type="dxa"/>
            <w:shd w:val="clear" w:color="auto" w:fill="auto"/>
            <w:vAlign w:val="bottom"/>
          </w:tcPr>
          <w:p w:rsidR="00E50C93" w:rsidRDefault="00E50C93">
            <w:pPr>
              <w:jc w:val="right"/>
              <w:rPr>
                <w:rFonts w:ascii="宋体" w:hAnsi="宋体" w:cs="宋体"/>
                <w:sz w:val="24"/>
              </w:rPr>
            </w:pPr>
            <w:r>
              <w:rPr>
                <w:rFonts w:hint="eastAsia"/>
              </w:rPr>
              <w:t>-0.12%</w:t>
            </w:r>
          </w:p>
        </w:tc>
      </w:tr>
      <w:tr w:rsidR="00E50C93">
        <w:tc>
          <w:tcPr>
            <w:tcW w:w="2650" w:type="dxa"/>
          </w:tcPr>
          <w:p w:rsidR="00E50C93" w:rsidRDefault="00E50C93" w:rsidP="004C6F6C">
            <w:pPr>
              <w:autoSpaceDE w:val="0"/>
              <w:autoSpaceDN w:val="0"/>
              <w:adjustRightInd w:val="0"/>
              <w:jc w:val="left"/>
              <w:rPr>
                <w:rFonts w:ascii="宋体" w:cs="宋体"/>
                <w:b/>
                <w:kern w:val="0"/>
                <w:szCs w:val="21"/>
              </w:rPr>
            </w:pPr>
            <w:r>
              <w:rPr>
                <w:rFonts w:ascii="宋体" w:cs="宋体" w:hint="eastAsia"/>
                <w:b/>
                <w:kern w:val="0"/>
                <w:szCs w:val="21"/>
              </w:rPr>
              <w:t>加：投资收益</w:t>
            </w:r>
          </w:p>
        </w:tc>
        <w:tc>
          <w:tcPr>
            <w:tcW w:w="1424" w:type="dxa"/>
            <w:shd w:val="clear" w:color="auto" w:fill="auto"/>
          </w:tcPr>
          <w:p w:rsidR="00E50C93" w:rsidRPr="002011FB" w:rsidRDefault="00E50C93" w:rsidP="00B1554B">
            <w:pPr>
              <w:rPr>
                <w:b/>
                <w:szCs w:val="21"/>
              </w:rPr>
            </w:pPr>
            <w:r w:rsidRPr="002011FB">
              <w:rPr>
                <w:b/>
                <w:szCs w:val="21"/>
              </w:rPr>
              <w:t>388,932,567</w:t>
            </w:r>
          </w:p>
        </w:tc>
        <w:tc>
          <w:tcPr>
            <w:tcW w:w="1381" w:type="dxa"/>
            <w:shd w:val="clear" w:color="auto" w:fill="auto"/>
            <w:vAlign w:val="bottom"/>
          </w:tcPr>
          <w:p w:rsidR="00E50C93" w:rsidRDefault="00E50C93">
            <w:pPr>
              <w:jc w:val="right"/>
              <w:rPr>
                <w:rFonts w:ascii="宋体" w:hAnsi="宋体" w:cs="宋体"/>
                <w:sz w:val="24"/>
              </w:rPr>
            </w:pPr>
            <w:r>
              <w:rPr>
                <w:rFonts w:hint="eastAsia"/>
              </w:rPr>
              <w:t>13.94%</w:t>
            </w:r>
          </w:p>
        </w:tc>
        <w:tc>
          <w:tcPr>
            <w:tcW w:w="1686" w:type="dxa"/>
            <w:shd w:val="clear" w:color="auto" w:fill="auto"/>
            <w:vAlign w:val="bottom"/>
          </w:tcPr>
          <w:p w:rsidR="00E50C93" w:rsidRDefault="00E50C93">
            <w:pPr>
              <w:jc w:val="right"/>
              <w:rPr>
                <w:rFonts w:ascii="宋体" w:hAnsi="宋体" w:cs="宋体"/>
                <w:sz w:val="24"/>
              </w:rPr>
            </w:pPr>
            <w:r>
              <w:rPr>
                <w:rFonts w:hint="eastAsia"/>
              </w:rPr>
              <w:t>371,352,499</w:t>
            </w:r>
          </w:p>
        </w:tc>
        <w:tc>
          <w:tcPr>
            <w:tcW w:w="1381" w:type="dxa"/>
            <w:shd w:val="clear" w:color="auto" w:fill="auto"/>
            <w:vAlign w:val="bottom"/>
          </w:tcPr>
          <w:p w:rsidR="00E50C93" w:rsidRDefault="00E50C93">
            <w:pPr>
              <w:jc w:val="right"/>
              <w:rPr>
                <w:rFonts w:ascii="宋体" w:hAnsi="宋体" w:cs="宋体"/>
                <w:sz w:val="24"/>
              </w:rPr>
            </w:pPr>
            <w:r>
              <w:rPr>
                <w:rFonts w:hint="eastAsia"/>
              </w:rPr>
              <w:t>0.38%</w:t>
            </w:r>
          </w:p>
        </w:tc>
      </w:tr>
      <w:tr w:rsidR="00E50C93">
        <w:tc>
          <w:tcPr>
            <w:tcW w:w="2650" w:type="dxa"/>
          </w:tcPr>
          <w:p w:rsidR="00E50C93" w:rsidRDefault="00E50C93" w:rsidP="004C6F6C">
            <w:pPr>
              <w:autoSpaceDE w:val="0"/>
              <w:autoSpaceDN w:val="0"/>
              <w:adjustRightInd w:val="0"/>
              <w:jc w:val="left"/>
              <w:rPr>
                <w:rFonts w:ascii="宋体" w:cs="宋体"/>
                <w:b/>
                <w:kern w:val="0"/>
                <w:szCs w:val="21"/>
              </w:rPr>
            </w:pPr>
            <w:r>
              <w:rPr>
                <w:rFonts w:ascii="宋体" w:cs="宋体" w:hint="eastAsia"/>
                <w:b/>
                <w:kern w:val="0"/>
                <w:szCs w:val="21"/>
              </w:rPr>
              <w:t>二 营业利润</w:t>
            </w:r>
          </w:p>
        </w:tc>
        <w:tc>
          <w:tcPr>
            <w:tcW w:w="1424" w:type="dxa"/>
            <w:shd w:val="clear" w:color="auto" w:fill="auto"/>
          </w:tcPr>
          <w:p w:rsidR="00E50C93" w:rsidRPr="002011FB" w:rsidRDefault="00E50C93" w:rsidP="00B1554B">
            <w:pPr>
              <w:rPr>
                <w:b/>
                <w:szCs w:val="21"/>
              </w:rPr>
            </w:pPr>
            <w:r w:rsidRPr="002011FB">
              <w:rPr>
                <w:b/>
                <w:szCs w:val="21"/>
              </w:rPr>
              <w:t>617,942,319</w:t>
            </w:r>
          </w:p>
        </w:tc>
        <w:tc>
          <w:tcPr>
            <w:tcW w:w="1381" w:type="dxa"/>
            <w:shd w:val="clear" w:color="auto" w:fill="auto"/>
            <w:vAlign w:val="bottom"/>
          </w:tcPr>
          <w:p w:rsidR="00E50C93" w:rsidRDefault="00E50C93">
            <w:pPr>
              <w:jc w:val="right"/>
              <w:rPr>
                <w:rFonts w:ascii="宋体" w:hAnsi="宋体" w:cs="宋体"/>
                <w:sz w:val="24"/>
              </w:rPr>
            </w:pPr>
            <w:r>
              <w:rPr>
                <w:rFonts w:hint="eastAsia"/>
              </w:rPr>
              <w:t>22.15%</w:t>
            </w:r>
          </w:p>
        </w:tc>
        <w:tc>
          <w:tcPr>
            <w:tcW w:w="1686" w:type="dxa"/>
            <w:shd w:val="clear" w:color="auto" w:fill="auto"/>
            <w:vAlign w:val="bottom"/>
          </w:tcPr>
          <w:p w:rsidR="00E50C93" w:rsidRDefault="00E50C93">
            <w:pPr>
              <w:jc w:val="right"/>
              <w:rPr>
                <w:rFonts w:ascii="宋体" w:hAnsi="宋体" w:cs="宋体"/>
                <w:sz w:val="24"/>
              </w:rPr>
            </w:pPr>
            <w:r>
              <w:rPr>
                <w:rFonts w:hint="eastAsia"/>
              </w:rPr>
              <w:t>4,838,362,056</w:t>
            </w:r>
          </w:p>
        </w:tc>
        <w:tc>
          <w:tcPr>
            <w:tcW w:w="1381" w:type="dxa"/>
            <w:shd w:val="clear" w:color="auto" w:fill="auto"/>
            <w:vAlign w:val="bottom"/>
          </w:tcPr>
          <w:p w:rsidR="00E50C93" w:rsidRDefault="00E50C93">
            <w:pPr>
              <w:jc w:val="right"/>
              <w:rPr>
                <w:rFonts w:ascii="宋体" w:hAnsi="宋体" w:cs="宋体"/>
                <w:sz w:val="24"/>
              </w:rPr>
            </w:pPr>
            <w:r>
              <w:rPr>
                <w:rFonts w:hint="eastAsia"/>
              </w:rPr>
              <w:t>5.00%</w:t>
            </w:r>
          </w:p>
        </w:tc>
      </w:tr>
      <w:tr w:rsidR="00E50C93">
        <w:tc>
          <w:tcPr>
            <w:tcW w:w="2650" w:type="dxa"/>
          </w:tcPr>
          <w:p w:rsidR="00E50C93" w:rsidRDefault="00E50C93" w:rsidP="004C6F6C">
            <w:pPr>
              <w:autoSpaceDE w:val="0"/>
              <w:autoSpaceDN w:val="0"/>
              <w:adjustRightInd w:val="0"/>
              <w:jc w:val="left"/>
              <w:rPr>
                <w:rFonts w:ascii="宋体" w:cs="宋体"/>
                <w:b/>
                <w:kern w:val="0"/>
                <w:szCs w:val="21"/>
              </w:rPr>
            </w:pPr>
            <w:r>
              <w:rPr>
                <w:rFonts w:ascii="宋体" w:cs="宋体" w:hint="eastAsia"/>
                <w:b/>
                <w:kern w:val="0"/>
                <w:szCs w:val="21"/>
              </w:rPr>
              <w:t>加：营业外收入</w:t>
            </w:r>
          </w:p>
        </w:tc>
        <w:tc>
          <w:tcPr>
            <w:tcW w:w="1424" w:type="dxa"/>
            <w:shd w:val="clear" w:color="auto" w:fill="auto"/>
          </w:tcPr>
          <w:p w:rsidR="00E50C93" w:rsidRPr="002011FB" w:rsidRDefault="00E50C93" w:rsidP="00B1554B">
            <w:pPr>
              <w:rPr>
                <w:b/>
                <w:szCs w:val="21"/>
              </w:rPr>
            </w:pPr>
            <w:r w:rsidRPr="002011FB">
              <w:rPr>
                <w:b/>
                <w:szCs w:val="21"/>
              </w:rPr>
              <w:t>12,658,304</w:t>
            </w:r>
          </w:p>
        </w:tc>
        <w:tc>
          <w:tcPr>
            <w:tcW w:w="1381" w:type="dxa"/>
            <w:shd w:val="clear" w:color="auto" w:fill="auto"/>
            <w:vAlign w:val="bottom"/>
          </w:tcPr>
          <w:p w:rsidR="00E50C93" w:rsidRDefault="00E50C93">
            <w:pPr>
              <w:jc w:val="right"/>
              <w:rPr>
                <w:rFonts w:ascii="宋体" w:hAnsi="宋体" w:cs="宋体"/>
                <w:sz w:val="24"/>
              </w:rPr>
            </w:pPr>
            <w:r>
              <w:rPr>
                <w:rFonts w:hint="eastAsia"/>
              </w:rPr>
              <w:t>0.45%</w:t>
            </w:r>
          </w:p>
        </w:tc>
        <w:tc>
          <w:tcPr>
            <w:tcW w:w="1686" w:type="dxa"/>
            <w:shd w:val="clear" w:color="auto" w:fill="auto"/>
            <w:vAlign w:val="bottom"/>
          </w:tcPr>
          <w:p w:rsidR="00E50C93" w:rsidRDefault="00E50C93">
            <w:pPr>
              <w:jc w:val="right"/>
              <w:rPr>
                <w:rFonts w:ascii="宋体" w:hAnsi="宋体" w:cs="宋体"/>
                <w:sz w:val="24"/>
              </w:rPr>
            </w:pPr>
            <w:r>
              <w:rPr>
                <w:rFonts w:hint="eastAsia"/>
              </w:rPr>
              <w:t>525,831,283</w:t>
            </w:r>
          </w:p>
        </w:tc>
        <w:tc>
          <w:tcPr>
            <w:tcW w:w="1381" w:type="dxa"/>
            <w:shd w:val="clear" w:color="auto" w:fill="auto"/>
            <w:vAlign w:val="bottom"/>
          </w:tcPr>
          <w:p w:rsidR="00E50C93" w:rsidRDefault="00E50C93">
            <w:pPr>
              <w:jc w:val="right"/>
              <w:rPr>
                <w:rFonts w:ascii="宋体" w:hAnsi="宋体" w:cs="宋体"/>
                <w:sz w:val="24"/>
              </w:rPr>
            </w:pPr>
            <w:r>
              <w:rPr>
                <w:rFonts w:hint="eastAsia"/>
              </w:rPr>
              <w:t>0.54%</w:t>
            </w:r>
          </w:p>
        </w:tc>
      </w:tr>
      <w:tr w:rsidR="00E50C93">
        <w:tc>
          <w:tcPr>
            <w:tcW w:w="2650" w:type="dxa"/>
          </w:tcPr>
          <w:p w:rsidR="00E50C93" w:rsidRDefault="00E50C93" w:rsidP="004C6F6C">
            <w:pPr>
              <w:autoSpaceDE w:val="0"/>
              <w:autoSpaceDN w:val="0"/>
              <w:adjustRightInd w:val="0"/>
              <w:jc w:val="left"/>
              <w:rPr>
                <w:rFonts w:ascii="宋体" w:cs="宋体"/>
                <w:b/>
                <w:kern w:val="0"/>
                <w:szCs w:val="21"/>
              </w:rPr>
            </w:pPr>
            <w:r>
              <w:rPr>
                <w:rFonts w:ascii="宋体" w:cs="宋体" w:hint="eastAsia"/>
                <w:b/>
                <w:kern w:val="0"/>
                <w:szCs w:val="21"/>
              </w:rPr>
              <w:t>减：营业外支出</w:t>
            </w:r>
          </w:p>
        </w:tc>
        <w:tc>
          <w:tcPr>
            <w:tcW w:w="1424" w:type="dxa"/>
            <w:shd w:val="clear" w:color="auto" w:fill="auto"/>
          </w:tcPr>
          <w:p w:rsidR="00E50C93" w:rsidRPr="002011FB" w:rsidRDefault="00E50C93" w:rsidP="00B1554B">
            <w:pPr>
              <w:rPr>
                <w:b/>
                <w:szCs w:val="21"/>
              </w:rPr>
            </w:pPr>
            <w:r w:rsidRPr="002011FB">
              <w:rPr>
                <w:b/>
                <w:szCs w:val="21"/>
              </w:rPr>
              <w:t>2,002,670</w:t>
            </w:r>
          </w:p>
        </w:tc>
        <w:tc>
          <w:tcPr>
            <w:tcW w:w="1381" w:type="dxa"/>
            <w:shd w:val="clear" w:color="auto" w:fill="auto"/>
            <w:vAlign w:val="bottom"/>
          </w:tcPr>
          <w:p w:rsidR="00E50C93" w:rsidRDefault="00E50C93">
            <w:pPr>
              <w:jc w:val="right"/>
              <w:rPr>
                <w:rFonts w:ascii="宋体" w:hAnsi="宋体" w:cs="宋体"/>
                <w:sz w:val="24"/>
              </w:rPr>
            </w:pPr>
            <w:r>
              <w:rPr>
                <w:rFonts w:hint="eastAsia"/>
              </w:rPr>
              <w:t>0.07%</w:t>
            </w:r>
          </w:p>
        </w:tc>
        <w:tc>
          <w:tcPr>
            <w:tcW w:w="1686" w:type="dxa"/>
            <w:shd w:val="clear" w:color="auto" w:fill="auto"/>
            <w:vAlign w:val="bottom"/>
          </w:tcPr>
          <w:p w:rsidR="00E50C93" w:rsidRDefault="00E50C93">
            <w:pPr>
              <w:jc w:val="right"/>
              <w:rPr>
                <w:rFonts w:ascii="宋体" w:hAnsi="宋体" w:cs="宋体"/>
                <w:sz w:val="24"/>
              </w:rPr>
            </w:pPr>
            <w:r>
              <w:rPr>
                <w:rFonts w:hint="eastAsia"/>
              </w:rPr>
              <w:t>12,612,329</w:t>
            </w:r>
          </w:p>
        </w:tc>
        <w:tc>
          <w:tcPr>
            <w:tcW w:w="1381" w:type="dxa"/>
            <w:shd w:val="clear" w:color="auto" w:fill="auto"/>
            <w:vAlign w:val="bottom"/>
          </w:tcPr>
          <w:p w:rsidR="00E50C93" w:rsidRDefault="00E50C93">
            <w:pPr>
              <w:jc w:val="right"/>
              <w:rPr>
                <w:rFonts w:ascii="宋体" w:hAnsi="宋体" w:cs="宋体"/>
                <w:sz w:val="24"/>
              </w:rPr>
            </w:pPr>
            <w:r>
              <w:rPr>
                <w:rFonts w:hint="eastAsia"/>
              </w:rPr>
              <w:t>0.01%</w:t>
            </w:r>
          </w:p>
        </w:tc>
      </w:tr>
      <w:tr w:rsidR="00E50C93">
        <w:tc>
          <w:tcPr>
            <w:tcW w:w="2650" w:type="dxa"/>
          </w:tcPr>
          <w:p w:rsidR="00E50C93" w:rsidRDefault="00E50C93" w:rsidP="004C6F6C">
            <w:pPr>
              <w:autoSpaceDE w:val="0"/>
              <w:autoSpaceDN w:val="0"/>
              <w:adjustRightInd w:val="0"/>
              <w:jc w:val="left"/>
              <w:rPr>
                <w:rFonts w:ascii="宋体" w:cs="宋体"/>
                <w:b/>
                <w:kern w:val="0"/>
                <w:szCs w:val="21"/>
              </w:rPr>
            </w:pPr>
            <w:r>
              <w:rPr>
                <w:rFonts w:ascii="宋体" w:cs="宋体" w:hint="eastAsia"/>
                <w:b/>
                <w:kern w:val="0"/>
                <w:szCs w:val="21"/>
              </w:rPr>
              <w:t>三利润总额</w:t>
            </w:r>
          </w:p>
        </w:tc>
        <w:tc>
          <w:tcPr>
            <w:tcW w:w="1424" w:type="dxa"/>
            <w:shd w:val="clear" w:color="auto" w:fill="auto"/>
          </w:tcPr>
          <w:p w:rsidR="00E50C93" w:rsidRPr="002011FB" w:rsidRDefault="00E50C93" w:rsidP="00B1554B">
            <w:pPr>
              <w:rPr>
                <w:b/>
                <w:szCs w:val="21"/>
              </w:rPr>
            </w:pPr>
            <w:r w:rsidRPr="002011FB">
              <w:rPr>
                <w:b/>
                <w:szCs w:val="21"/>
              </w:rPr>
              <w:t>628,597,953</w:t>
            </w:r>
          </w:p>
        </w:tc>
        <w:tc>
          <w:tcPr>
            <w:tcW w:w="1381" w:type="dxa"/>
            <w:shd w:val="clear" w:color="auto" w:fill="auto"/>
            <w:vAlign w:val="bottom"/>
          </w:tcPr>
          <w:p w:rsidR="00E50C93" w:rsidRDefault="00E50C93">
            <w:pPr>
              <w:jc w:val="right"/>
              <w:rPr>
                <w:rFonts w:ascii="宋体" w:hAnsi="宋体" w:cs="宋体"/>
                <w:sz w:val="24"/>
              </w:rPr>
            </w:pPr>
            <w:r>
              <w:rPr>
                <w:rFonts w:hint="eastAsia"/>
              </w:rPr>
              <w:t>22.53%</w:t>
            </w:r>
          </w:p>
        </w:tc>
        <w:tc>
          <w:tcPr>
            <w:tcW w:w="1686" w:type="dxa"/>
            <w:shd w:val="clear" w:color="auto" w:fill="auto"/>
            <w:vAlign w:val="bottom"/>
          </w:tcPr>
          <w:p w:rsidR="00E50C93" w:rsidRDefault="00E50C93">
            <w:pPr>
              <w:jc w:val="right"/>
              <w:rPr>
                <w:rFonts w:ascii="宋体" w:hAnsi="宋体" w:cs="宋体"/>
                <w:sz w:val="24"/>
              </w:rPr>
            </w:pPr>
            <w:r>
              <w:rPr>
                <w:rFonts w:hint="eastAsia"/>
              </w:rPr>
              <w:t>5,351,581,010</w:t>
            </w:r>
          </w:p>
        </w:tc>
        <w:tc>
          <w:tcPr>
            <w:tcW w:w="1381" w:type="dxa"/>
            <w:shd w:val="clear" w:color="auto" w:fill="auto"/>
            <w:vAlign w:val="bottom"/>
          </w:tcPr>
          <w:p w:rsidR="00E50C93" w:rsidRDefault="00E50C93">
            <w:pPr>
              <w:jc w:val="right"/>
              <w:rPr>
                <w:rFonts w:ascii="宋体" w:hAnsi="宋体" w:cs="宋体"/>
                <w:sz w:val="24"/>
              </w:rPr>
            </w:pPr>
            <w:r>
              <w:rPr>
                <w:rFonts w:hint="eastAsia"/>
              </w:rPr>
              <w:t>5.53%</w:t>
            </w:r>
          </w:p>
        </w:tc>
      </w:tr>
      <w:tr w:rsidR="00E50C93">
        <w:tc>
          <w:tcPr>
            <w:tcW w:w="2650" w:type="dxa"/>
          </w:tcPr>
          <w:p w:rsidR="00E50C93" w:rsidRDefault="00E50C93" w:rsidP="004C6F6C">
            <w:pPr>
              <w:autoSpaceDE w:val="0"/>
              <w:autoSpaceDN w:val="0"/>
              <w:adjustRightInd w:val="0"/>
              <w:jc w:val="left"/>
              <w:rPr>
                <w:rFonts w:ascii="宋体" w:cs="宋体"/>
                <w:b/>
                <w:kern w:val="0"/>
                <w:szCs w:val="21"/>
              </w:rPr>
            </w:pPr>
            <w:r>
              <w:rPr>
                <w:rFonts w:ascii="宋体" w:cs="宋体" w:hint="eastAsia"/>
                <w:b/>
                <w:kern w:val="0"/>
                <w:szCs w:val="21"/>
              </w:rPr>
              <w:t>减：所得税</w:t>
            </w:r>
          </w:p>
        </w:tc>
        <w:tc>
          <w:tcPr>
            <w:tcW w:w="1424" w:type="dxa"/>
            <w:shd w:val="clear" w:color="auto" w:fill="auto"/>
          </w:tcPr>
          <w:p w:rsidR="00E50C93" w:rsidRPr="002011FB" w:rsidRDefault="00E50C93" w:rsidP="00B1554B">
            <w:pPr>
              <w:rPr>
                <w:b/>
                <w:szCs w:val="21"/>
              </w:rPr>
            </w:pPr>
            <w:r w:rsidRPr="002011FB">
              <w:rPr>
                <w:b/>
                <w:szCs w:val="21"/>
              </w:rPr>
              <w:t>28,969,329</w:t>
            </w:r>
          </w:p>
        </w:tc>
        <w:tc>
          <w:tcPr>
            <w:tcW w:w="1381" w:type="dxa"/>
            <w:shd w:val="clear" w:color="auto" w:fill="auto"/>
            <w:vAlign w:val="bottom"/>
          </w:tcPr>
          <w:p w:rsidR="00E50C93" w:rsidRDefault="00E50C93">
            <w:pPr>
              <w:jc w:val="right"/>
              <w:rPr>
                <w:rFonts w:ascii="宋体" w:hAnsi="宋体" w:cs="宋体"/>
                <w:sz w:val="24"/>
              </w:rPr>
            </w:pPr>
            <w:r>
              <w:rPr>
                <w:rFonts w:hint="eastAsia"/>
              </w:rPr>
              <w:t>1.04%</w:t>
            </w:r>
          </w:p>
        </w:tc>
        <w:tc>
          <w:tcPr>
            <w:tcW w:w="1686" w:type="dxa"/>
            <w:shd w:val="clear" w:color="auto" w:fill="auto"/>
            <w:vAlign w:val="bottom"/>
          </w:tcPr>
          <w:p w:rsidR="00E50C93" w:rsidRDefault="00E50C93">
            <w:pPr>
              <w:jc w:val="right"/>
              <w:rPr>
                <w:rFonts w:ascii="宋体" w:hAnsi="宋体" w:cs="宋体"/>
                <w:sz w:val="24"/>
              </w:rPr>
            </w:pPr>
            <w:r>
              <w:rPr>
                <w:rFonts w:hint="eastAsia"/>
              </w:rPr>
              <w:t>781,516,357</w:t>
            </w:r>
          </w:p>
        </w:tc>
        <w:tc>
          <w:tcPr>
            <w:tcW w:w="1381" w:type="dxa"/>
            <w:shd w:val="clear" w:color="auto" w:fill="auto"/>
            <w:vAlign w:val="bottom"/>
          </w:tcPr>
          <w:p w:rsidR="00E50C93" w:rsidRDefault="00E50C93">
            <w:pPr>
              <w:jc w:val="right"/>
              <w:rPr>
                <w:rFonts w:ascii="宋体" w:hAnsi="宋体" w:cs="宋体"/>
                <w:sz w:val="24"/>
              </w:rPr>
            </w:pPr>
            <w:r>
              <w:rPr>
                <w:rFonts w:hint="eastAsia"/>
              </w:rPr>
              <w:t>0.81%</w:t>
            </w:r>
          </w:p>
        </w:tc>
      </w:tr>
      <w:tr w:rsidR="00E50C93">
        <w:tc>
          <w:tcPr>
            <w:tcW w:w="2650" w:type="dxa"/>
          </w:tcPr>
          <w:p w:rsidR="00E50C93" w:rsidRDefault="00E50C93" w:rsidP="004C6F6C">
            <w:pPr>
              <w:autoSpaceDE w:val="0"/>
              <w:autoSpaceDN w:val="0"/>
              <w:adjustRightInd w:val="0"/>
              <w:jc w:val="left"/>
              <w:rPr>
                <w:rFonts w:ascii="宋体" w:cs="宋体"/>
                <w:b/>
                <w:kern w:val="0"/>
                <w:szCs w:val="21"/>
              </w:rPr>
            </w:pPr>
            <w:r>
              <w:rPr>
                <w:rFonts w:ascii="宋体" w:cs="宋体" w:hint="eastAsia"/>
                <w:b/>
                <w:kern w:val="0"/>
                <w:szCs w:val="21"/>
              </w:rPr>
              <w:t>四净利润</w:t>
            </w:r>
          </w:p>
        </w:tc>
        <w:tc>
          <w:tcPr>
            <w:tcW w:w="1424" w:type="dxa"/>
            <w:shd w:val="clear" w:color="auto" w:fill="auto"/>
          </w:tcPr>
          <w:p w:rsidR="00E50C93" w:rsidRPr="002011FB" w:rsidRDefault="00E50C93" w:rsidP="00B1554B">
            <w:pPr>
              <w:rPr>
                <w:b/>
                <w:szCs w:val="21"/>
              </w:rPr>
            </w:pPr>
            <w:r w:rsidRPr="002011FB">
              <w:rPr>
                <w:b/>
                <w:szCs w:val="21"/>
              </w:rPr>
              <w:t>599,628,624</w:t>
            </w:r>
          </w:p>
        </w:tc>
        <w:tc>
          <w:tcPr>
            <w:tcW w:w="1381" w:type="dxa"/>
            <w:shd w:val="clear" w:color="auto" w:fill="auto"/>
            <w:vAlign w:val="bottom"/>
          </w:tcPr>
          <w:p w:rsidR="00E50C93" w:rsidRDefault="00E50C93">
            <w:pPr>
              <w:jc w:val="right"/>
              <w:rPr>
                <w:rFonts w:ascii="宋体" w:hAnsi="宋体" w:cs="宋体"/>
                <w:sz w:val="24"/>
              </w:rPr>
            </w:pPr>
            <w:r>
              <w:rPr>
                <w:rFonts w:hint="eastAsia"/>
              </w:rPr>
              <w:t>21.50%</w:t>
            </w:r>
          </w:p>
        </w:tc>
        <w:tc>
          <w:tcPr>
            <w:tcW w:w="1686" w:type="dxa"/>
            <w:shd w:val="clear" w:color="auto" w:fill="auto"/>
            <w:vAlign w:val="bottom"/>
          </w:tcPr>
          <w:p w:rsidR="00E50C93" w:rsidRDefault="00E50C93">
            <w:pPr>
              <w:jc w:val="right"/>
              <w:rPr>
                <w:rFonts w:ascii="宋体" w:hAnsi="宋体" w:cs="宋体"/>
                <w:sz w:val="24"/>
              </w:rPr>
            </w:pPr>
            <w:r>
              <w:rPr>
                <w:rFonts w:hint="eastAsia"/>
              </w:rPr>
              <w:t>4,570,064,653.00</w:t>
            </w:r>
          </w:p>
        </w:tc>
        <w:tc>
          <w:tcPr>
            <w:tcW w:w="1381" w:type="dxa"/>
            <w:shd w:val="clear" w:color="auto" w:fill="auto"/>
            <w:vAlign w:val="bottom"/>
          </w:tcPr>
          <w:p w:rsidR="00E50C93" w:rsidRDefault="00E50C93">
            <w:pPr>
              <w:jc w:val="right"/>
              <w:rPr>
                <w:rFonts w:ascii="宋体" w:hAnsi="宋体" w:cs="宋体"/>
                <w:sz w:val="24"/>
              </w:rPr>
            </w:pPr>
            <w:r>
              <w:rPr>
                <w:rFonts w:hint="eastAsia"/>
              </w:rPr>
              <w:t>4.72%</w:t>
            </w:r>
          </w:p>
        </w:tc>
      </w:tr>
    </w:tbl>
    <w:p w:rsidR="0097116E" w:rsidRPr="0097116E" w:rsidRDefault="0097116E" w:rsidP="005101DA">
      <w:pPr>
        <w:autoSpaceDE w:val="0"/>
        <w:autoSpaceDN w:val="0"/>
        <w:adjustRightInd w:val="0"/>
        <w:ind w:firstLineChars="196" w:firstLine="413"/>
        <w:jc w:val="left"/>
        <w:rPr>
          <w:rFonts w:ascii="宋体" w:cs="宋体"/>
          <w:b/>
          <w:kern w:val="0"/>
          <w:szCs w:val="21"/>
        </w:rPr>
      </w:pPr>
      <w:r w:rsidRPr="0097116E">
        <w:rPr>
          <w:rFonts w:ascii="宋体" w:cs="宋体" w:hint="eastAsia"/>
          <w:b/>
          <w:kern w:val="0"/>
          <w:szCs w:val="21"/>
        </w:rPr>
        <w:t>由上表我们可以得出下列结论：</w:t>
      </w:r>
    </w:p>
    <w:p w:rsidR="0097116E" w:rsidRPr="0097116E" w:rsidRDefault="0097116E" w:rsidP="005101DA">
      <w:pPr>
        <w:autoSpaceDE w:val="0"/>
        <w:autoSpaceDN w:val="0"/>
        <w:adjustRightInd w:val="0"/>
        <w:ind w:firstLineChars="196" w:firstLine="413"/>
        <w:jc w:val="left"/>
        <w:rPr>
          <w:rFonts w:ascii="宋体" w:cs="宋体"/>
          <w:b/>
          <w:kern w:val="0"/>
          <w:szCs w:val="21"/>
        </w:rPr>
      </w:pPr>
      <w:r w:rsidRPr="0097116E">
        <w:rPr>
          <w:b/>
          <w:kern w:val="0"/>
          <w:szCs w:val="21"/>
        </w:rPr>
        <w:t>1 .</w:t>
      </w:r>
      <w:r w:rsidR="00D20713">
        <w:rPr>
          <w:rFonts w:ascii="宋体" w:cs="宋体" w:hint="eastAsia"/>
          <w:b/>
          <w:kern w:val="0"/>
          <w:szCs w:val="21"/>
        </w:rPr>
        <w:t>与</w:t>
      </w:r>
      <w:r w:rsidRPr="0097116E">
        <w:rPr>
          <w:rFonts w:ascii="宋体" w:cs="宋体" w:hint="eastAsia"/>
          <w:b/>
          <w:kern w:val="0"/>
          <w:szCs w:val="21"/>
        </w:rPr>
        <w:t>青岛海尔的资产规模</w:t>
      </w:r>
      <w:r w:rsidR="00D20713">
        <w:rPr>
          <w:rFonts w:ascii="宋体" w:cs="宋体" w:hint="eastAsia"/>
          <w:b/>
          <w:kern w:val="0"/>
          <w:szCs w:val="21"/>
        </w:rPr>
        <w:t>相比，其创造</w:t>
      </w:r>
      <w:r w:rsidRPr="0097116E">
        <w:rPr>
          <w:rFonts w:ascii="宋体" w:cs="宋体" w:hint="eastAsia"/>
          <w:b/>
          <w:kern w:val="0"/>
          <w:szCs w:val="21"/>
        </w:rPr>
        <w:t>销售收入</w:t>
      </w:r>
      <w:r w:rsidR="00D20713">
        <w:rPr>
          <w:rFonts w:ascii="宋体" w:cs="宋体" w:hint="eastAsia"/>
          <w:b/>
          <w:kern w:val="0"/>
          <w:szCs w:val="21"/>
        </w:rPr>
        <w:t>规模</w:t>
      </w:r>
      <w:r w:rsidRPr="0097116E">
        <w:rPr>
          <w:rFonts w:ascii="宋体" w:cs="宋体" w:hint="eastAsia"/>
          <w:b/>
          <w:kern w:val="0"/>
          <w:szCs w:val="21"/>
        </w:rPr>
        <w:t>却</w:t>
      </w:r>
      <w:r w:rsidR="00D20713">
        <w:rPr>
          <w:rFonts w:ascii="宋体" w:cs="宋体" w:hint="eastAsia"/>
          <w:b/>
          <w:kern w:val="0"/>
          <w:szCs w:val="21"/>
        </w:rPr>
        <w:t>明显较低：</w:t>
      </w:r>
      <w:r>
        <w:rPr>
          <w:rFonts w:ascii="宋体" w:cs="宋体" w:hint="eastAsia"/>
          <w:b/>
          <w:kern w:val="0"/>
          <w:szCs w:val="21"/>
        </w:rPr>
        <w:t>2012年青岛海尔资产占格力电器</w:t>
      </w:r>
      <w:r w:rsidR="00D20713">
        <w:rPr>
          <w:rFonts w:ascii="宋体" w:cs="宋体" w:hint="eastAsia"/>
          <w:b/>
          <w:kern w:val="0"/>
          <w:szCs w:val="21"/>
        </w:rPr>
        <w:t>9.42，但其收入却只有格力电器的2.88%。</w:t>
      </w:r>
      <w:r w:rsidRPr="0097116E">
        <w:rPr>
          <w:rFonts w:ascii="宋体" w:cs="宋体" w:hint="eastAsia"/>
          <w:b/>
          <w:kern w:val="0"/>
          <w:szCs w:val="21"/>
        </w:rPr>
        <w:t>这说明青岛海尔的资产管理能力</w:t>
      </w:r>
      <w:r w:rsidR="00D20713">
        <w:rPr>
          <w:rFonts w:ascii="宋体" w:cs="宋体" w:hint="eastAsia"/>
          <w:b/>
          <w:kern w:val="0"/>
          <w:szCs w:val="21"/>
        </w:rPr>
        <w:t>可能逊于格力电器</w:t>
      </w:r>
      <w:r w:rsidRPr="0097116E">
        <w:rPr>
          <w:rFonts w:ascii="宋体" w:cs="宋体" w:hint="eastAsia"/>
          <w:b/>
          <w:kern w:val="0"/>
          <w:szCs w:val="21"/>
        </w:rPr>
        <w:t>，</w:t>
      </w:r>
      <w:r w:rsidR="00446977">
        <w:rPr>
          <w:rFonts w:ascii="宋体" w:cs="宋体" w:hint="eastAsia"/>
          <w:b/>
          <w:kern w:val="0"/>
          <w:szCs w:val="21"/>
        </w:rPr>
        <w:t>其</w:t>
      </w:r>
      <w:r w:rsidRPr="0097116E">
        <w:rPr>
          <w:rFonts w:ascii="宋体" w:cs="宋体" w:hint="eastAsia"/>
          <w:b/>
          <w:kern w:val="0"/>
          <w:szCs w:val="21"/>
        </w:rPr>
        <w:t>资产周转</w:t>
      </w:r>
      <w:r w:rsidR="00446977">
        <w:rPr>
          <w:rFonts w:ascii="宋体" w:cs="宋体" w:hint="eastAsia"/>
          <w:b/>
          <w:kern w:val="0"/>
          <w:szCs w:val="21"/>
        </w:rPr>
        <w:t>管理方面并没有其宣称的那般形成其竞争力！</w:t>
      </w:r>
    </w:p>
    <w:p w:rsidR="0097116E" w:rsidRDefault="0097116E" w:rsidP="005101DA">
      <w:pPr>
        <w:autoSpaceDE w:val="0"/>
        <w:autoSpaceDN w:val="0"/>
        <w:adjustRightInd w:val="0"/>
        <w:ind w:firstLineChars="196" w:firstLine="413"/>
        <w:jc w:val="left"/>
        <w:rPr>
          <w:rFonts w:ascii="宋体" w:cs="宋体"/>
          <w:b/>
          <w:kern w:val="0"/>
          <w:szCs w:val="21"/>
        </w:rPr>
      </w:pPr>
      <w:r w:rsidRPr="0097116E">
        <w:rPr>
          <w:b/>
          <w:kern w:val="0"/>
          <w:szCs w:val="21"/>
        </w:rPr>
        <w:t>2 .</w:t>
      </w:r>
      <w:r w:rsidRPr="0097116E">
        <w:rPr>
          <w:rFonts w:ascii="宋体" w:cs="宋体" w:hint="eastAsia"/>
          <w:b/>
          <w:kern w:val="0"/>
          <w:szCs w:val="21"/>
        </w:rPr>
        <w:t>青岛海尔的主营业务成本率</w:t>
      </w:r>
      <w:r w:rsidR="005101DA">
        <w:rPr>
          <w:rFonts w:ascii="宋体" w:cs="宋体" w:hint="eastAsia"/>
          <w:b/>
          <w:kern w:val="0"/>
          <w:szCs w:val="21"/>
        </w:rPr>
        <w:t>低于格力电器</w:t>
      </w:r>
      <w:r w:rsidRPr="0097116E">
        <w:rPr>
          <w:rFonts w:ascii="宋体" w:cs="宋体" w:hint="eastAsia"/>
          <w:b/>
          <w:kern w:val="0"/>
          <w:szCs w:val="21"/>
        </w:rPr>
        <w:t>，</w:t>
      </w:r>
      <w:r w:rsidRPr="0097116E">
        <w:rPr>
          <w:b/>
          <w:kern w:val="0"/>
          <w:szCs w:val="21"/>
        </w:rPr>
        <w:t>20</w:t>
      </w:r>
      <w:r w:rsidR="005101DA">
        <w:rPr>
          <w:rFonts w:hint="eastAsia"/>
          <w:b/>
          <w:kern w:val="0"/>
          <w:szCs w:val="21"/>
        </w:rPr>
        <w:t>12</w:t>
      </w:r>
      <w:r w:rsidRPr="0097116E">
        <w:rPr>
          <w:rFonts w:ascii="宋体" w:cs="宋体" w:hint="eastAsia"/>
          <w:b/>
          <w:kern w:val="0"/>
          <w:szCs w:val="21"/>
        </w:rPr>
        <w:t>年青岛海尔的主营业务成本率比格力电器</w:t>
      </w:r>
      <w:r w:rsidR="00A70457">
        <w:rPr>
          <w:rFonts w:ascii="宋体" w:cs="宋体" w:hint="eastAsia"/>
          <w:b/>
          <w:kern w:val="0"/>
          <w:szCs w:val="21"/>
        </w:rPr>
        <w:t>低了</w:t>
      </w:r>
      <w:r w:rsidR="00A70457">
        <w:rPr>
          <w:rFonts w:hint="eastAsia"/>
          <w:b/>
          <w:kern w:val="0"/>
          <w:szCs w:val="21"/>
        </w:rPr>
        <w:t>10.22</w:t>
      </w:r>
      <w:r w:rsidRPr="0097116E">
        <w:rPr>
          <w:rFonts w:ascii="宋体" w:cs="宋体" w:hint="eastAsia"/>
          <w:b/>
          <w:kern w:val="0"/>
          <w:szCs w:val="21"/>
        </w:rPr>
        <w:t>个百分点，这直接导致了青岛海尔的毛利率远</w:t>
      </w:r>
      <w:r w:rsidR="00A70457">
        <w:rPr>
          <w:rFonts w:ascii="宋体" w:cs="宋体" w:hint="eastAsia"/>
          <w:b/>
          <w:kern w:val="0"/>
          <w:szCs w:val="21"/>
        </w:rPr>
        <w:t>高于格力电器</w:t>
      </w:r>
      <w:r w:rsidR="004A3219">
        <w:rPr>
          <w:rFonts w:ascii="宋体" w:cs="宋体" w:hint="eastAsia"/>
          <w:b/>
          <w:kern w:val="0"/>
          <w:szCs w:val="21"/>
        </w:rPr>
        <w:t>，</w:t>
      </w:r>
      <w:r w:rsidRPr="0097116E">
        <w:rPr>
          <w:rFonts w:ascii="宋体" w:cs="宋体" w:hint="eastAsia"/>
          <w:b/>
          <w:kern w:val="0"/>
          <w:szCs w:val="21"/>
        </w:rPr>
        <w:t>这种情况</w:t>
      </w:r>
      <w:r w:rsidR="004A3219">
        <w:rPr>
          <w:rFonts w:ascii="宋体" w:cs="宋体" w:hint="eastAsia"/>
          <w:b/>
          <w:kern w:val="0"/>
          <w:szCs w:val="21"/>
        </w:rPr>
        <w:t>与青岛海尔的差异化竞争战略相符合。那么青岛海尔高</w:t>
      </w:r>
      <w:r w:rsidRPr="0097116E">
        <w:rPr>
          <w:rFonts w:ascii="宋体" w:cs="宋体" w:hint="eastAsia"/>
          <w:b/>
          <w:kern w:val="0"/>
          <w:szCs w:val="21"/>
        </w:rPr>
        <w:t>毛利率的原因何在？我们知道毛利率的高低主要决定于产品的销售价格和采购及生产效率。从销售价格来看，青岛海尔产品的品牌优势较为明显，其产品的价格也一直是保</w:t>
      </w:r>
      <w:r w:rsidR="004A3219">
        <w:rPr>
          <w:rFonts w:ascii="宋体" w:cs="宋体" w:hint="eastAsia"/>
          <w:b/>
          <w:kern w:val="0"/>
          <w:szCs w:val="21"/>
        </w:rPr>
        <w:t>持在髙价位，因此其产品的溢价应该是不会低于美的电器和格力电器的</w:t>
      </w:r>
      <w:r w:rsidRPr="0097116E">
        <w:rPr>
          <w:rFonts w:ascii="宋体" w:cs="宋体" w:hint="eastAsia"/>
          <w:b/>
          <w:kern w:val="0"/>
          <w:szCs w:val="21"/>
        </w:rPr>
        <w:t>；从生产效率来看，青岛海尔一直着力进行业务流程再造，因此其生产效率应该是不低于美的电器和格力电器的；</w:t>
      </w:r>
      <w:r w:rsidR="004A3219">
        <w:rPr>
          <w:rFonts w:ascii="宋体" w:cs="宋体" w:hint="eastAsia"/>
          <w:b/>
          <w:kern w:val="0"/>
          <w:szCs w:val="21"/>
        </w:rPr>
        <w:t>从采购效率来看，由于青岛海尔与其关联企业签订了采购协议，保证了稳定的采购渠道。但从长期核心竞争力来看，只有第一个优势才能持久下去。</w:t>
      </w:r>
    </w:p>
    <w:p w:rsidR="009813E5" w:rsidRDefault="0097116E" w:rsidP="002B690E">
      <w:pPr>
        <w:autoSpaceDE w:val="0"/>
        <w:autoSpaceDN w:val="0"/>
        <w:adjustRightInd w:val="0"/>
        <w:ind w:firstLineChars="196" w:firstLine="413"/>
        <w:jc w:val="left"/>
        <w:rPr>
          <w:rFonts w:ascii="宋体" w:cs="宋体"/>
          <w:b/>
          <w:kern w:val="0"/>
          <w:szCs w:val="21"/>
        </w:rPr>
      </w:pPr>
      <w:r w:rsidRPr="0097116E">
        <w:rPr>
          <w:b/>
          <w:kern w:val="0"/>
          <w:szCs w:val="21"/>
        </w:rPr>
        <w:t>3 .</w:t>
      </w:r>
      <w:r w:rsidRPr="0097116E">
        <w:rPr>
          <w:rFonts w:ascii="宋体" w:cs="宋体" w:hint="eastAsia"/>
          <w:b/>
          <w:kern w:val="0"/>
          <w:szCs w:val="21"/>
        </w:rPr>
        <w:t>青岛海尔的</w:t>
      </w:r>
      <w:r w:rsidR="004820AD">
        <w:rPr>
          <w:rFonts w:ascii="宋体" w:cs="宋体" w:hint="eastAsia"/>
          <w:b/>
          <w:kern w:val="0"/>
          <w:szCs w:val="21"/>
        </w:rPr>
        <w:t>销售</w:t>
      </w:r>
      <w:r w:rsidRPr="0097116E">
        <w:rPr>
          <w:rFonts w:ascii="宋体" w:cs="宋体" w:hint="eastAsia"/>
          <w:b/>
          <w:kern w:val="0"/>
          <w:szCs w:val="21"/>
        </w:rPr>
        <w:t>费用率远低于</w:t>
      </w:r>
      <w:r w:rsidR="004820AD">
        <w:rPr>
          <w:rFonts w:ascii="宋体" w:cs="宋体" w:hint="eastAsia"/>
          <w:b/>
          <w:kern w:val="0"/>
          <w:szCs w:val="21"/>
        </w:rPr>
        <w:t>格力电器</w:t>
      </w:r>
      <w:r w:rsidRPr="0097116E">
        <w:rPr>
          <w:rFonts w:ascii="宋体" w:cs="宋体" w:hint="eastAsia"/>
          <w:b/>
          <w:kern w:val="0"/>
          <w:szCs w:val="21"/>
        </w:rPr>
        <w:t>，</w:t>
      </w:r>
      <w:r w:rsidRPr="0097116E">
        <w:rPr>
          <w:b/>
          <w:kern w:val="0"/>
          <w:szCs w:val="21"/>
        </w:rPr>
        <w:t>20</w:t>
      </w:r>
      <w:r w:rsidR="004820AD">
        <w:rPr>
          <w:rFonts w:hint="eastAsia"/>
          <w:b/>
          <w:kern w:val="0"/>
          <w:szCs w:val="21"/>
        </w:rPr>
        <w:t>12</w:t>
      </w:r>
      <w:r w:rsidRPr="0097116E">
        <w:rPr>
          <w:rFonts w:ascii="宋体" w:cs="宋体" w:hint="eastAsia"/>
          <w:b/>
          <w:kern w:val="0"/>
          <w:szCs w:val="21"/>
        </w:rPr>
        <w:t>年的</w:t>
      </w:r>
      <w:r w:rsidR="004820AD">
        <w:rPr>
          <w:rFonts w:ascii="宋体" w:cs="宋体" w:hint="eastAsia"/>
          <w:b/>
          <w:kern w:val="0"/>
          <w:szCs w:val="21"/>
        </w:rPr>
        <w:t>销售</w:t>
      </w:r>
      <w:r w:rsidRPr="0097116E">
        <w:rPr>
          <w:rFonts w:ascii="宋体" w:cs="宋体" w:hint="eastAsia"/>
          <w:b/>
          <w:kern w:val="0"/>
          <w:szCs w:val="21"/>
        </w:rPr>
        <w:t>费用率还不到</w:t>
      </w:r>
      <w:r w:rsidR="004820AD">
        <w:rPr>
          <w:rFonts w:ascii="宋体" w:cs="宋体" w:hint="eastAsia"/>
          <w:b/>
          <w:kern w:val="0"/>
          <w:szCs w:val="21"/>
        </w:rPr>
        <w:t>格力电器</w:t>
      </w:r>
      <w:r w:rsidRPr="0097116E">
        <w:rPr>
          <w:rFonts w:ascii="宋体" w:cs="宋体" w:hint="eastAsia"/>
          <w:b/>
          <w:kern w:val="0"/>
          <w:szCs w:val="21"/>
        </w:rPr>
        <w:t>的一半。</w:t>
      </w:r>
      <w:r w:rsidR="004820AD">
        <w:rPr>
          <w:rFonts w:ascii="宋体" w:cs="宋体" w:hint="eastAsia"/>
          <w:b/>
          <w:kern w:val="0"/>
          <w:szCs w:val="21"/>
        </w:rPr>
        <w:t>由于青岛海尔采用差异化经营战略</w:t>
      </w:r>
      <w:r w:rsidRPr="0097116E">
        <w:rPr>
          <w:rFonts w:ascii="宋体" w:cs="宋体" w:hint="eastAsia"/>
          <w:b/>
          <w:kern w:val="0"/>
          <w:szCs w:val="21"/>
        </w:rPr>
        <w:t>，其营业费用率和管理费用率应该比低成本战略的企业高，因为广告费、运输费、销售费和科研开发费等较高。比如在</w:t>
      </w:r>
      <w:r w:rsidRPr="0097116E">
        <w:rPr>
          <w:b/>
          <w:kern w:val="0"/>
          <w:szCs w:val="21"/>
        </w:rPr>
        <w:t>20</w:t>
      </w:r>
      <w:r w:rsidR="004820AD">
        <w:rPr>
          <w:rFonts w:hint="eastAsia"/>
          <w:b/>
          <w:kern w:val="0"/>
          <w:szCs w:val="21"/>
        </w:rPr>
        <w:t>12</w:t>
      </w:r>
      <w:r w:rsidR="004820AD">
        <w:rPr>
          <w:rFonts w:ascii="宋体" w:cs="宋体" w:hint="eastAsia"/>
          <w:b/>
          <w:kern w:val="0"/>
          <w:szCs w:val="21"/>
        </w:rPr>
        <w:t>年的空调广告投放排行榜中，青岛海尔高于</w:t>
      </w:r>
      <w:r w:rsidRPr="0097116E">
        <w:rPr>
          <w:rFonts w:ascii="宋体" w:cs="宋体" w:hint="eastAsia"/>
          <w:b/>
          <w:kern w:val="0"/>
          <w:szCs w:val="21"/>
        </w:rPr>
        <w:t>格力电器，</w:t>
      </w:r>
      <w:r w:rsidR="004820AD">
        <w:rPr>
          <w:rFonts w:ascii="宋体" w:cs="宋体" w:hint="eastAsia"/>
          <w:b/>
          <w:kern w:val="0"/>
          <w:szCs w:val="21"/>
        </w:rPr>
        <w:t>那么决定青岛海尔的营业费用率却远低于格力电器和美的电器的因素是哪些呢</w:t>
      </w:r>
      <w:r w:rsidRPr="0097116E">
        <w:rPr>
          <w:rFonts w:ascii="宋体" w:cs="宋体" w:hint="eastAsia"/>
          <w:b/>
          <w:kern w:val="0"/>
          <w:szCs w:val="21"/>
        </w:rPr>
        <w:t>？</w:t>
      </w:r>
      <w:r w:rsidR="004820AD">
        <w:rPr>
          <w:rFonts w:ascii="宋体" w:cs="宋体" w:hint="eastAsia"/>
          <w:b/>
          <w:kern w:val="0"/>
          <w:szCs w:val="21"/>
        </w:rPr>
        <w:t>到底是青岛海尔本身运营效率高还是通过其他渠道转移？</w:t>
      </w:r>
      <w:r w:rsidRPr="0097116E">
        <w:rPr>
          <w:rFonts w:ascii="宋体" w:cs="宋体" w:hint="eastAsia"/>
          <w:b/>
          <w:kern w:val="0"/>
          <w:szCs w:val="21"/>
        </w:rPr>
        <w:t>由</w:t>
      </w:r>
      <w:r w:rsidR="004820AD">
        <w:rPr>
          <w:rFonts w:ascii="宋体" w:cs="宋体" w:hint="eastAsia"/>
          <w:b/>
          <w:kern w:val="0"/>
          <w:szCs w:val="21"/>
        </w:rPr>
        <w:t>前述</w:t>
      </w:r>
      <w:r w:rsidRPr="0097116E">
        <w:rPr>
          <w:rFonts w:ascii="宋体" w:cs="宋体" w:hint="eastAsia"/>
          <w:b/>
          <w:kern w:val="0"/>
          <w:szCs w:val="21"/>
        </w:rPr>
        <w:t>分析可知，</w:t>
      </w:r>
      <w:r w:rsidR="004820AD">
        <w:rPr>
          <w:rFonts w:ascii="宋体" w:cs="宋体" w:hint="eastAsia"/>
          <w:b/>
          <w:kern w:val="0"/>
          <w:szCs w:val="21"/>
        </w:rPr>
        <w:t>青岛海尔可能在销售费用的会计处理上采用了不恰当的方法，从而造成其</w:t>
      </w:r>
      <w:r w:rsidR="004820AD">
        <w:rPr>
          <w:rFonts w:ascii="宋体" w:cs="宋体" w:hint="eastAsia"/>
          <w:b/>
          <w:kern w:val="0"/>
          <w:szCs w:val="21"/>
        </w:rPr>
        <w:lastRenderedPageBreak/>
        <w:t>销售费用率较低，这容易给投资者造成一种“青岛海尔成本管理高效”的错觉。</w:t>
      </w:r>
    </w:p>
    <w:p w:rsidR="009813E5" w:rsidRDefault="009813E5" w:rsidP="009813E5">
      <w:pPr>
        <w:autoSpaceDE w:val="0"/>
        <w:autoSpaceDN w:val="0"/>
        <w:adjustRightInd w:val="0"/>
        <w:ind w:firstLineChars="196" w:firstLine="413"/>
        <w:jc w:val="left"/>
        <w:rPr>
          <w:rFonts w:ascii="宋体" w:cs="宋体"/>
          <w:b/>
          <w:kern w:val="0"/>
          <w:szCs w:val="21"/>
        </w:rPr>
      </w:pPr>
      <w:r>
        <w:rPr>
          <w:rFonts w:ascii="宋体" w:cs="宋体" w:hint="eastAsia"/>
          <w:b/>
          <w:kern w:val="0"/>
          <w:szCs w:val="21"/>
        </w:rPr>
        <w:t>4青岛海尔的管理费用原高于格力电器，这可能主要与青岛海尔最近频繁的并购活动有关，仅仅利用这一点我们无法得出青岛海尔管理效率低下的结论。但是需要我们格外注意的是，青岛海尔的毛利率远远高于格力</w:t>
      </w:r>
      <w:r w:rsidR="00F55F87">
        <w:rPr>
          <w:rFonts w:ascii="宋体" w:cs="宋体" w:hint="eastAsia"/>
          <w:b/>
          <w:kern w:val="0"/>
          <w:szCs w:val="21"/>
        </w:rPr>
        <w:t>电器的关键因素是青岛海尔的投资收益较高。结合青岛海尔频繁的并购活动以及对关联企业的投资，我们可以推断出其投资效率较高的结论。</w:t>
      </w:r>
    </w:p>
    <w:p w:rsidR="00F55F87" w:rsidRDefault="00F55F87" w:rsidP="002B690E">
      <w:pPr>
        <w:autoSpaceDE w:val="0"/>
        <w:autoSpaceDN w:val="0"/>
        <w:adjustRightInd w:val="0"/>
        <w:jc w:val="left"/>
        <w:rPr>
          <w:rFonts w:ascii="宋体" w:cs="宋体"/>
          <w:b/>
          <w:kern w:val="0"/>
          <w:szCs w:val="21"/>
        </w:rPr>
      </w:pPr>
      <w:r>
        <w:rPr>
          <w:rFonts w:ascii="宋体" w:cs="宋体" w:hint="eastAsia"/>
          <w:b/>
          <w:kern w:val="0"/>
          <w:szCs w:val="21"/>
        </w:rPr>
        <w:t>但是由于投资并非青岛海尔的主营业务，其未来波动具有较高的不确定性，不具有持久性，因此也不能得出青岛海尔收益高于格力电器的结论。</w:t>
      </w:r>
    </w:p>
    <w:p w:rsidR="00B1554B" w:rsidRDefault="00B1554B" w:rsidP="00B1554B">
      <w:pPr>
        <w:ind w:left="413"/>
        <w:rPr>
          <w:b/>
          <w:szCs w:val="21"/>
        </w:rPr>
      </w:pPr>
    </w:p>
    <w:p w:rsidR="003C6FEA" w:rsidRDefault="00726977" w:rsidP="003C6FEA">
      <w:pPr>
        <w:ind w:left="413"/>
        <w:rPr>
          <w:b/>
          <w:szCs w:val="21"/>
        </w:rPr>
      </w:pPr>
      <w:r w:rsidRPr="00726977">
        <w:rPr>
          <w:rFonts w:hint="eastAsia"/>
          <w:b/>
          <w:szCs w:val="21"/>
        </w:rPr>
        <w:t>三</w:t>
      </w:r>
      <w:r w:rsidRPr="00726977">
        <w:rPr>
          <w:rFonts w:hint="eastAsia"/>
          <w:b/>
          <w:szCs w:val="21"/>
        </w:rPr>
        <w:t xml:space="preserve"> </w:t>
      </w:r>
      <w:r>
        <w:rPr>
          <w:rFonts w:hint="eastAsia"/>
          <w:b/>
          <w:szCs w:val="21"/>
        </w:rPr>
        <w:t>比率分析</w:t>
      </w:r>
    </w:p>
    <w:p w:rsidR="00726977" w:rsidRDefault="00E75CEC" w:rsidP="00B1554B">
      <w:pPr>
        <w:ind w:left="413"/>
        <w:rPr>
          <w:b/>
          <w:szCs w:val="21"/>
        </w:rPr>
      </w:pPr>
      <w:r>
        <w:rPr>
          <w:rFonts w:hint="eastAsia"/>
          <w:b/>
          <w:szCs w:val="21"/>
        </w:rPr>
        <w:t>（一）杜邦分析法</w:t>
      </w:r>
      <w:r w:rsidR="003C6FEA">
        <w:rPr>
          <w:rFonts w:hint="eastAsia"/>
          <w:b/>
          <w:szCs w:val="21"/>
        </w:rPr>
        <w:t>的综合运用</w:t>
      </w:r>
    </w:p>
    <w:p w:rsidR="00DB4054" w:rsidRDefault="003C6FEA" w:rsidP="00B1554B">
      <w:pPr>
        <w:ind w:left="413"/>
        <w:rPr>
          <w:b/>
          <w:szCs w:val="21"/>
        </w:rPr>
      </w:pPr>
      <w:r>
        <w:rPr>
          <w:rFonts w:hint="eastAsia"/>
          <w:b/>
          <w:szCs w:val="21"/>
        </w:rPr>
        <w:t xml:space="preserve">1 </w:t>
      </w:r>
      <w:r w:rsidR="005D0418">
        <w:rPr>
          <w:rFonts w:hint="eastAsia"/>
          <w:b/>
          <w:szCs w:val="21"/>
        </w:rPr>
        <w:t>总体</w:t>
      </w:r>
      <w:r>
        <w:rPr>
          <w:rFonts w:hint="eastAsia"/>
          <w:b/>
          <w:szCs w:val="21"/>
        </w:rPr>
        <w:t>趋势分析。</w:t>
      </w:r>
    </w:p>
    <w:p w:rsidR="003C6FEA" w:rsidRDefault="003C6FEA" w:rsidP="00B1554B">
      <w:pPr>
        <w:ind w:left="413"/>
        <w:rPr>
          <w:b/>
          <w:szCs w:val="21"/>
        </w:rPr>
      </w:pPr>
      <w:r>
        <w:rPr>
          <w:rFonts w:hint="eastAsia"/>
          <w:b/>
          <w:szCs w:val="21"/>
        </w:rPr>
        <w:t>表</w:t>
      </w:r>
      <w:r>
        <w:rPr>
          <w:rFonts w:hint="eastAsia"/>
          <w:b/>
          <w:szCs w:val="21"/>
        </w:rPr>
        <w:t>5</w:t>
      </w:r>
      <w:r>
        <w:rPr>
          <w:rFonts w:hint="eastAsia"/>
          <w:b/>
          <w:szCs w:val="21"/>
        </w:rPr>
        <w:t>和图</w:t>
      </w:r>
      <w:r>
        <w:rPr>
          <w:rFonts w:hint="eastAsia"/>
          <w:b/>
          <w:szCs w:val="21"/>
        </w:rPr>
        <w:t>1</w:t>
      </w:r>
      <w:r>
        <w:rPr>
          <w:rFonts w:hint="eastAsia"/>
          <w:b/>
          <w:szCs w:val="21"/>
        </w:rPr>
        <w:t>分别列示了青岛海尔自上市以来的净资产收益率</w:t>
      </w:r>
      <w:r w:rsidR="00DE2EC5">
        <w:rPr>
          <w:rFonts w:hint="eastAsia"/>
          <w:b/>
          <w:szCs w:val="21"/>
        </w:rPr>
        <w:t>(ROE)</w:t>
      </w:r>
      <w:r>
        <w:rPr>
          <w:rFonts w:hint="eastAsia"/>
          <w:b/>
          <w:szCs w:val="21"/>
        </w:rPr>
        <w:t>及其构成因素的变化情况。</w:t>
      </w:r>
    </w:p>
    <w:p w:rsidR="000B6C1A" w:rsidRDefault="000B6C1A" w:rsidP="00867B38">
      <w:pPr>
        <w:ind w:left="413"/>
        <w:jc w:val="center"/>
        <w:rPr>
          <w:b/>
          <w:szCs w:val="21"/>
        </w:rPr>
      </w:pPr>
      <w:r>
        <w:rPr>
          <w:rFonts w:hint="eastAsia"/>
          <w:b/>
          <w:szCs w:val="21"/>
        </w:rPr>
        <w:t>表</w:t>
      </w:r>
      <w:r>
        <w:rPr>
          <w:rFonts w:hint="eastAsia"/>
          <w:b/>
          <w:szCs w:val="21"/>
        </w:rPr>
        <w:t xml:space="preserve">5 </w:t>
      </w:r>
      <w:r>
        <w:rPr>
          <w:rFonts w:hint="eastAsia"/>
          <w:b/>
          <w:szCs w:val="21"/>
        </w:rPr>
        <w:t>青岛海尔</w:t>
      </w:r>
      <w:r w:rsidR="00867B38">
        <w:rPr>
          <w:rFonts w:hint="eastAsia"/>
          <w:b/>
          <w:szCs w:val="21"/>
        </w:rPr>
        <w:t>净资产收益率及其构成因素</w:t>
      </w:r>
    </w:p>
    <w:tbl>
      <w:tblPr>
        <w:tblStyle w:val="a3"/>
        <w:tblW w:w="0" w:type="auto"/>
        <w:tblLook w:val="01E0" w:firstRow="1" w:lastRow="1" w:firstColumn="1" w:lastColumn="1" w:noHBand="0" w:noVBand="0"/>
      </w:tblPr>
      <w:tblGrid>
        <w:gridCol w:w="1647"/>
        <w:gridCol w:w="1662"/>
        <w:gridCol w:w="1678"/>
        <w:gridCol w:w="1646"/>
        <w:gridCol w:w="1663"/>
      </w:tblGrid>
      <w:tr w:rsidR="00867B38">
        <w:tc>
          <w:tcPr>
            <w:tcW w:w="1704" w:type="dxa"/>
          </w:tcPr>
          <w:p w:rsidR="00867B38" w:rsidRDefault="00867B38" w:rsidP="00DE2EC5">
            <w:pPr>
              <w:jc w:val="center"/>
              <w:rPr>
                <w:b/>
                <w:szCs w:val="21"/>
              </w:rPr>
            </w:pPr>
            <w:r>
              <w:rPr>
                <w:rFonts w:hint="eastAsia"/>
                <w:b/>
                <w:szCs w:val="21"/>
              </w:rPr>
              <w:t>年份</w:t>
            </w:r>
          </w:p>
        </w:tc>
        <w:tc>
          <w:tcPr>
            <w:tcW w:w="1704" w:type="dxa"/>
          </w:tcPr>
          <w:p w:rsidR="00867B38" w:rsidRDefault="00867B38" w:rsidP="00DE2EC5">
            <w:pPr>
              <w:jc w:val="center"/>
              <w:rPr>
                <w:b/>
                <w:szCs w:val="21"/>
              </w:rPr>
            </w:pPr>
            <w:r>
              <w:rPr>
                <w:rFonts w:hint="eastAsia"/>
                <w:b/>
                <w:szCs w:val="21"/>
              </w:rPr>
              <w:t>销售净利率</w:t>
            </w:r>
          </w:p>
        </w:tc>
        <w:tc>
          <w:tcPr>
            <w:tcW w:w="1704" w:type="dxa"/>
          </w:tcPr>
          <w:p w:rsidR="00867B38" w:rsidRDefault="00867B38" w:rsidP="00DE2EC5">
            <w:pPr>
              <w:jc w:val="center"/>
              <w:rPr>
                <w:b/>
                <w:szCs w:val="21"/>
              </w:rPr>
            </w:pPr>
            <w:r>
              <w:rPr>
                <w:rFonts w:hint="eastAsia"/>
                <w:b/>
                <w:szCs w:val="21"/>
              </w:rPr>
              <w:t>资产周转率</w:t>
            </w:r>
          </w:p>
        </w:tc>
        <w:tc>
          <w:tcPr>
            <w:tcW w:w="1705" w:type="dxa"/>
          </w:tcPr>
          <w:p w:rsidR="00867B38" w:rsidRDefault="00867B38" w:rsidP="00DE2EC5">
            <w:pPr>
              <w:jc w:val="center"/>
              <w:rPr>
                <w:b/>
                <w:szCs w:val="21"/>
              </w:rPr>
            </w:pPr>
            <w:r>
              <w:rPr>
                <w:rFonts w:hint="eastAsia"/>
                <w:b/>
                <w:szCs w:val="21"/>
              </w:rPr>
              <w:t>权益乘数</w:t>
            </w:r>
          </w:p>
        </w:tc>
        <w:tc>
          <w:tcPr>
            <w:tcW w:w="1705" w:type="dxa"/>
          </w:tcPr>
          <w:p w:rsidR="00867B38" w:rsidRDefault="00867B38" w:rsidP="00DE2EC5">
            <w:pPr>
              <w:jc w:val="center"/>
              <w:rPr>
                <w:b/>
                <w:szCs w:val="21"/>
              </w:rPr>
            </w:pPr>
            <w:r>
              <w:rPr>
                <w:rFonts w:hint="eastAsia"/>
                <w:b/>
                <w:szCs w:val="21"/>
              </w:rPr>
              <w:t>ROE</w:t>
            </w:r>
          </w:p>
        </w:tc>
      </w:tr>
      <w:tr w:rsidR="00DE2EC5">
        <w:tc>
          <w:tcPr>
            <w:tcW w:w="1704" w:type="dxa"/>
          </w:tcPr>
          <w:p w:rsidR="00DE2EC5" w:rsidRDefault="00DE2EC5" w:rsidP="00DE2EC5">
            <w:pPr>
              <w:jc w:val="center"/>
              <w:rPr>
                <w:b/>
                <w:szCs w:val="21"/>
              </w:rPr>
            </w:pPr>
            <w:r>
              <w:rPr>
                <w:rFonts w:hint="eastAsia"/>
                <w:b/>
                <w:szCs w:val="21"/>
              </w:rPr>
              <w:t>2012</w:t>
            </w:r>
          </w:p>
        </w:tc>
        <w:tc>
          <w:tcPr>
            <w:tcW w:w="1704" w:type="dxa"/>
          </w:tcPr>
          <w:p w:rsidR="00DE2EC5" w:rsidRPr="00DE2EC5" w:rsidRDefault="00DE2EC5" w:rsidP="00DE2EC5">
            <w:pPr>
              <w:widowControl/>
              <w:spacing w:line="240" w:lineRule="atLeast"/>
              <w:jc w:val="center"/>
              <w:rPr>
                <w:rFonts w:ascii="ˎ̥" w:hAnsi="ˎ̥" w:cs="宋体"/>
                <w:b/>
                <w:color w:val="333333"/>
                <w:kern w:val="0"/>
                <w:sz w:val="18"/>
                <w:szCs w:val="18"/>
              </w:rPr>
            </w:pPr>
            <w:r w:rsidRPr="00DE2EC5">
              <w:rPr>
                <w:rFonts w:ascii="ˎ̥" w:hAnsi="ˎ̥" w:cs="宋体"/>
                <w:b/>
                <w:color w:val="333333"/>
                <w:kern w:val="0"/>
                <w:sz w:val="18"/>
                <w:szCs w:val="18"/>
              </w:rPr>
              <w:t>4.09</w:t>
            </w:r>
            <w:r w:rsidRPr="00DE2EC5">
              <w:rPr>
                <w:rFonts w:ascii="ˎ̥" w:hAnsi="ˎ̥" w:cs="宋体" w:hint="eastAsia"/>
                <w:b/>
                <w:color w:val="333333"/>
                <w:kern w:val="0"/>
                <w:sz w:val="18"/>
                <w:szCs w:val="18"/>
              </w:rPr>
              <w:t>%</w:t>
            </w:r>
          </w:p>
        </w:tc>
        <w:tc>
          <w:tcPr>
            <w:tcW w:w="1704" w:type="dxa"/>
          </w:tcPr>
          <w:p w:rsidR="00DE2EC5" w:rsidRPr="00DE2EC5" w:rsidRDefault="00DE2EC5" w:rsidP="00DE2EC5">
            <w:pPr>
              <w:widowControl/>
              <w:spacing w:line="240" w:lineRule="atLeast"/>
              <w:jc w:val="center"/>
              <w:rPr>
                <w:rFonts w:ascii="ˎ̥" w:hAnsi="ˎ̥" w:cs="宋体"/>
                <w:b/>
                <w:color w:val="333333"/>
                <w:kern w:val="0"/>
                <w:sz w:val="18"/>
                <w:szCs w:val="18"/>
              </w:rPr>
            </w:pPr>
            <w:r w:rsidRPr="00DE2EC5">
              <w:rPr>
                <w:rFonts w:ascii="ˎ̥" w:hAnsi="ˎ̥" w:cs="宋体"/>
                <w:b/>
                <w:color w:val="333333"/>
                <w:kern w:val="0"/>
                <w:sz w:val="18"/>
                <w:szCs w:val="18"/>
              </w:rPr>
              <w:t>1.79</w:t>
            </w:r>
          </w:p>
        </w:tc>
        <w:tc>
          <w:tcPr>
            <w:tcW w:w="1705" w:type="dxa"/>
          </w:tcPr>
          <w:p w:rsidR="00DE2EC5" w:rsidRPr="00DE2EC5" w:rsidRDefault="00DE2EC5" w:rsidP="00DE2EC5">
            <w:pPr>
              <w:jc w:val="center"/>
              <w:rPr>
                <w:b/>
                <w:szCs w:val="21"/>
              </w:rPr>
            </w:pPr>
            <w:r w:rsidRPr="00DE2EC5">
              <w:rPr>
                <w:rFonts w:hint="eastAsia"/>
                <w:b/>
                <w:szCs w:val="21"/>
              </w:rPr>
              <w:t>1.15</w:t>
            </w:r>
          </w:p>
        </w:tc>
        <w:tc>
          <w:tcPr>
            <w:tcW w:w="1705" w:type="dxa"/>
          </w:tcPr>
          <w:p w:rsidR="00DE2EC5" w:rsidRPr="00DE2EC5" w:rsidRDefault="00DE2EC5" w:rsidP="00DE2EC5">
            <w:pPr>
              <w:jc w:val="center"/>
              <w:rPr>
                <w:rFonts w:ascii="宋体" w:hAnsi="宋体" w:cs="宋体"/>
                <w:b/>
                <w:sz w:val="24"/>
              </w:rPr>
            </w:pPr>
            <w:r w:rsidRPr="00DE2EC5">
              <w:rPr>
                <w:rFonts w:hint="eastAsia"/>
                <w:b/>
              </w:rPr>
              <w:t>8.42%</w:t>
            </w:r>
          </w:p>
        </w:tc>
      </w:tr>
      <w:tr w:rsidR="00DE2EC5">
        <w:tc>
          <w:tcPr>
            <w:tcW w:w="1704" w:type="dxa"/>
          </w:tcPr>
          <w:p w:rsidR="00DE2EC5" w:rsidRDefault="00DE2EC5" w:rsidP="00DE2EC5">
            <w:pPr>
              <w:jc w:val="center"/>
              <w:rPr>
                <w:b/>
                <w:szCs w:val="21"/>
              </w:rPr>
            </w:pPr>
            <w:r>
              <w:rPr>
                <w:rFonts w:hint="eastAsia"/>
                <w:b/>
                <w:szCs w:val="21"/>
              </w:rPr>
              <w:t>2011</w:t>
            </w:r>
          </w:p>
        </w:tc>
        <w:tc>
          <w:tcPr>
            <w:tcW w:w="1704" w:type="dxa"/>
          </w:tcPr>
          <w:p w:rsidR="00DE2EC5" w:rsidRPr="00DE2EC5" w:rsidRDefault="00DE2EC5" w:rsidP="00DE2EC5">
            <w:pPr>
              <w:widowControl/>
              <w:spacing w:line="240" w:lineRule="atLeast"/>
              <w:jc w:val="center"/>
              <w:rPr>
                <w:rFonts w:ascii="ˎ̥" w:hAnsi="ˎ̥" w:cs="宋体"/>
                <w:b/>
                <w:color w:val="333333"/>
                <w:kern w:val="0"/>
                <w:sz w:val="18"/>
                <w:szCs w:val="18"/>
              </w:rPr>
            </w:pPr>
            <w:r w:rsidRPr="00DE2EC5">
              <w:rPr>
                <w:rFonts w:ascii="ˎ̥" w:hAnsi="ˎ̥" w:cs="宋体"/>
                <w:b/>
                <w:color w:val="333333"/>
                <w:kern w:val="0"/>
                <w:sz w:val="18"/>
                <w:szCs w:val="18"/>
              </w:rPr>
              <w:t>3.65</w:t>
            </w:r>
            <w:r w:rsidRPr="00DE2EC5">
              <w:rPr>
                <w:rFonts w:ascii="ˎ̥" w:hAnsi="ˎ̥" w:cs="宋体" w:hint="eastAsia"/>
                <w:b/>
                <w:color w:val="333333"/>
                <w:kern w:val="0"/>
                <w:sz w:val="18"/>
                <w:szCs w:val="18"/>
              </w:rPr>
              <w:t>%</w:t>
            </w:r>
          </w:p>
        </w:tc>
        <w:tc>
          <w:tcPr>
            <w:tcW w:w="1704" w:type="dxa"/>
          </w:tcPr>
          <w:p w:rsidR="00DE2EC5" w:rsidRPr="00DE2EC5" w:rsidRDefault="00DE2EC5" w:rsidP="00DE2EC5">
            <w:pPr>
              <w:widowControl/>
              <w:spacing w:line="240" w:lineRule="atLeast"/>
              <w:jc w:val="center"/>
              <w:rPr>
                <w:rFonts w:ascii="ˎ̥" w:hAnsi="ˎ̥" w:cs="宋体"/>
                <w:b/>
                <w:color w:val="333333"/>
                <w:kern w:val="0"/>
                <w:sz w:val="18"/>
                <w:szCs w:val="18"/>
              </w:rPr>
            </w:pPr>
            <w:r w:rsidRPr="00DE2EC5">
              <w:rPr>
                <w:rFonts w:ascii="ˎ̥" w:hAnsi="ˎ̥" w:cs="宋体"/>
                <w:b/>
                <w:color w:val="333333"/>
                <w:kern w:val="0"/>
                <w:sz w:val="18"/>
                <w:szCs w:val="18"/>
              </w:rPr>
              <w:t>2.06</w:t>
            </w:r>
          </w:p>
        </w:tc>
        <w:tc>
          <w:tcPr>
            <w:tcW w:w="1705" w:type="dxa"/>
          </w:tcPr>
          <w:p w:rsidR="00DE2EC5" w:rsidRPr="00DE2EC5" w:rsidRDefault="00DE2EC5" w:rsidP="00DE2EC5">
            <w:pPr>
              <w:jc w:val="center"/>
              <w:rPr>
                <w:b/>
                <w:szCs w:val="21"/>
              </w:rPr>
            </w:pPr>
            <w:r w:rsidRPr="00DE2EC5">
              <w:rPr>
                <w:rFonts w:hint="eastAsia"/>
                <w:b/>
                <w:szCs w:val="21"/>
              </w:rPr>
              <w:t>1.10</w:t>
            </w:r>
          </w:p>
        </w:tc>
        <w:tc>
          <w:tcPr>
            <w:tcW w:w="1705" w:type="dxa"/>
          </w:tcPr>
          <w:p w:rsidR="00DE2EC5" w:rsidRPr="00DE2EC5" w:rsidRDefault="00DE2EC5" w:rsidP="00DE2EC5">
            <w:pPr>
              <w:jc w:val="center"/>
              <w:rPr>
                <w:rFonts w:ascii="宋体" w:hAnsi="宋体" w:cs="宋体"/>
                <w:b/>
                <w:sz w:val="24"/>
              </w:rPr>
            </w:pPr>
            <w:r w:rsidRPr="00DE2EC5">
              <w:rPr>
                <w:rFonts w:hint="eastAsia"/>
                <w:b/>
              </w:rPr>
              <w:t>8.27%</w:t>
            </w:r>
          </w:p>
        </w:tc>
      </w:tr>
      <w:tr w:rsidR="00DE2EC5">
        <w:tc>
          <w:tcPr>
            <w:tcW w:w="1704" w:type="dxa"/>
          </w:tcPr>
          <w:p w:rsidR="00DE2EC5" w:rsidRDefault="00DE2EC5" w:rsidP="00DE2EC5">
            <w:pPr>
              <w:jc w:val="center"/>
              <w:rPr>
                <w:b/>
                <w:szCs w:val="21"/>
              </w:rPr>
            </w:pPr>
            <w:r>
              <w:rPr>
                <w:rFonts w:hint="eastAsia"/>
                <w:b/>
                <w:szCs w:val="21"/>
              </w:rPr>
              <w:t>2010</w:t>
            </w:r>
          </w:p>
        </w:tc>
        <w:tc>
          <w:tcPr>
            <w:tcW w:w="1704" w:type="dxa"/>
          </w:tcPr>
          <w:p w:rsidR="00DE2EC5" w:rsidRPr="00DE2EC5" w:rsidRDefault="00DE2EC5" w:rsidP="00DE2EC5">
            <w:pPr>
              <w:widowControl/>
              <w:spacing w:line="240" w:lineRule="atLeast"/>
              <w:jc w:val="center"/>
              <w:rPr>
                <w:rFonts w:ascii="ˎ̥" w:hAnsi="ˎ̥" w:cs="宋体"/>
                <w:b/>
                <w:color w:val="333333"/>
                <w:kern w:val="0"/>
                <w:sz w:val="18"/>
                <w:szCs w:val="18"/>
              </w:rPr>
            </w:pPr>
            <w:r w:rsidRPr="00DE2EC5">
              <w:rPr>
                <w:rFonts w:ascii="ˎ̥" w:hAnsi="ˎ̥" w:cs="宋体"/>
                <w:b/>
                <w:color w:val="333333"/>
                <w:kern w:val="0"/>
                <w:sz w:val="18"/>
                <w:szCs w:val="18"/>
              </w:rPr>
              <w:t>4.02</w:t>
            </w:r>
            <w:r w:rsidRPr="00DE2EC5">
              <w:rPr>
                <w:rFonts w:ascii="ˎ̥" w:hAnsi="ˎ̥" w:cs="宋体" w:hint="eastAsia"/>
                <w:b/>
                <w:color w:val="333333"/>
                <w:kern w:val="0"/>
                <w:sz w:val="18"/>
                <w:szCs w:val="18"/>
              </w:rPr>
              <w:t>%</w:t>
            </w:r>
          </w:p>
        </w:tc>
        <w:tc>
          <w:tcPr>
            <w:tcW w:w="1704" w:type="dxa"/>
          </w:tcPr>
          <w:p w:rsidR="00DE2EC5" w:rsidRPr="00DE2EC5" w:rsidRDefault="00DE2EC5" w:rsidP="00DE2EC5">
            <w:pPr>
              <w:widowControl/>
              <w:spacing w:line="240" w:lineRule="atLeast"/>
              <w:jc w:val="center"/>
              <w:rPr>
                <w:rFonts w:ascii="ˎ̥" w:hAnsi="ˎ̥" w:cs="宋体"/>
                <w:b/>
                <w:color w:val="333333"/>
                <w:kern w:val="0"/>
                <w:sz w:val="18"/>
                <w:szCs w:val="18"/>
              </w:rPr>
            </w:pPr>
            <w:r w:rsidRPr="00DE2EC5">
              <w:rPr>
                <w:rFonts w:ascii="ˎ̥" w:hAnsi="ˎ̥" w:cs="宋体"/>
                <w:b/>
                <w:color w:val="333333"/>
                <w:kern w:val="0"/>
                <w:sz w:val="18"/>
                <w:szCs w:val="18"/>
              </w:rPr>
              <w:t>1.09</w:t>
            </w:r>
          </w:p>
        </w:tc>
        <w:tc>
          <w:tcPr>
            <w:tcW w:w="1705" w:type="dxa"/>
          </w:tcPr>
          <w:p w:rsidR="00DE2EC5" w:rsidRPr="00DE2EC5" w:rsidRDefault="00DE2EC5" w:rsidP="00DE2EC5">
            <w:pPr>
              <w:jc w:val="center"/>
              <w:rPr>
                <w:b/>
                <w:szCs w:val="21"/>
              </w:rPr>
            </w:pPr>
            <w:r w:rsidRPr="00DE2EC5">
              <w:rPr>
                <w:rFonts w:hint="eastAsia"/>
                <w:b/>
                <w:szCs w:val="21"/>
              </w:rPr>
              <w:t>1.21</w:t>
            </w:r>
          </w:p>
        </w:tc>
        <w:tc>
          <w:tcPr>
            <w:tcW w:w="1705" w:type="dxa"/>
          </w:tcPr>
          <w:p w:rsidR="00DE2EC5" w:rsidRPr="00DE2EC5" w:rsidRDefault="00DE2EC5" w:rsidP="00DE2EC5">
            <w:pPr>
              <w:jc w:val="center"/>
              <w:rPr>
                <w:rFonts w:ascii="宋体" w:hAnsi="宋体" w:cs="宋体"/>
                <w:b/>
                <w:sz w:val="24"/>
              </w:rPr>
            </w:pPr>
            <w:r w:rsidRPr="00DE2EC5">
              <w:rPr>
                <w:rFonts w:hint="eastAsia"/>
                <w:b/>
              </w:rPr>
              <w:t>5.30%</w:t>
            </w:r>
          </w:p>
        </w:tc>
      </w:tr>
      <w:tr w:rsidR="00DE2EC5">
        <w:tc>
          <w:tcPr>
            <w:tcW w:w="1704" w:type="dxa"/>
          </w:tcPr>
          <w:p w:rsidR="00DE2EC5" w:rsidRDefault="00DE2EC5" w:rsidP="00DE2EC5">
            <w:pPr>
              <w:jc w:val="center"/>
              <w:rPr>
                <w:b/>
                <w:szCs w:val="21"/>
              </w:rPr>
            </w:pPr>
            <w:r>
              <w:rPr>
                <w:rFonts w:hint="eastAsia"/>
                <w:b/>
                <w:szCs w:val="21"/>
              </w:rPr>
              <w:t>2009</w:t>
            </w:r>
          </w:p>
        </w:tc>
        <w:tc>
          <w:tcPr>
            <w:tcW w:w="1704" w:type="dxa"/>
          </w:tcPr>
          <w:p w:rsidR="00DE2EC5" w:rsidRPr="00DE2EC5" w:rsidRDefault="00DE2EC5" w:rsidP="00DE2EC5">
            <w:pPr>
              <w:widowControl/>
              <w:spacing w:line="240" w:lineRule="atLeast"/>
              <w:jc w:val="center"/>
              <w:rPr>
                <w:rFonts w:ascii="ˎ̥" w:hAnsi="ˎ̥" w:cs="宋体"/>
                <w:b/>
                <w:color w:val="333333"/>
                <w:kern w:val="0"/>
                <w:sz w:val="18"/>
                <w:szCs w:val="18"/>
              </w:rPr>
            </w:pPr>
            <w:r w:rsidRPr="00DE2EC5">
              <w:rPr>
                <w:rFonts w:ascii="ˎ̥" w:hAnsi="ˎ̥" w:cs="宋体"/>
                <w:b/>
                <w:color w:val="333333"/>
                <w:kern w:val="0"/>
                <w:sz w:val="18"/>
                <w:szCs w:val="18"/>
              </w:rPr>
              <w:t>3.97</w:t>
            </w:r>
            <w:r w:rsidRPr="00DE2EC5">
              <w:rPr>
                <w:rFonts w:ascii="ˎ̥" w:hAnsi="ˎ̥" w:cs="宋体" w:hint="eastAsia"/>
                <w:b/>
                <w:color w:val="333333"/>
                <w:kern w:val="0"/>
                <w:sz w:val="18"/>
                <w:szCs w:val="18"/>
              </w:rPr>
              <w:t>%</w:t>
            </w:r>
          </w:p>
        </w:tc>
        <w:tc>
          <w:tcPr>
            <w:tcW w:w="1704" w:type="dxa"/>
          </w:tcPr>
          <w:p w:rsidR="00DE2EC5" w:rsidRPr="00DE2EC5" w:rsidRDefault="00DE2EC5" w:rsidP="00DE2EC5">
            <w:pPr>
              <w:widowControl/>
              <w:spacing w:line="240" w:lineRule="atLeast"/>
              <w:jc w:val="center"/>
              <w:rPr>
                <w:rFonts w:ascii="ˎ̥" w:hAnsi="ˎ̥" w:cs="宋体"/>
                <w:b/>
                <w:color w:val="333333"/>
                <w:kern w:val="0"/>
                <w:sz w:val="18"/>
                <w:szCs w:val="18"/>
              </w:rPr>
            </w:pPr>
            <w:r w:rsidRPr="00DE2EC5">
              <w:rPr>
                <w:rFonts w:ascii="ˎ̥" w:hAnsi="ˎ̥" w:cs="宋体"/>
                <w:b/>
                <w:color w:val="333333"/>
                <w:kern w:val="0"/>
                <w:sz w:val="18"/>
                <w:szCs w:val="18"/>
              </w:rPr>
              <w:t>1.59</w:t>
            </w:r>
          </w:p>
        </w:tc>
        <w:tc>
          <w:tcPr>
            <w:tcW w:w="1705" w:type="dxa"/>
          </w:tcPr>
          <w:p w:rsidR="00DE2EC5" w:rsidRPr="00DE2EC5" w:rsidRDefault="00DE2EC5" w:rsidP="00DE2EC5">
            <w:pPr>
              <w:jc w:val="center"/>
              <w:rPr>
                <w:b/>
                <w:szCs w:val="21"/>
              </w:rPr>
            </w:pPr>
            <w:r w:rsidRPr="00DE2EC5">
              <w:rPr>
                <w:rFonts w:hint="eastAsia"/>
                <w:b/>
                <w:szCs w:val="21"/>
              </w:rPr>
              <w:t>1.29</w:t>
            </w:r>
          </w:p>
        </w:tc>
        <w:tc>
          <w:tcPr>
            <w:tcW w:w="1705" w:type="dxa"/>
          </w:tcPr>
          <w:p w:rsidR="00DE2EC5" w:rsidRPr="00DE2EC5" w:rsidRDefault="00DE2EC5" w:rsidP="00DE2EC5">
            <w:pPr>
              <w:jc w:val="center"/>
              <w:rPr>
                <w:rFonts w:ascii="宋体" w:hAnsi="宋体" w:cs="宋体"/>
                <w:b/>
                <w:sz w:val="24"/>
              </w:rPr>
            </w:pPr>
            <w:r w:rsidRPr="00DE2EC5">
              <w:rPr>
                <w:rFonts w:hint="eastAsia"/>
                <w:b/>
              </w:rPr>
              <w:t>8.14%</w:t>
            </w:r>
          </w:p>
        </w:tc>
      </w:tr>
      <w:tr w:rsidR="00DE2EC5">
        <w:tc>
          <w:tcPr>
            <w:tcW w:w="1704" w:type="dxa"/>
          </w:tcPr>
          <w:p w:rsidR="00DE2EC5" w:rsidRDefault="00DE2EC5" w:rsidP="00DE2EC5">
            <w:pPr>
              <w:jc w:val="center"/>
              <w:rPr>
                <w:b/>
                <w:szCs w:val="21"/>
              </w:rPr>
            </w:pPr>
            <w:r>
              <w:rPr>
                <w:rFonts w:hint="eastAsia"/>
                <w:b/>
                <w:szCs w:val="21"/>
              </w:rPr>
              <w:t>2008</w:t>
            </w:r>
          </w:p>
        </w:tc>
        <w:tc>
          <w:tcPr>
            <w:tcW w:w="1704" w:type="dxa"/>
          </w:tcPr>
          <w:p w:rsidR="00DE2EC5" w:rsidRPr="00DE2EC5" w:rsidRDefault="00DE2EC5" w:rsidP="00DE2EC5">
            <w:pPr>
              <w:widowControl/>
              <w:spacing w:line="240" w:lineRule="atLeast"/>
              <w:jc w:val="center"/>
              <w:rPr>
                <w:rFonts w:ascii="ˎ̥" w:hAnsi="ˎ̥" w:cs="宋体"/>
                <w:b/>
                <w:color w:val="333333"/>
                <w:kern w:val="0"/>
                <w:sz w:val="18"/>
                <w:szCs w:val="18"/>
              </w:rPr>
            </w:pPr>
            <w:r w:rsidRPr="00DE2EC5">
              <w:rPr>
                <w:rFonts w:ascii="ˎ̥" w:hAnsi="ˎ̥" w:cs="宋体"/>
                <w:b/>
                <w:color w:val="333333"/>
                <w:kern w:val="0"/>
                <w:sz w:val="18"/>
                <w:szCs w:val="18"/>
              </w:rPr>
              <w:t>3.22</w:t>
            </w:r>
            <w:r w:rsidRPr="00DE2EC5">
              <w:rPr>
                <w:rFonts w:ascii="ˎ̥" w:hAnsi="ˎ̥" w:cs="宋体" w:hint="eastAsia"/>
                <w:b/>
                <w:color w:val="333333"/>
                <w:kern w:val="0"/>
                <w:sz w:val="18"/>
                <w:szCs w:val="18"/>
              </w:rPr>
              <w:t>%</w:t>
            </w:r>
          </w:p>
        </w:tc>
        <w:tc>
          <w:tcPr>
            <w:tcW w:w="1704" w:type="dxa"/>
          </w:tcPr>
          <w:p w:rsidR="00DE2EC5" w:rsidRPr="00DE2EC5" w:rsidRDefault="00DE2EC5" w:rsidP="00DE2EC5">
            <w:pPr>
              <w:widowControl/>
              <w:spacing w:line="240" w:lineRule="atLeast"/>
              <w:jc w:val="center"/>
              <w:rPr>
                <w:b/>
                <w:szCs w:val="21"/>
              </w:rPr>
            </w:pPr>
            <w:r w:rsidRPr="00DE2EC5">
              <w:rPr>
                <w:rFonts w:hint="eastAsia"/>
                <w:b/>
                <w:szCs w:val="21"/>
              </w:rPr>
              <w:t>1.52</w:t>
            </w:r>
          </w:p>
        </w:tc>
        <w:tc>
          <w:tcPr>
            <w:tcW w:w="1705" w:type="dxa"/>
          </w:tcPr>
          <w:p w:rsidR="00DE2EC5" w:rsidRPr="00DE2EC5" w:rsidRDefault="00DE2EC5" w:rsidP="00DE2EC5">
            <w:pPr>
              <w:jc w:val="center"/>
              <w:rPr>
                <w:b/>
                <w:szCs w:val="21"/>
              </w:rPr>
            </w:pPr>
            <w:r w:rsidRPr="00DE2EC5">
              <w:rPr>
                <w:rFonts w:hint="eastAsia"/>
                <w:b/>
                <w:szCs w:val="21"/>
              </w:rPr>
              <w:t>1.49</w:t>
            </w:r>
          </w:p>
        </w:tc>
        <w:tc>
          <w:tcPr>
            <w:tcW w:w="1705" w:type="dxa"/>
          </w:tcPr>
          <w:p w:rsidR="00DE2EC5" w:rsidRPr="00DE2EC5" w:rsidRDefault="00DE2EC5" w:rsidP="00DE2EC5">
            <w:pPr>
              <w:jc w:val="center"/>
              <w:rPr>
                <w:rFonts w:ascii="宋体" w:hAnsi="宋体" w:cs="宋体"/>
                <w:b/>
                <w:sz w:val="24"/>
              </w:rPr>
            </w:pPr>
            <w:r w:rsidRPr="00DE2EC5">
              <w:rPr>
                <w:rFonts w:hint="eastAsia"/>
                <w:b/>
              </w:rPr>
              <w:t>7.29%</w:t>
            </w:r>
          </w:p>
        </w:tc>
      </w:tr>
      <w:tr w:rsidR="00DE2EC5">
        <w:tc>
          <w:tcPr>
            <w:tcW w:w="1704" w:type="dxa"/>
          </w:tcPr>
          <w:p w:rsidR="00DE2EC5" w:rsidRDefault="00DE2EC5" w:rsidP="00DE2EC5">
            <w:pPr>
              <w:jc w:val="center"/>
              <w:rPr>
                <w:b/>
                <w:szCs w:val="21"/>
              </w:rPr>
            </w:pPr>
            <w:r>
              <w:rPr>
                <w:rFonts w:hint="eastAsia"/>
                <w:b/>
                <w:szCs w:val="21"/>
              </w:rPr>
              <w:t>2007</w:t>
            </w:r>
          </w:p>
        </w:tc>
        <w:tc>
          <w:tcPr>
            <w:tcW w:w="1704" w:type="dxa"/>
          </w:tcPr>
          <w:p w:rsidR="00DE2EC5" w:rsidRPr="00DE2EC5" w:rsidRDefault="00DE2EC5" w:rsidP="00DE2EC5">
            <w:pPr>
              <w:widowControl/>
              <w:spacing w:line="240" w:lineRule="atLeast"/>
              <w:jc w:val="center"/>
              <w:rPr>
                <w:rFonts w:ascii="ˎ̥" w:hAnsi="ˎ̥" w:cs="宋体"/>
                <w:b/>
                <w:color w:val="333333"/>
                <w:kern w:val="0"/>
                <w:sz w:val="18"/>
                <w:szCs w:val="18"/>
              </w:rPr>
            </w:pPr>
            <w:r w:rsidRPr="00DE2EC5">
              <w:rPr>
                <w:rFonts w:ascii="ˎ̥" w:hAnsi="ˎ̥" w:cs="宋体"/>
                <w:b/>
                <w:color w:val="333333"/>
                <w:kern w:val="0"/>
                <w:sz w:val="18"/>
                <w:szCs w:val="18"/>
              </w:rPr>
              <w:t>3.51</w:t>
            </w:r>
            <w:r w:rsidRPr="00DE2EC5">
              <w:rPr>
                <w:rFonts w:ascii="ˎ̥" w:hAnsi="ˎ̥" w:cs="宋体" w:hint="eastAsia"/>
                <w:b/>
                <w:color w:val="333333"/>
                <w:kern w:val="0"/>
                <w:sz w:val="18"/>
                <w:szCs w:val="18"/>
              </w:rPr>
              <w:t>%</w:t>
            </w:r>
          </w:p>
        </w:tc>
        <w:tc>
          <w:tcPr>
            <w:tcW w:w="1704" w:type="dxa"/>
          </w:tcPr>
          <w:p w:rsidR="00DE2EC5" w:rsidRPr="00DE2EC5" w:rsidRDefault="00DE2EC5" w:rsidP="00DE2EC5">
            <w:pPr>
              <w:ind w:firstLineChars="293" w:firstLine="618"/>
              <w:rPr>
                <w:b/>
                <w:szCs w:val="21"/>
              </w:rPr>
            </w:pPr>
            <w:r w:rsidRPr="00DE2EC5">
              <w:rPr>
                <w:rFonts w:hint="eastAsia"/>
                <w:b/>
                <w:szCs w:val="21"/>
              </w:rPr>
              <w:t>1.63</w:t>
            </w:r>
          </w:p>
        </w:tc>
        <w:tc>
          <w:tcPr>
            <w:tcW w:w="1705" w:type="dxa"/>
          </w:tcPr>
          <w:p w:rsidR="00DE2EC5" w:rsidRPr="00DE2EC5" w:rsidRDefault="00DE2EC5" w:rsidP="00DE2EC5">
            <w:pPr>
              <w:jc w:val="center"/>
              <w:rPr>
                <w:b/>
                <w:szCs w:val="21"/>
              </w:rPr>
            </w:pPr>
            <w:r w:rsidRPr="00DE2EC5">
              <w:rPr>
                <w:rFonts w:hint="eastAsia"/>
                <w:b/>
                <w:szCs w:val="21"/>
              </w:rPr>
              <w:t>1.43</w:t>
            </w:r>
          </w:p>
        </w:tc>
        <w:tc>
          <w:tcPr>
            <w:tcW w:w="1705" w:type="dxa"/>
          </w:tcPr>
          <w:p w:rsidR="00DE2EC5" w:rsidRPr="00DE2EC5" w:rsidRDefault="00DE2EC5" w:rsidP="00DE2EC5">
            <w:pPr>
              <w:jc w:val="center"/>
              <w:rPr>
                <w:rFonts w:ascii="宋体" w:hAnsi="宋体" w:cs="宋体"/>
                <w:b/>
                <w:sz w:val="24"/>
              </w:rPr>
            </w:pPr>
            <w:r w:rsidRPr="00DE2EC5">
              <w:rPr>
                <w:rFonts w:hint="eastAsia"/>
                <w:b/>
              </w:rPr>
              <w:t>8.18%</w:t>
            </w:r>
          </w:p>
        </w:tc>
      </w:tr>
      <w:tr w:rsidR="00DE2EC5">
        <w:tc>
          <w:tcPr>
            <w:tcW w:w="1704" w:type="dxa"/>
          </w:tcPr>
          <w:p w:rsidR="00DE2EC5" w:rsidRDefault="00DE2EC5" w:rsidP="00DE2EC5">
            <w:pPr>
              <w:jc w:val="center"/>
              <w:rPr>
                <w:b/>
                <w:szCs w:val="21"/>
              </w:rPr>
            </w:pPr>
            <w:r>
              <w:rPr>
                <w:rFonts w:hint="eastAsia"/>
                <w:b/>
                <w:szCs w:val="21"/>
              </w:rPr>
              <w:t>2006</w:t>
            </w:r>
          </w:p>
        </w:tc>
        <w:tc>
          <w:tcPr>
            <w:tcW w:w="1704" w:type="dxa"/>
          </w:tcPr>
          <w:p w:rsidR="00DE2EC5" w:rsidRPr="00DE2EC5" w:rsidRDefault="00DE2EC5" w:rsidP="00DE2EC5">
            <w:pPr>
              <w:widowControl/>
              <w:spacing w:line="240" w:lineRule="atLeast"/>
              <w:jc w:val="center"/>
              <w:rPr>
                <w:rFonts w:ascii="ˎ̥" w:hAnsi="ˎ̥" w:cs="宋体"/>
                <w:b/>
                <w:color w:val="333333"/>
                <w:kern w:val="0"/>
                <w:sz w:val="18"/>
                <w:szCs w:val="18"/>
              </w:rPr>
            </w:pPr>
            <w:r w:rsidRPr="00DE2EC5">
              <w:rPr>
                <w:rFonts w:ascii="ˎ̥" w:hAnsi="ˎ̥" w:cs="宋体"/>
                <w:b/>
                <w:color w:val="333333"/>
                <w:kern w:val="0"/>
                <w:sz w:val="18"/>
                <w:szCs w:val="18"/>
              </w:rPr>
              <w:t>5.20</w:t>
            </w:r>
            <w:r w:rsidRPr="00DE2EC5">
              <w:rPr>
                <w:rFonts w:ascii="ˎ̥" w:hAnsi="ˎ̥" w:cs="宋体" w:hint="eastAsia"/>
                <w:b/>
                <w:color w:val="333333"/>
                <w:kern w:val="0"/>
                <w:sz w:val="18"/>
                <w:szCs w:val="18"/>
              </w:rPr>
              <w:t>%</w:t>
            </w:r>
          </w:p>
        </w:tc>
        <w:tc>
          <w:tcPr>
            <w:tcW w:w="1704" w:type="dxa"/>
          </w:tcPr>
          <w:p w:rsidR="00DE2EC5" w:rsidRPr="00DE2EC5" w:rsidRDefault="00DE2EC5" w:rsidP="00DE2EC5">
            <w:pPr>
              <w:jc w:val="center"/>
              <w:rPr>
                <w:b/>
                <w:szCs w:val="21"/>
              </w:rPr>
            </w:pPr>
            <w:r w:rsidRPr="00DE2EC5">
              <w:rPr>
                <w:rFonts w:hint="eastAsia"/>
                <w:b/>
                <w:szCs w:val="21"/>
              </w:rPr>
              <w:t>1.21</w:t>
            </w:r>
          </w:p>
        </w:tc>
        <w:tc>
          <w:tcPr>
            <w:tcW w:w="1705" w:type="dxa"/>
          </w:tcPr>
          <w:p w:rsidR="00DE2EC5" w:rsidRPr="00DE2EC5" w:rsidRDefault="00DE2EC5" w:rsidP="00DE2EC5">
            <w:pPr>
              <w:jc w:val="center"/>
              <w:rPr>
                <w:b/>
                <w:szCs w:val="21"/>
              </w:rPr>
            </w:pPr>
            <w:r w:rsidRPr="00DE2EC5">
              <w:rPr>
                <w:rFonts w:hint="eastAsia"/>
                <w:b/>
                <w:szCs w:val="21"/>
              </w:rPr>
              <w:t>1.33</w:t>
            </w:r>
          </w:p>
        </w:tc>
        <w:tc>
          <w:tcPr>
            <w:tcW w:w="1705" w:type="dxa"/>
          </w:tcPr>
          <w:p w:rsidR="00DE2EC5" w:rsidRPr="00DE2EC5" w:rsidRDefault="00DE2EC5" w:rsidP="00DE2EC5">
            <w:pPr>
              <w:jc w:val="center"/>
              <w:rPr>
                <w:rFonts w:ascii="宋体" w:hAnsi="宋体" w:cs="宋体"/>
                <w:b/>
                <w:sz w:val="24"/>
              </w:rPr>
            </w:pPr>
            <w:r w:rsidRPr="00DE2EC5">
              <w:rPr>
                <w:rFonts w:hint="eastAsia"/>
                <w:b/>
              </w:rPr>
              <w:t>8.37%</w:t>
            </w:r>
          </w:p>
        </w:tc>
      </w:tr>
      <w:tr w:rsidR="00E153B9">
        <w:tc>
          <w:tcPr>
            <w:tcW w:w="1704" w:type="dxa"/>
          </w:tcPr>
          <w:p w:rsidR="00E153B9" w:rsidRDefault="00E153B9" w:rsidP="00DE2EC5">
            <w:pPr>
              <w:jc w:val="center"/>
              <w:rPr>
                <w:b/>
                <w:szCs w:val="21"/>
              </w:rPr>
            </w:pPr>
            <w:r>
              <w:rPr>
                <w:rFonts w:hint="eastAsia"/>
                <w:b/>
                <w:szCs w:val="21"/>
              </w:rPr>
              <w:t>2005</w:t>
            </w:r>
          </w:p>
        </w:tc>
        <w:tc>
          <w:tcPr>
            <w:tcW w:w="1704" w:type="dxa"/>
          </w:tcPr>
          <w:p w:rsidR="00E153B9" w:rsidRPr="00DE2EC5" w:rsidRDefault="00E153B9" w:rsidP="00DE2EC5">
            <w:pPr>
              <w:jc w:val="center"/>
              <w:rPr>
                <w:b/>
              </w:rPr>
            </w:pPr>
            <w:r w:rsidRPr="00DE2EC5">
              <w:rPr>
                <w:b/>
              </w:rPr>
              <w:t>1.45%</w:t>
            </w:r>
          </w:p>
        </w:tc>
        <w:tc>
          <w:tcPr>
            <w:tcW w:w="1704" w:type="dxa"/>
          </w:tcPr>
          <w:p w:rsidR="00E153B9" w:rsidRPr="00DE2EC5" w:rsidRDefault="00E153B9" w:rsidP="00DE2EC5">
            <w:pPr>
              <w:jc w:val="center"/>
              <w:rPr>
                <w:b/>
              </w:rPr>
            </w:pPr>
            <w:r w:rsidRPr="00DE2EC5">
              <w:rPr>
                <w:b/>
              </w:rPr>
              <w:t>2.44</w:t>
            </w:r>
          </w:p>
        </w:tc>
        <w:tc>
          <w:tcPr>
            <w:tcW w:w="1705" w:type="dxa"/>
          </w:tcPr>
          <w:p w:rsidR="00E153B9" w:rsidRPr="00DE2EC5" w:rsidRDefault="00E153B9" w:rsidP="00DE2EC5">
            <w:pPr>
              <w:jc w:val="center"/>
              <w:rPr>
                <w:b/>
              </w:rPr>
            </w:pPr>
            <w:r w:rsidRPr="00DE2EC5">
              <w:rPr>
                <w:b/>
              </w:rPr>
              <w:t>1.21</w:t>
            </w:r>
          </w:p>
        </w:tc>
        <w:tc>
          <w:tcPr>
            <w:tcW w:w="1705" w:type="dxa"/>
          </w:tcPr>
          <w:p w:rsidR="00E153B9" w:rsidRPr="00DE2EC5" w:rsidRDefault="00E153B9" w:rsidP="00DE2EC5">
            <w:pPr>
              <w:jc w:val="center"/>
              <w:rPr>
                <w:b/>
              </w:rPr>
            </w:pPr>
            <w:r w:rsidRPr="00DE2EC5">
              <w:rPr>
                <w:b/>
              </w:rPr>
              <w:t>4.28%</w:t>
            </w:r>
          </w:p>
        </w:tc>
      </w:tr>
      <w:tr w:rsidR="00644EC3">
        <w:tc>
          <w:tcPr>
            <w:tcW w:w="1704" w:type="dxa"/>
          </w:tcPr>
          <w:p w:rsidR="00644EC3" w:rsidRDefault="00644EC3" w:rsidP="00DE2EC5">
            <w:pPr>
              <w:jc w:val="center"/>
              <w:rPr>
                <w:b/>
                <w:szCs w:val="21"/>
              </w:rPr>
            </w:pPr>
            <w:r>
              <w:rPr>
                <w:rFonts w:hint="eastAsia"/>
                <w:b/>
                <w:szCs w:val="21"/>
              </w:rPr>
              <w:t>2004</w:t>
            </w:r>
          </w:p>
        </w:tc>
        <w:tc>
          <w:tcPr>
            <w:tcW w:w="1704" w:type="dxa"/>
          </w:tcPr>
          <w:p w:rsidR="00644EC3" w:rsidRPr="00DE2EC5" w:rsidRDefault="00644EC3" w:rsidP="00DE2EC5">
            <w:pPr>
              <w:jc w:val="center"/>
              <w:rPr>
                <w:b/>
              </w:rPr>
            </w:pPr>
            <w:r w:rsidRPr="00DE2EC5">
              <w:rPr>
                <w:b/>
              </w:rPr>
              <w:t>2.41%</w:t>
            </w:r>
          </w:p>
        </w:tc>
        <w:tc>
          <w:tcPr>
            <w:tcW w:w="1704" w:type="dxa"/>
          </w:tcPr>
          <w:p w:rsidR="00644EC3" w:rsidRPr="00DE2EC5" w:rsidRDefault="00064317" w:rsidP="00DE2EC5">
            <w:pPr>
              <w:jc w:val="center"/>
              <w:rPr>
                <w:b/>
              </w:rPr>
            </w:pPr>
            <w:r w:rsidRPr="00DE2EC5">
              <w:rPr>
                <w:b/>
              </w:rPr>
              <w:t>2.15</w:t>
            </w:r>
          </w:p>
        </w:tc>
        <w:tc>
          <w:tcPr>
            <w:tcW w:w="1705" w:type="dxa"/>
          </w:tcPr>
          <w:p w:rsidR="00644EC3" w:rsidRPr="00DE2EC5" w:rsidRDefault="00064317" w:rsidP="00DE2EC5">
            <w:pPr>
              <w:jc w:val="center"/>
              <w:rPr>
                <w:b/>
              </w:rPr>
            </w:pPr>
            <w:r w:rsidRPr="00DE2EC5">
              <w:rPr>
                <w:b/>
              </w:rPr>
              <w:t>1.24</w:t>
            </w:r>
          </w:p>
        </w:tc>
        <w:tc>
          <w:tcPr>
            <w:tcW w:w="1705" w:type="dxa"/>
          </w:tcPr>
          <w:p w:rsidR="00644EC3" w:rsidRPr="00DE2EC5" w:rsidRDefault="00064317" w:rsidP="00DE2EC5">
            <w:pPr>
              <w:jc w:val="center"/>
              <w:rPr>
                <w:b/>
              </w:rPr>
            </w:pPr>
            <w:r w:rsidRPr="00DE2EC5">
              <w:rPr>
                <w:b/>
              </w:rPr>
              <w:t>6.43%</w:t>
            </w:r>
          </w:p>
        </w:tc>
      </w:tr>
      <w:tr w:rsidR="00644EC3">
        <w:tc>
          <w:tcPr>
            <w:tcW w:w="1704" w:type="dxa"/>
          </w:tcPr>
          <w:p w:rsidR="00644EC3" w:rsidRDefault="00644EC3" w:rsidP="00DE2EC5">
            <w:pPr>
              <w:jc w:val="center"/>
              <w:rPr>
                <w:b/>
                <w:szCs w:val="21"/>
              </w:rPr>
            </w:pPr>
            <w:r>
              <w:rPr>
                <w:rFonts w:hint="eastAsia"/>
                <w:b/>
                <w:szCs w:val="21"/>
              </w:rPr>
              <w:t>2003</w:t>
            </w:r>
          </w:p>
        </w:tc>
        <w:tc>
          <w:tcPr>
            <w:tcW w:w="1704" w:type="dxa"/>
          </w:tcPr>
          <w:p w:rsidR="00644EC3" w:rsidRPr="00DE2EC5" w:rsidRDefault="00644EC3" w:rsidP="00DE2EC5">
            <w:pPr>
              <w:jc w:val="center"/>
              <w:rPr>
                <w:b/>
              </w:rPr>
            </w:pPr>
            <w:r w:rsidRPr="00DE2EC5">
              <w:rPr>
                <w:b/>
              </w:rPr>
              <w:t>3.16%</w:t>
            </w:r>
          </w:p>
        </w:tc>
        <w:tc>
          <w:tcPr>
            <w:tcW w:w="1704" w:type="dxa"/>
          </w:tcPr>
          <w:p w:rsidR="00644EC3" w:rsidRPr="00DE2EC5" w:rsidRDefault="00644EC3" w:rsidP="00DE2EC5">
            <w:pPr>
              <w:jc w:val="center"/>
              <w:rPr>
                <w:b/>
              </w:rPr>
            </w:pPr>
            <w:r w:rsidRPr="00DE2EC5">
              <w:rPr>
                <w:b/>
              </w:rPr>
              <w:t>1.59</w:t>
            </w:r>
          </w:p>
        </w:tc>
        <w:tc>
          <w:tcPr>
            <w:tcW w:w="1705" w:type="dxa"/>
          </w:tcPr>
          <w:p w:rsidR="00644EC3" w:rsidRPr="00DE2EC5" w:rsidRDefault="00644EC3" w:rsidP="00DE2EC5">
            <w:pPr>
              <w:jc w:val="center"/>
              <w:rPr>
                <w:b/>
              </w:rPr>
            </w:pPr>
            <w:r w:rsidRPr="00DE2EC5">
              <w:rPr>
                <w:b/>
              </w:rPr>
              <w:t>1.37</w:t>
            </w:r>
          </w:p>
        </w:tc>
        <w:tc>
          <w:tcPr>
            <w:tcW w:w="1705" w:type="dxa"/>
          </w:tcPr>
          <w:p w:rsidR="00644EC3" w:rsidRPr="00DE2EC5" w:rsidRDefault="00644EC3" w:rsidP="00DE2EC5">
            <w:pPr>
              <w:jc w:val="center"/>
              <w:rPr>
                <w:b/>
              </w:rPr>
            </w:pPr>
            <w:r w:rsidRPr="00DE2EC5">
              <w:rPr>
                <w:b/>
              </w:rPr>
              <w:t>6.88%</w:t>
            </w:r>
          </w:p>
        </w:tc>
      </w:tr>
      <w:tr w:rsidR="00644EC3">
        <w:tc>
          <w:tcPr>
            <w:tcW w:w="1704" w:type="dxa"/>
          </w:tcPr>
          <w:p w:rsidR="00644EC3" w:rsidRDefault="00644EC3" w:rsidP="00DE2EC5">
            <w:pPr>
              <w:jc w:val="center"/>
              <w:rPr>
                <w:b/>
                <w:szCs w:val="21"/>
              </w:rPr>
            </w:pPr>
            <w:r>
              <w:rPr>
                <w:rFonts w:hint="eastAsia"/>
                <w:b/>
                <w:szCs w:val="21"/>
              </w:rPr>
              <w:t>2002</w:t>
            </w:r>
          </w:p>
        </w:tc>
        <w:tc>
          <w:tcPr>
            <w:tcW w:w="1704" w:type="dxa"/>
          </w:tcPr>
          <w:p w:rsidR="00644EC3" w:rsidRPr="00DE2EC5" w:rsidRDefault="00644EC3" w:rsidP="00DE2EC5">
            <w:pPr>
              <w:jc w:val="center"/>
              <w:rPr>
                <w:b/>
              </w:rPr>
            </w:pPr>
            <w:r w:rsidRPr="00DE2EC5">
              <w:rPr>
                <w:b/>
              </w:rPr>
              <w:t>3.44%</w:t>
            </w:r>
          </w:p>
        </w:tc>
        <w:tc>
          <w:tcPr>
            <w:tcW w:w="1704" w:type="dxa"/>
          </w:tcPr>
          <w:p w:rsidR="00644EC3" w:rsidRPr="00DE2EC5" w:rsidRDefault="00644EC3" w:rsidP="00DE2EC5">
            <w:pPr>
              <w:jc w:val="center"/>
              <w:rPr>
                <w:b/>
              </w:rPr>
            </w:pPr>
            <w:r w:rsidRPr="00DE2EC5">
              <w:rPr>
                <w:b/>
              </w:rPr>
              <w:t>1.56</w:t>
            </w:r>
          </w:p>
        </w:tc>
        <w:tc>
          <w:tcPr>
            <w:tcW w:w="1705" w:type="dxa"/>
          </w:tcPr>
          <w:p w:rsidR="00644EC3" w:rsidRPr="00DE2EC5" w:rsidRDefault="00644EC3" w:rsidP="00DE2EC5">
            <w:pPr>
              <w:jc w:val="center"/>
              <w:rPr>
                <w:b/>
              </w:rPr>
            </w:pPr>
            <w:r w:rsidRPr="00DE2EC5">
              <w:rPr>
                <w:b/>
              </w:rPr>
              <w:t>1.45</w:t>
            </w:r>
          </w:p>
        </w:tc>
        <w:tc>
          <w:tcPr>
            <w:tcW w:w="1705" w:type="dxa"/>
          </w:tcPr>
          <w:p w:rsidR="00644EC3" w:rsidRPr="00DE2EC5" w:rsidRDefault="00644EC3" w:rsidP="00DE2EC5">
            <w:pPr>
              <w:jc w:val="center"/>
              <w:rPr>
                <w:b/>
              </w:rPr>
            </w:pPr>
            <w:r w:rsidRPr="00DE2EC5">
              <w:rPr>
                <w:b/>
              </w:rPr>
              <w:t>7.78%</w:t>
            </w:r>
          </w:p>
        </w:tc>
      </w:tr>
      <w:tr w:rsidR="00644EC3">
        <w:tc>
          <w:tcPr>
            <w:tcW w:w="1704" w:type="dxa"/>
          </w:tcPr>
          <w:p w:rsidR="00644EC3" w:rsidRDefault="00644EC3" w:rsidP="00DE2EC5">
            <w:pPr>
              <w:jc w:val="center"/>
              <w:rPr>
                <w:b/>
                <w:szCs w:val="21"/>
              </w:rPr>
            </w:pPr>
            <w:r>
              <w:rPr>
                <w:rFonts w:hint="eastAsia"/>
                <w:b/>
                <w:szCs w:val="21"/>
              </w:rPr>
              <w:t>2001</w:t>
            </w:r>
          </w:p>
        </w:tc>
        <w:tc>
          <w:tcPr>
            <w:tcW w:w="1704" w:type="dxa"/>
          </w:tcPr>
          <w:p w:rsidR="00644EC3" w:rsidRPr="00DE2EC5" w:rsidRDefault="00644EC3" w:rsidP="00DE2EC5">
            <w:pPr>
              <w:jc w:val="center"/>
              <w:rPr>
                <w:b/>
              </w:rPr>
            </w:pPr>
            <w:r w:rsidRPr="00DE2EC5">
              <w:rPr>
                <w:b/>
              </w:rPr>
              <w:t>5.40%</w:t>
            </w:r>
          </w:p>
        </w:tc>
        <w:tc>
          <w:tcPr>
            <w:tcW w:w="1704" w:type="dxa"/>
          </w:tcPr>
          <w:p w:rsidR="00644EC3" w:rsidRPr="00DE2EC5" w:rsidRDefault="00644EC3" w:rsidP="00DE2EC5">
            <w:pPr>
              <w:jc w:val="center"/>
              <w:rPr>
                <w:b/>
              </w:rPr>
            </w:pPr>
            <w:r w:rsidRPr="00DE2EC5">
              <w:rPr>
                <w:b/>
              </w:rPr>
              <w:t>1.65</w:t>
            </w:r>
          </w:p>
        </w:tc>
        <w:tc>
          <w:tcPr>
            <w:tcW w:w="1705" w:type="dxa"/>
          </w:tcPr>
          <w:p w:rsidR="00644EC3" w:rsidRPr="00DE2EC5" w:rsidRDefault="00644EC3" w:rsidP="00DE2EC5">
            <w:pPr>
              <w:jc w:val="center"/>
              <w:rPr>
                <w:b/>
              </w:rPr>
            </w:pPr>
            <w:r w:rsidRPr="00DE2EC5">
              <w:rPr>
                <w:b/>
              </w:rPr>
              <w:t>1.41</w:t>
            </w:r>
          </w:p>
        </w:tc>
        <w:tc>
          <w:tcPr>
            <w:tcW w:w="1705" w:type="dxa"/>
          </w:tcPr>
          <w:p w:rsidR="00644EC3" w:rsidRPr="00DE2EC5" w:rsidRDefault="00644EC3" w:rsidP="00DE2EC5">
            <w:pPr>
              <w:jc w:val="center"/>
              <w:rPr>
                <w:b/>
              </w:rPr>
            </w:pPr>
            <w:r w:rsidRPr="00DE2EC5">
              <w:rPr>
                <w:b/>
              </w:rPr>
              <w:t>12.56%</w:t>
            </w:r>
          </w:p>
        </w:tc>
      </w:tr>
      <w:tr w:rsidR="00644EC3">
        <w:tc>
          <w:tcPr>
            <w:tcW w:w="1704" w:type="dxa"/>
          </w:tcPr>
          <w:p w:rsidR="00644EC3" w:rsidRDefault="00644EC3" w:rsidP="00DE2EC5">
            <w:pPr>
              <w:jc w:val="center"/>
              <w:rPr>
                <w:b/>
                <w:szCs w:val="21"/>
              </w:rPr>
            </w:pPr>
            <w:r>
              <w:rPr>
                <w:rFonts w:hint="eastAsia"/>
                <w:b/>
                <w:szCs w:val="21"/>
              </w:rPr>
              <w:t>2000</w:t>
            </w:r>
          </w:p>
        </w:tc>
        <w:tc>
          <w:tcPr>
            <w:tcW w:w="1704" w:type="dxa"/>
          </w:tcPr>
          <w:p w:rsidR="00644EC3" w:rsidRPr="00DE2EC5" w:rsidRDefault="00644EC3" w:rsidP="00DE2EC5">
            <w:pPr>
              <w:jc w:val="center"/>
              <w:rPr>
                <w:b/>
              </w:rPr>
            </w:pPr>
            <w:r w:rsidRPr="00DE2EC5">
              <w:rPr>
                <w:b/>
              </w:rPr>
              <w:t>8.78%</w:t>
            </w:r>
          </w:p>
        </w:tc>
        <w:tc>
          <w:tcPr>
            <w:tcW w:w="1704" w:type="dxa"/>
          </w:tcPr>
          <w:p w:rsidR="00644EC3" w:rsidRPr="00DE2EC5" w:rsidRDefault="00644EC3" w:rsidP="00DE2EC5">
            <w:pPr>
              <w:jc w:val="center"/>
              <w:rPr>
                <w:b/>
              </w:rPr>
            </w:pPr>
            <w:r w:rsidRPr="00DE2EC5">
              <w:rPr>
                <w:rFonts w:hint="eastAsia"/>
                <w:b/>
              </w:rPr>
              <w:t>1.20</w:t>
            </w:r>
          </w:p>
        </w:tc>
        <w:tc>
          <w:tcPr>
            <w:tcW w:w="1705" w:type="dxa"/>
          </w:tcPr>
          <w:p w:rsidR="00644EC3" w:rsidRPr="00DE2EC5" w:rsidRDefault="00644EC3" w:rsidP="00DE2EC5">
            <w:pPr>
              <w:jc w:val="center"/>
              <w:rPr>
                <w:b/>
              </w:rPr>
            </w:pPr>
            <w:r w:rsidRPr="00DE2EC5">
              <w:rPr>
                <w:rFonts w:hint="eastAsia"/>
                <w:b/>
              </w:rPr>
              <w:t>1.40</w:t>
            </w:r>
          </w:p>
        </w:tc>
        <w:tc>
          <w:tcPr>
            <w:tcW w:w="1705" w:type="dxa"/>
          </w:tcPr>
          <w:p w:rsidR="00644EC3" w:rsidRPr="00DE2EC5" w:rsidRDefault="00644EC3" w:rsidP="00DE2EC5">
            <w:pPr>
              <w:jc w:val="center"/>
              <w:rPr>
                <w:b/>
              </w:rPr>
            </w:pPr>
            <w:r w:rsidRPr="00DE2EC5">
              <w:rPr>
                <w:b/>
              </w:rPr>
              <w:t>14.75%</w:t>
            </w:r>
          </w:p>
        </w:tc>
      </w:tr>
      <w:tr w:rsidR="00644EC3">
        <w:tc>
          <w:tcPr>
            <w:tcW w:w="1704" w:type="dxa"/>
          </w:tcPr>
          <w:p w:rsidR="00644EC3" w:rsidRDefault="00644EC3" w:rsidP="00DE2EC5">
            <w:pPr>
              <w:jc w:val="center"/>
              <w:rPr>
                <w:b/>
                <w:szCs w:val="21"/>
              </w:rPr>
            </w:pPr>
            <w:r>
              <w:rPr>
                <w:rFonts w:hint="eastAsia"/>
                <w:b/>
                <w:szCs w:val="21"/>
              </w:rPr>
              <w:t>1999</w:t>
            </w:r>
          </w:p>
        </w:tc>
        <w:tc>
          <w:tcPr>
            <w:tcW w:w="1704" w:type="dxa"/>
          </w:tcPr>
          <w:p w:rsidR="00644EC3" w:rsidRPr="00DE2EC5" w:rsidRDefault="00644EC3" w:rsidP="00DE2EC5">
            <w:pPr>
              <w:jc w:val="center"/>
              <w:rPr>
                <w:b/>
              </w:rPr>
            </w:pPr>
            <w:r w:rsidRPr="00DE2EC5">
              <w:rPr>
                <w:b/>
              </w:rPr>
              <w:t>7.82%</w:t>
            </w:r>
          </w:p>
        </w:tc>
        <w:tc>
          <w:tcPr>
            <w:tcW w:w="1704" w:type="dxa"/>
          </w:tcPr>
          <w:p w:rsidR="00644EC3" w:rsidRPr="00DE2EC5" w:rsidRDefault="00644EC3" w:rsidP="00DE2EC5">
            <w:pPr>
              <w:jc w:val="center"/>
              <w:rPr>
                <w:b/>
              </w:rPr>
            </w:pPr>
            <w:r w:rsidRPr="00DE2EC5">
              <w:rPr>
                <w:b/>
              </w:rPr>
              <w:t>1.05</w:t>
            </w:r>
          </w:p>
        </w:tc>
        <w:tc>
          <w:tcPr>
            <w:tcW w:w="1705" w:type="dxa"/>
          </w:tcPr>
          <w:p w:rsidR="00644EC3" w:rsidRPr="00DE2EC5" w:rsidRDefault="00644EC3" w:rsidP="00DE2EC5">
            <w:pPr>
              <w:jc w:val="center"/>
              <w:rPr>
                <w:b/>
              </w:rPr>
            </w:pPr>
            <w:r w:rsidRPr="00DE2EC5">
              <w:rPr>
                <w:b/>
              </w:rPr>
              <w:t>1.46</w:t>
            </w:r>
          </w:p>
        </w:tc>
        <w:tc>
          <w:tcPr>
            <w:tcW w:w="1705" w:type="dxa"/>
          </w:tcPr>
          <w:p w:rsidR="00644EC3" w:rsidRPr="00DE2EC5" w:rsidRDefault="00644EC3" w:rsidP="00DE2EC5">
            <w:pPr>
              <w:jc w:val="center"/>
              <w:rPr>
                <w:b/>
              </w:rPr>
            </w:pPr>
            <w:r w:rsidRPr="00DE2EC5">
              <w:rPr>
                <w:b/>
              </w:rPr>
              <w:t>11.99%</w:t>
            </w:r>
          </w:p>
        </w:tc>
      </w:tr>
      <w:tr w:rsidR="00644EC3">
        <w:tc>
          <w:tcPr>
            <w:tcW w:w="1704" w:type="dxa"/>
          </w:tcPr>
          <w:p w:rsidR="00644EC3" w:rsidRDefault="00644EC3" w:rsidP="00DE2EC5">
            <w:pPr>
              <w:jc w:val="center"/>
              <w:rPr>
                <w:b/>
                <w:szCs w:val="21"/>
              </w:rPr>
            </w:pPr>
            <w:r>
              <w:rPr>
                <w:rFonts w:hint="eastAsia"/>
                <w:b/>
                <w:szCs w:val="21"/>
              </w:rPr>
              <w:t>1998</w:t>
            </w:r>
          </w:p>
        </w:tc>
        <w:tc>
          <w:tcPr>
            <w:tcW w:w="1704" w:type="dxa"/>
          </w:tcPr>
          <w:p w:rsidR="00644EC3" w:rsidRPr="00DE2EC5" w:rsidRDefault="00644EC3" w:rsidP="00DE2EC5">
            <w:pPr>
              <w:jc w:val="center"/>
              <w:rPr>
                <w:b/>
              </w:rPr>
            </w:pPr>
            <w:r w:rsidRPr="00DE2EC5">
              <w:rPr>
                <w:b/>
              </w:rPr>
              <w:t>7.17%</w:t>
            </w:r>
          </w:p>
        </w:tc>
        <w:tc>
          <w:tcPr>
            <w:tcW w:w="1704" w:type="dxa"/>
          </w:tcPr>
          <w:p w:rsidR="00644EC3" w:rsidRPr="00DE2EC5" w:rsidRDefault="00644EC3" w:rsidP="00DE2EC5">
            <w:pPr>
              <w:jc w:val="center"/>
              <w:rPr>
                <w:b/>
              </w:rPr>
            </w:pPr>
            <w:r w:rsidRPr="00DE2EC5">
              <w:rPr>
                <w:b/>
              </w:rPr>
              <w:t>1.11</w:t>
            </w:r>
          </w:p>
        </w:tc>
        <w:tc>
          <w:tcPr>
            <w:tcW w:w="1705" w:type="dxa"/>
          </w:tcPr>
          <w:p w:rsidR="00644EC3" w:rsidRPr="00DE2EC5" w:rsidRDefault="00644EC3" w:rsidP="00DE2EC5">
            <w:pPr>
              <w:jc w:val="center"/>
              <w:rPr>
                <w:b/>
              </w:rPr>
            </w:pPr>
            <w:r w:rsidRPr="00DE2EC5">
              <w:rPr>
                <w:b/>
              </w:rPr>
              <w:t>1.86</w:t>
            </w:r>
          </w:p>
        </w:tc>
        <w:tc>
          <w:tcPr>
            <w:tcW w:w="1705" w:type="dxa"/>
          </w:tcPr>
          <w:p w:rsidR="00644EC3" w:rsidRPr="00DE2EC5" w:rsidRDefault="00644EC3" w:rsidP="00DE2EC5">
            <w:pPr>
              <w:jc w:val="center"/>
              <w:rPr>
                <w:b/>
              </w:rPr>
            </w:pPr>
            <w:r w:rsidRPr="00DE2EC5">
              <w:rPr>
                <w:b/>
              </w:rPr>
              <w:t>14.80%</w:t>
            </w:r>
          </w:p>
        </w:tc>
      </w:tr>
      <w:tr w:rsidR="00644EC3">
        <w:tc>
          <w:tcPr>
            <w:tcW w:w="1704" w:type="dxa"/>
          </w:tcPr>
          <w:p w:rsidR="00644EC3" w:rsidRDefault="00644EC3" w:rsidP="00DE2EC5">
            <w:pPr>
              <w:jc w:val="center"/>
              <w:rPr>
                <w:b/>
                <w:szCs w:val="21"/>
              </w:rPr>
            </w:pPr>
            <w:r>
              <w:rPr>
                <w:rFonts w:hint="eastAsia"/>
                <w:b/>
                <w:szCs w:val="21"/>
              </w:rPr>
              <w:t>1997</w:t>
            </w:r>
          </w:p>
        </w:tc>
        <w:tc>
          <w:tcPr>
            <w:tcW w:w="1704" w:type="dxa"/>
          </w:tcPr>
          <w:p w:rsidR="00644EC3" w:rsidRPr="00DE2EC5" w:rsidRDefault="00644EC3" w:rsidP="00DE2EC5">
            <w:pPr>
              <w:jc w:val="center"/>
              <w:rPr>
                <w:b/>
              </w:rPr>
            </w:pPr>
            <w:r w:rsidRPr="00DE2EC5">
              <w:rPr>
                <w:b/>
              </w:rPr>
              <w:t>6.39%</w:t>
            </w:r>
          </w:p>
        </w:tc>
        <w:tc>
          <w:tcPr>
            <w:tcW w:w="1704" w:type="dxa"/>
          </w:tcPr>
          <w:p w:rsidR="00644EC3" w:rsidRPr="00DE2EC5" w:rsidRDefault="00644EC3" w:rsidP="00DE2EC5">
            <w:pPr>
              <w:jc w:val="center"/>
              <w:rPr>
                <w:b/>
              </w:rPr>
            </w:pPr>
            <w:r w:rsidRPr="00DE2EC5">
              <w:rPr>
                <w:b/>
              </w:rPr>
              <w:t>1.13</w:t>
            </w:r>
          </w:p>
        </w:tc>
        <w:tc>
          <w:tcPr>
            <w:tcW w:w="1705" w:type="dxa"/>
          </w:tcPr>
          <w:p w:rsidR="00644EC3" w:rsidRPr="00DE2EC5" w:rsidRDefault="00644EC3" w:rsidP="00DE2EC5">
            <w:pPr>
              <w:jc w:val="center"/>
              <w:rPr>
                <w:b/>
              </w:rPr>
            </w:pPr>
            <w:r w:rsidRPr="00DE2EC5">
              <w:rPr>
                <w:b/>
              </w:rPr>
              <w:t>2.12</w:t>
            </w:r>
          </w:p>
        </w:tc>
        <w:tc>
          <w:tcPr>
            <w:tcW w:w="1705" w:type="dxa"/>
          </w:tcPr>
          <w:p w:rsidR="00644EC3" w:rsidRPr="00DE2EC5" w:rsidRDefault="00644EC3" w:rsidP="00DE2EC5">
            <w:pPr>
              <w:jc w:val="center"/>
              <w:rPr>
                <w:b/>
              </w:rPr>
            </w:pPr>
            <w:r w:rsidRPr="00DE2EC5">
              <w:rPr>
                <w:b/>
              </w:rPr>
              <w:t>15.31%</w:t>
            </w:r>
          </w:p>
        </w:tc>
      </w:tr>
      <w:tr w:rsidR="00644EC3">
        <w:tc>
          <w:tcPr>
            <w:tcW w:w="1704" w:type="dxa"/>
          </w:tcPr>
          <w:p w:rsidR="00644EC3" w:rsidRDefault="00644EC3" w:rsidP="00DE2EC5">
            <w:pPr>
              <w:jc w:val="center"/>
              <w:rPr>
                <w:b/>
                <w:szCs w:val="21"/>
              </w:rPr>
            </w:pPr>
            <w:r>
              <w:rPr>
                <w:rFonts w:hint="eastAsia"/>
                <w:b/>
                <w:szCs w:val="21"/>
              </w:rPr>
              <w:t>1996</w:t>
            </w:r>
          </w:p>
        </w:tc>
        <w:tc>
          <w:tcPr>
            <w:tcW w:w="1704" w:type="dxa"/>
          </w:tcPr>
          <w:p w:rsidR="00644EC3" w:rsidRPr="00DE2EC5" w:rsidRDefault="00644EC3" w:rsidP="00DE2EC5">
            <w:pPr>
              <w:jc w:val="center"/>
              <w:rPr>
                <w:b/>
              </w:rPr>
            </w:pPr>
            <w:r w:rsidRPr="00DE2EC5">
              <w:rPr>
                <w:b/>
              </w:rPr>
              <w:t>6.74%</w:t>
            </w:r>
          </w:p>
        </w:tc>
        <w:tc>
          <w:tcPr>
            <w:tcW w:w="1704" w:type="dxa"/>
          </w:tcPr>
          <w:p w:rsidR="00644EC3" w:rsidRPr="00DE2EC5" w:rsidRDefault="00644EC3" w:rsidP="00DE2EC5">
            <w:pPr>
              <w:jc w:val="center"/>
              <w:rPr>
                <w:b/>
              </w:rPr>
            </w:pPr>
            <w:r w:rsidRPr="00DE2EC5">
              <w:rPr>
                <w:b/>
              </w:rPr>
              <w:t>2.01</w:t>
            </w:r>
          </w:p>
        </w:tc>
        <w:tc>
          <w:tcPr>
            <w:tcW w:w="1705" w:type="dxa"/>
          </w:tcPr>
          <w:p w:rsidR="00644EC3" w:rsidRPr="00DE2EC5" w:rsidRDefault="00644EC3" w:rsidP="00DE2EC5">
            <w:pPr>
              <w:jc w:val="center"/>
              <w:rPr>
                <w:b/>
              </w:rPr>
            </w:pPr>
            <w:r w:rsidRPr="00DE2EC5">
              <w:rPr>
                <w:b/>
              </w:rPr>
              <w:t>1.45</w:t>
            </w:r>
          </w:p>
        </w:tc>
        <w:tc>
          <w:tcPr>
            <w:tcW w:w="1705" w:type="dxa"/>
          </w:tcPr>
          <w:p w:rsidR="00644EC3" w:rsidRPr="00DE2EC5" w:rsidRDefault="00644EC3" w:rsidP="00DE2EC5">
            <w:pPr>
              <w:jc w:val="center"/>
              <w:rPr>
                <w:b/>
              </w:rPr>
            </w:pPr>
            <w:r w:rsidRPr="00DE2EC5">
              <w:rPr>
                <w:b/>
              </w:rPr>
              <w:t>19.64%</w:t>
            </w:r>
          </w:p>
        </w:tc>
      </w:tr>
      <w:tr w:rsidR="00644EC3">
        <w:tc>
          <w:tcPr>
            <w:tcW w:w="1704" w:type="dxa"/>
          </w:tcPr>
          <w:p w:rsidR="00644EC3" w:rsidRDefault="00644EC3" w:rsidP="00DE2EC5">
            <w:pPr>
              <w:jc w:val="center"/>
              <w:rPr>
                <w:b/>
                <w:szCs w:val="21"/>
              </w:rPr>
            </w:pPr>
            <w:r>
              <w:rPr>
                <w:rFonts w:hint="eastAsia"/>
                <w:b/>
                <w:szCs w:val="21"/>
              </w:rPr>
              <w:t>1995</w:t>
            </w:r>
          </w:p>
        </w:tc>
        <w:tc>
          <w:tcPr>
            <w:tcW w:w="1704" w:type="dxa"/>
          </w:tcPr>
          <w:p w:rsidR="00644EC3" w:rsidRPr="00DE2EC5" w:rsidRDefault="00644EC3" w:rsidP="00DE2EC5">
            <w:pPr>
              <w:jc w:val="center"/>
              <w:rPr>
                <w:b/>
              </w:rPr>
            </w:pPr>
            <w:r w:rsidRPr="00DE2EC5">
              <w:rPr>
                <w:b/>
              </w:rPr>
              <w:t>7.67%</w:t>
            </w:r>
          </w:p>
        </w:tc>
        <w:tc>
          <w:tcPr>
            <w:tcW w:w="1704" w:type="dxa"/>
          </w:tcPr>
          <w:p w:rsidR="00644EC3" w:rsidRPr="00DE2EC5" w:rsidRDefault="00644EC3" w:rsidP="00DE2EC5">
            <w:pPr>
              <w:jc w:val="center"/>
              <w:rPr>
                <w:b/>
              </w:rPr>
            </w:pPr>
            <w:r w:rsidRPr="00DE2EC5">
              <w:rPr>
                <w:b/>
              </w:rPr>
              <w:t>1.57</w:t>
            </w:r>
          </w:p>
        </w:tc>
        <w:tc>
          <w:tcPr>
            <w:tcW w:w="1705" w:type="dxa"/>
          </w:tcPr>
          <w:p w:rsidR="00644EC3" w:rsidRPr="00DE2EC5" w:rsidRDefault="00644EC3" w:rsidP="00DE2EC5">
            <w:pPr>
              <w:jc w:val="center"/>
              <w:rPr>
                <w:b/>
              </w:rPr>
            </w:pPr>
            <w:r w:rsidRPr="00DE2EC5">
              <w:rPr>
                <w:b/>
              </w:rPr>
              <w:t>1.59</w:t>
            </w:r>
          </w:p>
        </w:tc>
        <w:tc>
          <w:tcPr>
            <w:tcW w:w="1705" w:type="dxa"/>
          </w:tcPr>
          <w:p w:rsidR="00644EC3" w:rsidRPr="00DE2EC5" w:rsidRDefault="00644EC3" w:rsidP="00DE2EC5">
            <w:pPr>
              <w:jc w:val="center"/>
              <w:rPr>
                <w:b/>
              </w:rPr>
            </w:pPr>
            <w:r w:rsidRPr="00DE2EC5">
              <w:rPr>
                <w:b/>
              </w:rPr>
              <w:t>19.15%</w:t>
            </w:r>
          </w:p>
        </w:tc>
      </w:tr>
      <w:tr w:rsidR="00644EC3">
        <w:tc>
          <w:tcPr>
            <w:tcW w:w="1704" w:type="dxa"/>
          </w:tcPr>
          <w:p w:rsidR="00644EC3" w:rsidRDefault="00644EC3" w:rsidP="00DE2EC5">
            <w:pPr>
              <w:jc w:val="center"/>
              <w:rPr>
                <w:b/>
                <w:szCs w:val="21"/>
              </w:rPr>
            </w:pPr>
            <w:r>
              <w:rPr>
                <w:rFonts w:hint="eastAsia"/>
                <w:b/>
                <w:szCs w:val="21"/>
              </w:rPr>
              <w:t>1994</w:t>
            </w:r>
          </w:p>
        </w:tc>
        <w:tc>
          <w:tcPr>
            <w:tcW w:w="1704" w:type="dxa"/>
          </w:tcPr>
          <w:p w:rsidR="00644EC3" w:rsidRPr="00DE2EC5" w:rsidRDefault="00644EC3" w:rsidP="00DE2EC5">
            <w:pPr>
              <w:jc w:val="center"/>
              <w:rPr>
                <w:b/>
              </w:rPr>
            </w:pPr>
            <w:r w:rsidRPr="00DE2EC5">
              <w:rPr>
                <w:b/>
              </w:rPr>
              <w:t>10.41%</w:t>
            </w:r>
          </w:p>
        </w:tc>
        <w:tc>
          <w:tcPr>
            <w:tcW w:w="1704" w:type="dxa"/>
          </w:tcPr>
          <w:p w:rsidR="00644EC3" w:rsidRPr="00DE2EC5" w:rsidRDefault="00644EC3" w:rsidP="00DE2EC5">
            <w:pPr>
              <w:jc w:val="center"/>
              <w:rPr>
                <w:b/>
              </w:rPr>
            </w:pPr>
            <w:r w:rsidRPr="00DE2EC5">
              <w:rPr>
                <w:b/>
              </w:rPr>
              <w:t>1.15</w:t>
            </w:r>
          </w:p>
        </w:tc>
        <w:tc>
          <w:tcPr>
            <w:tcW w:w="1705" w:type="dxa"/>
          </w:tcPr>
          <w:p w:rsidR="00644EC3" w:rsidRPr="00DE2EC5" w:rsidRDefault="00644EC3" w:rsidP="00DE2EC5">
            <w:pPr>
              <w:jc w:val="center"/>
              <w:rPr>
                <w:b/>
              </w:rPr>
            </w:pPr>
            <w:r w:rsidRPr="00DE2EC5">
              <w:rPr>
                <w:b/>
              </w:rPr>
              <w:t>1.21</w:t>
            </w:r>
          </w:p>
        </w:tc>
        <w:tc>
          <w:tcPr>
            <w:tcW w:w="1705" w:type="dxa"/>
          </w:tcPr>
          <w:p w:rsidR="00644EC3" w:rsidRPr="00DE2EC5" w:rsidRDefault="00644EC3" w:rsidP="00DE2EC5">
            <w:pPr>
              <w:jc w:val="center"/>
              <w:rPr>
                <w:b/>
              </w:rPr>
            </w:pPr>
            <w:r w:rsidRPr="00DE2EC5">
              <w:rPr>
                <w:b/>
              </w:rPr>
              <w:t>14.49%</w:t>
            </w:r>
          </w:p>
        </w:tc>
      </w:tr>
      <w:tr w:rsidR="00644EC3">
        <w:tc>
          <w:tcPr>
            <w:tcW w:w="1704" w:type="dxa"/>
          </w:tcPr>
          <w:p w:rsidR="00644EC3" w:rsidRDefault="00644EC3" w:rsidP="00DE2EC5">
            <w:pPr>
              <w:jc w:val="center"/>
              <w:rPr>
                <w:b/>
                <w:szCs w:val="21"/>
              </w:rPr>
            </w:pPr>
            <w:r>
              <w:rPr>
                <w:rFonts w:hint="eastAsia"/>
                <w:b/>
                <w:szCs w:val="21"/>
              </w:rPr>
              <w:t>1993</w:t>
            </w:r>
          </w:p>
        </w:tc>
        <w:tc>
          <w:tcPr>
            <w:tcW w:w="1704" w:type="dxa"/>
          </w:tcPr>
          <w:p w:rsidR="00644EC3" w:rsidRPr="00DE2EC5" w:rsidRDefault="00644EC3" w:rsidP="00DE2EC5">
            <w:pPr>
              <w:jc w:val="center"/>
              <w:rPr>
                <w:b/>
              </w:rPr>
            </w:pPr>
            <w:r w:rsidRPr="00DE2EC5">
              <w:rPr>
                <w:b/>
              </w:rPr>
              <w:t>8.74%</w:t>
            </w:r>
          </w:p>
        </w:tc>
        <w:tc>
          <w:tcPr>
            <w:tcW w:w="1704" w:type="dxa"/>
          </w:tcPr>
          <w:p w:rsidR="00644EC3" w:rsidRPr="00DE2EC5" w:rsidRDefault="00644EC3" w:rsidP="00DE2EC5">
            <w:pPr>
              <w:jc w:val="center"/>
              <w:rPr>
                <w:b/>
              </w:rPr>
            </w:pPr>
            <w:r w:rsidRPr="00DE2EC5">
              <w:rPr>
                <w:b/>
              </w:rPr>
              <w:t>1.07</w:t>
            </w:r>
          </w:p>
        </w:tc>
        <w:tc>
          <w:tcPr>
            <w:tcW w:w="1705" w:type="dxa"/>
          </w:tcPr>
          <w:p w:rsidR="00644EC3" w:rsidRPr="00DE2EC5" w:rsidRDefault="00644EC3" w:rsidP="00DE2EC5">
            <w:pPr>
              <w:jc w:val="center"/>
              <w:rPr>
                <w:b/>
              </w:rPr>
            </w:pPr>
            <w:r w:rsidRPr="00DE2EC5">
              <w:rPr>
                <w:b/>
              </w:rPr>
              <w:t>1.31</w:t>
            </w:r>
          </w:p>
        </w:tc>
        <w:tc>
          <w:tcPr>
            <w:tcW w:w="1705" w:type="dxa"/>
          </w:tcPr>
          <w:p w:rsidR="00644EC3" w:rsidRPr="00DE2EC5" w:rsidRDefault="00644EC3" w:rsidP="00DE2EC5">
            <w:pPr>
              <w:jc w:val="center"/>
              <w:rPr>
                <w:b/>
              </w:rPr>
            </w:pPr>
            <w:r w:rsidRPr="00DE2EC5">
              <w:rPr>
                <w:b/>
              </w:rPr>
              <w:t>12.25%</w:t>
            </w:r>
          </w:p>
        </w:tc>
      </w:tr>
    </w:tbl>
    <w:p w:rsidR="00D55B1B" w:rsidRDefault="00D55B1B" w:rsidP="00D55B1B">
      <w:pPr>
        <w:rPr>
          <w:b/>
          <w:szCs w:val="21"/>
        </w:rPr>
      </w:pPr>
    </w:p>
    <w:p w:rsidR="003C6FEA" w:rsidRDefault="00A14000" w:rsidP="00D55B1B">
      <w:pPr>
        <w:jc w:val="center"/>
        <w:rPr>
          <w:b/>
          <w:szCs w:val="21"/>
        </w:rPr>
      </w:pPr>
      <w:r>
        <w:rPr>
          <w:rFonts w:hint="eastAsia"/>
          <w:b/>
          <w:noProof/>
          <w:szCs w:val="21"/>
        </w:rPr>
        <w:drawing>
          <wp:anchor distT="0" distB="0" distL="114300" distR="114300" simplePos="0" relativeHeight="251654656" behindDoc="0" locked="0" layoutInCell="1" allowOverlap="1">
            <wp:simplePos x="0" y="0"/>
            <wp:positionH relativeFrom="column">
              <wp:posOffset>228600</wp:posOffset>
            </wp:positionH>
            <wp:positionV relativeFrom="paragraph">
              <wp:posOffset>256540</wp:posOffset>
            </wp:positionV>
            <wp:extent cx="4629785" cy="1858010"/>
            <wp:effectExtent l="0" t="0" r="0" b="0"/>
            <wp:wrapNone/>
            <wp:docPr id="2" name="对象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sidR="00D55B1B">
        <w:rPr>
          <w:rFonts w:hint="eastAsia"/>
          <w:b/>
          <w:szCs w:val="21"/>
        </w:rPr>
        <w:t>图</w:t>
      </w:r>
      <w:r w:rsidR="00D55B1B">
        <w:rPr>
          <w:rFonts w:hint="eastAsia"/>
          <w:b/>
          <w:szCs w:val="21"/>
        </w:rPr>
        <w:t xml:space="preserve">1 </w:t>
      </w:r>
      <w:r w:rsidR="00D55B1B">
        <w:rPr>
          <w:rFonts w:hint="eastAsia"/>
          <w:b/>
          <w:szCs w:val="21"/>
        </w:rPr>
        <w:t>青岛海尔净资产收益率及其构成要素变动趋势</w:t>
      </w:r>
    </w:p>
    <w:p w:rsidR="00D55B1B" w:rsidRDefault="00D55B1B" w:rsidP="00D55B1B">
      <w:pPr>
        <w:jc w:val="center"/>
        <w:rPr>
          <w:b/>
          <w:szCs w:val="21"/>
        </w:rPr>
      </w:pPr>
    </w:p>
    <w:p w:rsidR="00D55B1B" w:rsidRDefault="00D55B1B" w:rsidP="00D55B1B">
      <w:pPr>
        <w:jc w:val="center"/>
        <w:rPr>
          <w:b/>
          <w:szCs w:val="21"/>
        </w:rPr>
      </w:pPr>
    </w:p>
    <w:p w:rsidR="00D55B1B" w:rsidRDefault="00D55B1B" w:rsidP="00D55B1B">
      <w:pPr>
        <w:jc w:val="center"/>
        <w:rPr>
          <w:b/>
          <w:szCs w:val="21"/>
        </w:rPr>
      </w:pPr>
    </w:p>
    <w:p w:rsidR="00D55B1B" w:rsidRDefault="00D55B1B" w:rsidP="00D55B1B">
      <w:pPr>
        <w:jc w:val="center"/>
        <w:rPr>
          <w:b/>
          <w:szCs w:val="21"/>
        </w:rPr>
      </w:pPr>
    </w:p>
    <w:p w:rsidR="00D55B1B" w:rsidRDefault="00D55B1B" w:rsidP="00D55B1B">
      <w:pPr>
        <w:jc w:val="center"/>
        <w:rPr>
          <w:b/>
          <w:szCs w:val="21"/>
        </w:rPr>
      </w:pPr>
    </w:p>
    <w:p w:rsidR="00D55B1B" w:rsidRDefault="00D55B1B" w:rsidP="00D55B1B">
      <w:pPr>
        <w:jc w:val="center"/>
        <w:rPr>
          <w:b/>
          <w:szCs w:val="21"/>
        </w:rPr>
      </w:pPr>
    </w:p>
    <w:p w:rsidR="00D55B1B" w:rsidRDefault="00D55B1B" w:rsidP="00D55B1B">
      <w:pPr>
        <w:jc w:val="center"/>
        <w:rPr>
          <w:b/>
          <w:szCs w:val="21"/>
        </w:rPr>
      </w:pPr>
    </w:p>
    <w:p w:rsidR="00D55B1B" w:rsidRDefault="00D55B1B" w:rsidP="00D55B1B">
      <w:pPr>
        <w:jc w:val="center"/>
        <w:rPr>
          <w:b/>
          <w:szCs w:val="21"/>
        </w:rPr>
      </w:pPr>
    </w:p>
    <w:p w:rsidR="00D55B1B" w:rsidRDefault="00D55B1B" w:rsidP="00D55B1B">
      <w:pPr>
        <w:jc w:val="center"/>
        <w:rPr>
          <w:b/>
          <w:szCs w:val="21"/>
        </w:rPr>
      </w:pPr>
    </w:p>
    <w:p w:rsidR="00D55B1B" w:rsidRDefault="00D55B1B" w:rsidP="00D55B1B">
      <w:pPr>
        <w:jc w:val="center"/>
        <w:rPr>
          <w:b/>
          <w:szCs w:val="21"/>
        </w:rPr>
      </w:pPr>
    </w:p>
    <w:p w:rsidR="00B06AC7" w:rsidRPr="00B06AC7" w:rsidRDefault="00D55B1B" w:rsidP="00D55B1B">
      <w:pPr>
        <w:rPr>
          <w:b/>
          <w:szCs w:val="21"/>
        </w:rPr>
      </w:pPr>
      <w:r>
        <w:rPr>
          <w:rFonts w:hint="eastAsia"/>
          <w:b/>
          <w:szCs w:val="21"/>
        </w:rPr>
        <w:t>注意：为了更好的理解最近年度的变化趋势，时间</w:t>
      </w:r>
      <w:r w:rsidR="00B06AC7">
        <w:rPr>
          <w:rFonts w:hint="eastAsia"/>
          <w:b/>
          <w:szCs w:val="21"/>
        </w:rPr>
        <w:t>轴</w:t>
      </w:r>
      <w:r>
        <w:rPr>
          <w:rFonts w:hint="eastAsia"/>
          <w:b/>
          <w:szCs w:val="21"/>
        </w:rPr>
        <w:t>采取了逆向方式，同时将资产周转率和权益乘数以百分比形式列示。</w:t>
      </w:r>
    </w:p>
    <w:p w:rsidR="00B06AC7" w:rsidRDefault="00B06AC7" w:rsidP="00B06AC7">
      <w:pPr>
        <w:autoSpaceDE w:val="0"/>
        <w:autoSpaceDN w:val="0"/>
        <w:adjustRightInd w:val="0"/>
        <w:ind w:firstLineChars="200" w:firstLine="420"/>
        <w:jc w:val="left"/>
        <w:rPr>
          <w:rFonts w:ascii="宋体" w:cs="宋体"/>
          <w:kern w:val="0"/>
          <w:szCs w:val="21"/>
        </w:rPr>
      </w:pPr>
      <w:r>
        <w:rPr>
          <w:rFonts w:ascii="宋体" w:cs="宋体" w:hint="eastAsia"/>
          <w:kern w:val="0"/>
          <w:szCs w:val="21"/>
        </w:rPr>
        <w:t>由表5和图1</w:t>
      </w:r>
      <w:r w:rsidRPr="00FE0F0C">
        <w:rPr>
          <w:rFonts w:ascii="宋体" w:cs="宋体" w:hint="eastAsia"/>
          <w:kern w:val="0"/>
          <w:szCs w:val="21"/>
        </w:rPr>
        <w:t>，</w:t>
      </w:r>
      <w:r>
        <w:rPr>
          <w:rFonts w:ascii="宋体" w:cs="宋体" w:hint="eastAsia"/>
          <w:kern w:val="0"/>
          <w:szCs w:val="21"/>
        </w:rPr>
        <w:t>我们可以看出，</w:t>
      </w:r>
      <w:r w:rsidRPr="00FE0F0C">
        <w:rPr>
          <w:rFonts w:ascii="宋体" w:cs="宋体" w:hint="eastAsia"/>
          <w:kern w:val="0"/>
          <w:szCs w:val="21"/>
        </w:rPr>
        <w:t>青岛海尔的净资产收益率在上市之初增长较快，并在</w:t>
      </w:r>
      <w:r w:rsidRPr="00FE0F0C">
        <w:rPr>
          <w:kern w:val="0"/>
          <w:szCs w:val="21"/>
        </w:rPr>
        <w:t>1996</w:t>
      </w:r>
      <w:r w:rsidRPr="00FE0F0C">
        <w:rPr>
          <w:rFonts w:ascii="宋体" w:cs="宋体" w:hint="eastAsia"/>
          <w:kern w:val="0"/>
          <w:szCs w:val="21"/>
        </w:rPr>
        <w:t>年达到</w:t>
      </w:r>
      <w:r w:rsidRPr="00FE0F0C">
        <w:rPr>
          <w:kern w:val="0"/>
          <w:szCs w:val="21"/>
        </w:rPr>
        <w:t>19.64%</w:t>
      </w:r>
      <w:r w:rsidRPr="00FE0F0C">
        <w:rPr>
          <w:rFonts w:ascii="宋体" w:cs="宋体" w:hint="eastAsia"/>
          <w:kern w:val="0"/>
          <w:szCs w:val="21"/>
        </w:rPr>
        <w:t>的峰值，而随着白家电行业逐渐走向成熟，青岛海尔的净资产收益率也幵始不断下滑，跌至</w:t>
      </w:r>
      <w:r w:rsidRPr="00FE0F0C">
        <w:rPr>
          <w:kern w:val="0"/>
          <w:szCs w:val="21"/>
        </w:rPr>
        <w:t>2005</w:t>
      </w:r>
      <w:r w:rsidRPr="00FE0F0C">
        <w:rPr>
          <w:rFonts w:ascii="宋体" w:cs="宋体" w:hint="eastAsia"/>
          <w:kern w:val="0"/>
          <w:szCs w:val="21"/>
        </w:rPr>
        <w:t>年的</w:t>
      </w:r>
      <w:r w:rsidRPr="00FE0F0C">
        <w:rPr>
          <w:kern w:val="0"/>
          <w:szCs w:val="21"/>
        </w:rPr>
        <w:t>4.28%</w:t>
      </w:r>
      <w:r>
        <w:rPr>
          <w:rFonts w:ascii="宋体" w:cs="宋体" w:hint="eastAsia"/>
          <w:kern w:val="0"/>
          <w:szCs w:val="21"/>
        </w:rPr>
        <w:t>，然后在2005—2012年间基本保持平稳状态，稳定在8%左右。</w:t>
      </w:r>
    </w:p>
    <w:p w:rsidR="00B06AC7" w:rsidRPr="00FE0F0C" w:rsidRDefault="00B06AC7" w:rsidP="00B06AC7">
      <w:pPr>
        <w:autoSpaceDE w:val="0"/>
        <w:autoSpaceDN w:val="0"/>
        <w:adjustRightInd w:val="0"/>
        <w:jc w:val="left"/>
        <w:rPr>
          <w:rFonts w:ascii="宋体" w:cs="宋体"/>
          <w:kern w:val="0"/>
          <w:szCs w:val="21"/>
        </w:rPr>
      </w:pPr>
      <w:r w:rsidRPr="00FE0F0C">
        <w:rPr>
          <w:rFonts w:ascii="宋体" w:cs="宋体" w:hint="eastAsia"/>
          <w:kern w:val="0"/>
          <w:szCs w:val="21"/>
        </w:rPr>
        <w:t>从影响净资产收益率的三大因素来看</w:t>
      </w:r>
      <w:r w:rsidRPr="00FE0F0C">
        <w:rPr>
          <w:kern w:val="0"/>
          <w:szCs w:val="21"/>
        </w:rPr>
        <w:t>,</w:t>
      </w:r>
      <w:r w:rsidRPr="00FE0F0C">
        <w:rPr>
          <w:rFonts w:ascii="宋体" w:cs="宋体" w:hint="eastAsia"/>
          <w:kern w:val="0"/>
          <w:szCs w:val="21"/>
        </w:rPr>
        <w:t>权益乘数变化不大，资产周转率则稳中有升，导致净资产收益率逐年下滑的主要因</w:t>
      </w:r>
      <w:r>
        <w:rPr>
          <w:rFonts w:ascii="宋体" w:cs="宋体" w:hint="eastAsia"/>
          <w:kern w:val="0"/>
          <w:szCs w:val="21"/>
        </w:rPr>
        <w:t>素</w:t>
      </w:r>
      <w:r w:rsidRPr="00FE0F0C">
        <w:rPr>
          <w:rFonts w:ascii="宋体" w:cs="宋体" w:hint="eastAsia"/>
          <w:kern w:val="0"/>
          <w:szCs w:val="21"/>
        </w:rPr>
        <w:t>是销售净利率的降低，从上市之初的</w:t>
      </w:r>
      <w:r w:rsidRPr="00FE0F0C">
        <w:rPr>
          <w:kern w:val="0"/>
          <w:szCs w:val="21"/>
        </w:rPr>
        <w:t>8.74</w:t>
      </w:r>
      <w:r w:rsidRPr="00FE0F0C">
        <w:rPr>
          <w:rFonts w:ascii="宋体" w:cs="宋体"/>
          <w:kern w:val="0"/>
          <w:szCs w:val="21"/>
        </w:rPr>
        <w:t xml:space="preserve">% </w:t>
      </w:r>
      <w:r w:rsidRPr="00FE0F0C">
        <w:rPr>
          <w:rFonts w:ascii="宋体" w:cs="宋体" w:hint="eastAsia"/>
          <w:kern w:val="0"/>
          <w:szCs w:val="21"/>
        </w:rPr>
        <w:t>降到了</w:t>
      </w:r>
      <w:r w:rsidRPr="00FE0F0C">
        <w:rPr>
          <w:kern w:val="0"/>
          <w:szCs w:val="21"/>
        </w:rPr>
        <w:t>20</w:t>
      </w:r>
      <w:r>
        <w:rPr>
          <w:rFonts w:hint="eastAsia"/>
          <w:kern w:val="0"/>
          <w:szCs w:val="21"/>
        </w:rPr>
        <w:t>12</w:t>
      </w:r>
      <w:r w:rsidRPr="00FE0F0C">
        <w:rPr>
          <w:rFonts w:ascii="宋体" w:cs="宋体" w:hint="eastAsia"/>
          <w:kern w:val="0"/>
          <w:szCs w:val="21"/>
        </w:rPr>
        <w:t>年的</w:t>
      </w:r>
      <w:r>
        <w:rPr>
          <w:rFonts w:hint="eastAsia"/>
          <w:kern w:val="0"/>
          <w:szCs w:val="21"/>
        </w:rPr>
        <w:t>4.09</w:t>
      </w:r>
      <w:r w:rsidRPr="00FE0F0C">
        <w:rPr>
          <w:rFonts w:ascii="宋体" w:cs="宋体"/>
          <w:kern w:val="0"/>
          <w:szCs w:val="21"/>
        </w:rPr>
        <w:t xml:space="preserve">% </w:t>
      </w:r>
      <w:r w:rsidRPr="00FE0F0C">
        <w:rPr>
          <w:rFonts w:ascii="宋体" w:cs="宋体" w:hint="eastAsia"/>
          <w:kern w:val="0"/>
          <w:szCs w:val="21"/>
        </w:rPr>
        <w:t>。这一方面是白家电行业竞争日益激烈的体现，另一方面也说明了青岛海尔的差异化竞争优势在逐步削弱，无法通过保持</w:t>
      </w:r>
      <w:r w:rsidRPr="00FE0F0C">
        <w:rPr>
          <w:kern w:val="0"/>
          <w:szCs w:val="21"/>
        </w:rPr>
        <w:t>“</w:t>
      </w:r>
      <w:r w:rsidRPr="00FE0F0C">
        <w:rPr>
          <w:rFonts w:ascii="宋体" w:cs="宋体" w:hint="eastAsia"/>
          <w:kern w:val="0"/>
          <w:szCs w:val="21"/>
        </w:rPr>
        <w:t>髙质高价</w:t>
      </w:r>
      <w:r w:rsidRPr="00FE0F0C">
        <w:rPr>
          <w:kern w:val="0"/>
          <w:szCs w:val="21"/>
        </w:rPr>
        <w:t xml:space="preserve">” </w:t>
      </w:r>
      <w:r w:rsidRPr="00FE0F0C">
        <w:rPr>
          <w:rFonts w:ascii="宋体" w:cs="宋体" w:hint="eastAsia"/>
          <w:kern w:val="0"/>
          <w:szCs w:val="21"/>
        </w:rPr>
        <w:t>策略来保持较高的销售净利率。</w:t>
      </w:r>
    </w:p>
    <w:p w:rsidR="00DB4054" w:rsidRDefault="0060279E" w:rsidP="00883360">
      <w:pPr>
        <w:autoSpaceDE w:val="0"/>
        <w:autoSpaceDN w:val="0"/>
        <w:adjustRightInd w:val="0"/>
        <w:jc w:val="left"/>
        <w:rPr>
          <w:b/>
          <w:szCs w:val="21"/>
        </w:rPr>
      </w:pPr>
      <w:r>
        <w:rPr>
          <w:rFonts w:hint="eastAsia"/>
          <w:b/>
          <w:szCs w:val="21"/>
        </w:rPr>
        <w:t>2</w:t>
      </w:r>
      <w:r>
        <w:rPr>
          <w:rFonts w:hint="eastAsia"/>
          <w:b/>
          <w:szCs w:val="21"/>
        </w:rPr>
        <w:t>与竞争对手的比较分析。</w:t>
      </w:r>
    </w:p>
    <w:p w:rsidR="00B06AC7" w:rsidRDefault="0060279E" w:rsidP="00DB4054">
      <w:pPr>
        <w:autoSpaceDE w:val="0"/>
        <w:autoSpaceDN w:val="0"/>
        <w:adjustRightInd w:val="0"/>
        <w:ind w:firstLineChars="196" w:firstLine="413"/>
        <w:jc w:val="left"/>
        <w:rPr>
          <w:b/>
          <w:szCs w:val="21"/>
        </w:rPr>
      </w:pPr>
      <w:r w:rsidRPr="0060279E">
        <w:rPr>
          <w:rFonts w:hint="eastAsia"/>
          <w:b/>
          <w:szCs w:val="21"/>
        </w:rPr>
        <w:t>从长期看</w:t>
      </w:r>
      <w:r w:rsidRPr="0060279E">
        <w:rPr>
          <w:rFonts w:ascii="宋体" w:cs="宋体" w:hint="eastAsia"/>
          <w:b/>
          <w:kern w:val="0"/>
          <w:szCs w:val="21"/>
        </w:rPr>
        <w:t>，公司的价值取决于其成长性和盈利能力。这两项能力又取决于其产品市场战略和资本市场战略；而产品市场战略包括公司的经营战略和投资</w:t>
      </w:r>
      <w:r>
        <w:rPr>
          <w:rFonts w:ascii="宋体" w:cs="宋体" w:hint="eastAsia"/>
          <w:b/>
          <w:kern w:val="0"/>
          <w:szCs w:val="21"/>
        </w:rPr>
        <w:t>战</w:t>
      </w:r>
      <w:r w:rsidRPr="0060279E">
        <w:rPr>
          <w:rFonts w:ascii="宋体" w:cs="宋体" w:hint="eastAsia"/>
          <w:b/>
          <w:kern w:val="0"/>
          <w:szCs w:val="21"/>
        </w:rPr>
        <w:t>略，资本市场战略又包括融资战略和股利政策。比率分析的目的就是评价企业在</w:t>
      </w:r>
      <w:r>
        <w:rPr>
          <w:rFonts w:ascii="宋体" w:cs="宋体" w:hint="eastAsia"/>
          <w:b/>
          <w:kern w:val="0"/>
          <w:szCs w:val="21"/>
        </w:rPr>
        <w:t>相对稳定期的</w:t>
      </w:r>
      <w:r w:rsidRPr="0060279E">
        <w:rPr>
          <w:rFonts w:ascii="宋体" w:cs="宋体" w:hint="eastAsia"/>
          <w:b/>
          <w:kern w:val="0"/>
          <w:szCs w:val="21"/>
        </w:rPr>
        <w:t>经营管理、投资管理、融资战略和股利政策四个领域的管理效果</w:t>
      </w:r>
      <w:r>
        <w:rPr>
          <w:rFonts w:ascii="宋体" w:cs="宋体" w:hint="eastAsia"/>
          <w:b/>
          <w:kern w:val="0"/>
          <w:szCs w:val="21"/>
        </w:rPr>
        <w:t>。</w:t>
      </w:r>
      <w:r w:rsidRPr="0060279E">
        <w:rPr>
          <w:rFonts w:ascii="宋体" w:cs="宋体" w:hint="eastAsia"/>
          <w:b/>
          <w:kern w:val="0"/>
          <w:szCs w:val="21"/>
        </w:rPr>
        <w:t>有效的比率分析</w:t>
      </w:r>
      <w:r>
        <w:rPr>
          <w:rFonts w:ascii="宋体" w:cs="宋体" w:hint="eastAsia"/>
          <w:b/>
          <w:kern w:val="0"/>
          <w:szCs w:val="21"/>
        </w:rPr>
        <w:t>一方面</w:t>
      </w:r>
      <w:r w:rsidRPr="0060279E">
        <w:rPr>
          <w:rFonts w:ascii="宋体" w:cs="宋体" w:hint="eastAsia"/>
          <w:b/>
          <w:kern w:val="0"/>
          <w:szCs w:val="21"/>
        </w:rPr>
        <w:t>应使各财务比率尽可能与上述驱动因素相联系</w:t>
      </w:r>
      <w:r>
        <w:rPr>
          <w:rFonts w:ascii="宋体" w:cs="宋体" w:hint="eastAsia"/>
          <w:b/>
          <w:kern w:val="0"/>
          <w:szCs w:val="21"/>
        </w:rPr>
        <w:t>，另一方面应当使得选取的时间序列</w:t>
      </w:r>
      <w:r w:rsidR="00885877">
        <w:rPr>
          <w:rFonts w:ascii="宋体" w:cs="宋体" w:hint="eastAsia"/>
          <w:b/>
          <w:kern w:val="0"/>
          <w:szCs w:val="21"/>
        </w:rPr>
        <w:t>具有稳定性和典型性，更代表企业所处行业的发展特征和阶段。</w:t>
      </w:r>
      <w:r>
        <w:rPr>
          <w:rFonts w:hint="eastAsia"/>
          <w:b/>
          <w:szCs w:val="21"/>
        </w:rPr>
        <w:t>由于</w:t>
      </w:r>
      <w:r>
        <w:rPr>
          <w:rFonts w:hint="eastAsia"/>
          <w:b/>
          <w:szCs w:val="21"/>
        </w:rPr>
        <w:t>2008</w:t>
      </w:r>
      <w:r>
        <w:rPr>
          <w:rFonts w:hint="eastAsia"/>
          <w:b/>
          <w:szCs w:val="21"/>
        </w:rPr>
        <w:t>年以后空调冰箱行业整体受国际金融危机的影响较大，此时政府采取了积极的财政政策，对该行业给予各种名目的优惠补助。从行业发展角度来看，不具有典型性。通过对我国空调冰箱行业的研究，我们认为</w:t>
      </w:r>
      <w:r w:rsidR="00124758">
        <w:rPr>
          <w:rFonts w:hint="eastAsia"/>
          <w:b/>
          <w:szCs w:val="21"/>
        </w:rPr>
        <w:t>2001</w:t>
      </w:r>
      <w:r>
        <w:rPr>
          <w:rFonts w:hint="eastAsia"/>
          <w:b/>
          <w:szCs w:val="21"/>
        </w:rPr>
        <w:t>—</w:t>
      </w:r>
      <w:r>
        <w:rPr>
          <w:rFonts w:hint="eastAsia"/>
          <w:b/>
          <w:szCs w:val="21"/>
        </w:rPr>
        <w:t>2005</w:t>
      </w:r>
      <w:r>
        <w:rPr>
          <w:rFonts w:hint="eastAsia"/>
          <w:b/>
          <w:szCs w:val="21"/>
        </w:rPr>
        <w:t>年这</w:t>
      </w:r>
      <w:r w:rsidR="00124758">
        <w:rPr>
          <w:rFonts w:hint="eastAsia"/>
          <w:b/>
          <w:szCs w:val="21"/>
        </w:rPr>
        <w:t>五</w:t>
      </w:r>
      <w:r>
        <w:rPr>
          <w:rFonts w:hint="eastAsia"/>
          <w:b/>
          <w:szCs w:val="21"/>
        </w:rPr>
        <w:t>年突出的代表了该行业的发展特征，因此我们在此小节中暂时转换分析基准，采用</w:t>
      </w:r>
      <w:r>
        <w:rPr>
          <w:rFonts w:hint="eastAsia"/>
          <w:b/>
          <w:szCs w:val="21"/>
        </w:rPr>
        <w:t>2003</w:t>
      </w:r>
      <w:r>
        <w:rPr>
          <w:rFonts w:hint="eastAsia"/>
          <w:b/>
          <w:szCs w:val="21"/>
        </w:rPr>
        <w:t>—</w:t>
      </w:r>
      <w:r>
        <w:rPr>
          <w:rFonts w:hint="eastAsia"/>
          <w:b/>
          <w:szCs w:val="21"/>
        </w:rPr>
        <w:t>2005</w:t>
      </w:r>
      <w:r>
        <w:rPr>
          <w:rFonts w:hint="eastAsia"/>
          <w:b/>
          <w:szCs w:val="21"/>
        </w:rPr>
        <w:t>年的数据分析，从而</w:t>
      </w:r>
      <w:r w:rsidR="00883360">
        <w:rPr>
          <w:rFonts w:hint="eastAsia"/>
          <w:b/>
          <w:szCs w:val="21"/>
        </w:rPr>
        <w:t>分析影响青岛海尔净资产收益率的长期驱动因素。</w:t>
      </w:r>
    </w:p>
    <w:p w:rsidR="003762A1" w:rsidRPr="003762A1" w:rsidRDefault="003762A1" w:rsidP="003762A1">
      <w:pPr>
        <w:autoSpaceDE w:val="0"/>
        <w:autoSpaceDN w:val="0"/>
        <w:adjustRightInd w:val="0"/>
        <w:rPr>
          <w:b/>
          <w:szCs w:val="21"/>
        </w:rPr>
      </w:pPr>
      <w:r>
        <w:rPr>
          <w:rFonts w:hint="eastAsia"/>
          <w:b/>
          <w:szCs w:val="21"/>
        </w:rPr>
        <w:t xml:space="preserve">    </w:t>
      </w:r>
      <w:r>
        <w:rPr>
          <w:rFonts w:hint="eastAsia"/>
          <w:b/>
          <w:szCs w:val="21"/>
        </w:rPr>
        <w:t>表</w:t>
      </w:r>
      <w:r>
        <w:rPr>
          <w:rFonts w:hint="eastAsia"/>
          <w:b/>
          <w:szCs w:val="21"/>
        </w:rPr>
        <w:t xml:space="preserve">6 </w:t>
      </w:r>
      <w:r>
        <w:rPr>
          <w:rFonts w:hint="eastAsia"/>
          <w:b/>
          <w:szCs w:val="21"/>
        </w:rPr>
        <w:t>列示了</w:t>
      </w:r>
      <w:r>
        <w:rPr>
          <w:rFonts w:hint="eastAsia"/>
          <w:b/>
          <w:szCs w:val="21"/>
        </w:rPr>
        <w:t>2003</w:t>
      </w:r>
      <w:r>
        <w:rPr>
          <w:rFonts w:hint="eastAsia"/>
          <w:b/>
          <w:szCs w:val="21"/>
        </w:rPr>
        <w:t>—</w:t>
      </w:r>
      <w:r>
        <w:rPr>
          <w:rFonts w:hint="eastAsia"/>
          <w:b/>
          <w:szCs w:val="21"/>
        </w:rPr>
        <w:t>2005</w:t>
      </w:r>
      <w:r>
        <w:rPr>
          <w:rFonts w:hint="eastAsia"/>
          <w:b/>
          <w:szCs w:val="21"/>
        </w:rPr>
        <w:t>年青岛海尔与其竞争对手格力电器的净资产收益率驱动因素的比较。</w:t>
      </w:r>
    </w:p>
    <w:p w:rsidR="003762A1" w:rsidRDefault="003762A1" w:rsidP="003762A1">
      <w:pPr>
        <w:autoSpaceDE w:val="0"/>
        <w:autoSpaceDN w:val="0"/>
        <w:adjustRightInd w:val="0"/>
        <w:jc w:val="center"/>
        <w:rPr>
          <w:b/>
          <w:szCs w:val="21"/>
        </w:rPr>
      </w:pPr>
      <w:r>
        <w:rPr>
          <w:rFonts w:hint="eastAsia"/>
          <w:b/>
          <w:szCs w:val="21"/>
        </w:rPr>
        <w:t>表</w:t>
      </w:r>
      <w:r>
        <w:rPr>
          <w:rFonts w:hint="eastAsia"/>
          <w:b/>
          <w:szCs w:val="21"/>
        </w:rPr>
        <w:t xml:space="preserve">6 </w:t>
      </w:r>
      <w:r>
        <w:rPr>
          <w:rFonts w:hint="eastAsia"/>
          <w:b/>
          <w:szCs w:val="21"/>
        </w:rPr>
        <w:t>青岛海尔与格力电器净资产收益率驱动因素的比较</w:t>
      </w:r>
    </w:p>
    <w:tbl>
      <w:tblPr>
        <w:tblStyle w:val="a3"/>
        <w:tblW w:w="0" w:type="auto"/>
        <w:tblLook w:val="01E0" w:firstRow="1" w:lastRow="1" w:firstColumn="1" w:lastColumn="1" w:noHBand="0" w:noVBand="0"/>
      </w:tblPr>
      <w:tblGrid>
        <w:gridCol w:w="1658"/>
        <w:gridCol w:w="1666"/>
        <w:gridCol w:w="1662"/>
        <w:gridCol w:w="1655"/>
        <w:gridCol w:w="1655"/>
      </w:tblGrid>
      <w:tr w:rsidR="00696C6A">
        <w:tc>
          <w:tcPr>
            <w:tcW w:w="1704" w:type="dxa"/>
          </w:tcPr>
          <w:p w:rsidR="00696C6A" w:rsidRDefault="00696C6A" w:rsidP="003762A1">
            <w:pPr>
              <w:autoSpaceDE w:val="0"/>
              <w:autoSpaceDN w:val="0"/>
              <w:adjustRightInd w:val="0"/>
              <w:jc w:val="center"/>
              <w:rPr>
                <w:b/>
                <w:szCs w:val="21"/>
              </w:rPr>
            </w:pPr>
            <w:r>
              <w:rPr>
                <w:rFonts w:hint="eastAsia"/>
                <w:b/>
                <w:szCs w:val="21"/>
              </w:rPr>
              <w:t>2003</w:t>
            </w:r>
            <w:r>
              <w:rPr>
                <w:rFonts w:hint="eastAsia"/>
                <w:b/>
                <w:szCs w:val="21"/>
              </w:rPr>
              <w:t>年</w:t>
            </w:r>
          </w:p>
        </w:tc>
        <w:tc>
          <w:tcPr>
            <w:tcW w:w="1704" w:type="dxa"/>
          </w:tcPr>
          <w:p w:rsidR="00696C6A" w:rsidRDefault="00696C6A" w:rsidP="003762A1">
            <w:pPr>
              <w:autoSpaceDE w:val="0"/>
              <w:autoSpaceDN w:val="0"/>
              <w:adjustRightInd w:val="0"/>
              <w:jc w:val="center"/>
              <w:rPr>
                <w:b/>
                <w:szCs w:val="21"/>
              </w:rPr>
            </w:pPr>
            <w:r>
              <w:rPr>
                <w:rFonts w:hint="eastAsia"/>
                <w:b/>
                <w:szCs w:val="21"/>
              </w:rPr>
              <w:t>净资产收益率</w:t>
            </w:r>
          </w:p>
        </w:tc>
        <w:tc>
          <w:tcPr>
            <w:tcW w:w="1704" w:type="dxa"/>
          </w:tcPr>
          <w:p w:rsidR="00696C6A" w:rsidRDefault="00696C6A" w:rsidP="003762A1">
            <w:pPr>
              <w:autoSpaceDE w:val="0"/>
              <w:autoSpaceDN w:val="0"/>
              <w:adjustRightInd w:val="0"/>
              <w:jc w:val="center"/>
              <w:rPr>
                <w:b/>
                <w:szCs w:val="21"/>
              </w:rPr>
            </w:pPr>
            <w:r>
              <w:rPr>
                <w:rFonts w:hint="eastAsia"/>
                <w:b/>
                <w:szCs w:val="21"/>
              </w:rPr>
              <w:t>销售净利率</w:t>
            </w:r>
          </w:p>
        </w:tc>
        <w:tc>
          <w:tcPr>
            <w:tcW w:w="1705" w:type="dxa"/>
          </w:tcPr>
          <w:p w:rsidR="00696C6A" w:rsidRDefault="00696C6A" w:rsidP="003762A1">
            <w:pPr>
              <w:autoSpaceDE w:val="0"/>
              <w:autoSpaceDN w:val="0"/>
              <w:adjustRightInd w:val="0"/>
              <w:jc w:val="center"/>
              <w:rPr>
                <w:b/>
                <w:szCs w:val="21"/>
              </w:rPr>
            </w:pPr>
            <w:r>
              <w:rPr>
                <w:rFonts w:hint="eastAsia"/>
                <w:b/>
                <w:szCs w:val="21"/>
              </w:rPr>
              <w:t>资产周转率</w:t>
            </w:r>
          </w:p>
        </w:tc>
        <w:tc>
          <w:tcPr>
            <w:tcW w:w="1705" w:type="dxa"/>
          </w:tcPr>
          <w:p w:rsidR="00696C6A" w:rsidRDefault="00696C6A" w:rsidP="003762A1">
            <w:pPr>
              <w:autoSpaceDE w:val="0"/>
              <w:autoSpaceDN w:val="0"/>
              <w:adjustRightInd w:val="0"/>
              <w:jc w:val="center"/>
              <w:rPr>
                <w:b/>
                <w:szCs w:val="21"/>
              </w:rPr>
            </w:pPr>
            <w:r>
              <w:rPr>
                <w:rFonts w:hint="eastAsia"/>
                <w:b/>
                <w:szCs w:val="21"/>
              </w:rPr>
              <w:t>权益乘数</w:t>
            </w:r>
          </w:p>
        </w:tc>
      </w:tr>
      <w:tr w:rsidR="00ED5110">
        <w:tc>
          <w:tcPr>
            <w:tcW w:w="1704" w:type="dxa"/>
          </w:tcPr>
          <w:p w:rsidR="00ED5110" w:rsidRDefault="00ED5110" w:rsidP="003762A1">
            <w:pPr>
              <w:autoSpaceDE w:val="0"/>
              <w:autoSpaceDN w:val="0"/>
              <w:adjustRightInd w:val="0"/>
              <w:jc w:val="center"/>
              <w:rPr>
                <w:b/>
                <w:szCs w:val="21"/>
              </w:rPr>
            </w:pPr>
            <w:r>
              <w:rPr>
                <w:rFonts w:hint="eastAsia"/>
                <w:b/>
                <w:szCs w:val="21"/>
              </w:rPr>
              <w:t>青岛海尔</w:t>
            </w:r>
          </w:p>
        </w:tc>
        <w:tc>
          <w:tcPr>
            <w:tcW w:w="1704" w:type="dxa"/>
          </w:tcPr>
          <w:p w:rsidR="00ED5110" w:rsidRPr="009A2621" w:rsidRDefault="00ED5110" w:rsidP="00120625">
            <w:pPr>
              <w:jc w:val="center"/>
              <w:rPr>
                <w:kern w:val="0"/>
                <w:sz w:val="20"/>
                <w:szCs w:val="20"/>
              </w:rPr>
            </w:pPr>
            <w:r w:rsidRPr="009A2621">
              <w:rPr>
                <w:kern w:val="0"/>
                <w:sz w:val="20"/>
                <w:szCs w:val="20"/>
              </w:rPr>
              <w:t>6.85%</w:t>
            </w:r>
          </w:p>
        </w:tc>
        <w:tc>
          <w:tcPr>
            <w:tcW w:w="1704" w:type="dxa"/>
          </w:tcPr>
          <w:p w:rsidR="00ED5110" w:rsidRPr="009A2621" w:rsidRDefault="00ED5110" w:rsidP="00120625">
            <w:pPr>
              <w:jc w:val="center"/>
              <w:rPr>
                <w:kern w:val="0"/>
                <w:sz w:val="20"/>
                <w:szCs w:val="20"/>
              </w:rPr>
            </w:pPr>
            <w:r w:rsidRPr="009A2621">
              <w:rPr>
                <w:kern w:val="0"/>
                <w:sz w:val="20"/>
                <w:szCs w:val="20"/>
              </w:rPr>
              <w:t>3.16%</w:t>
            </w:r>
          </w:p>
        </w:tc>
        <w:tc>
          <w:tcPr>
            <w:tcW w:w="1705" w:type="dxa"/>
          </w:tcPr>
          <w:p w:rsidR="00ED5110" w:rsidRPr="009A2621" w:rsidRDefault="00ED5110" w:rsidP="00120625">
            <w:pPr>
              <w:jc w:val="center"/>
              <w:rPr>
                <w:kern w:val="0"/>
                <w:sz w:val="20"/>
                <w:szCs w:val="20"/>
              </w:rPr>
            </w:pPr>
            <w:r w:rsidRPr="009A2621">
              <w:rPr>
                <w:kern w:val="0"/>
                <w:sz w:val="20"/>
                <w:szCs w:val="20"/>
              </w:rPr>
              <w:t>1.59</w:t>
            </w:r>
          </w:p>
        </w:tc>
        <w:tc>
          <w:tcPr>
            <w:tcW w:w="1705" w:type="dxa"/>
          </w:tcPr>
          <w:p w:rsidR="00ED5110" w:rsidRDefault="00ED5110" w:rsidP="00120625">
            <w:pPr>
              <w:jc w:val="center"/>
            </w:pPr>
            <w:r w:rsidRPr="009A2621">
              <w:rPr>
                <w:kern w:val="0"/>
                <w:sz w:val="20"/>
                <w:szCs w:val="20"/>
              </w:rPr>
              <w:t>1.37</w:t>
            </w:r>
          </w:p>
        </w:tc>
      </w:tr>
      <w:tr w:rsidR="00ED5110">
        <w:tc>
          <w:tcPr>
            <w:tcW w:w="1704" w:type="dxa"/>
          </w:tcPr>
          <w:p w:rsidR="00ED5110" w:rsidRDefault="00ED5110" w:rsidP="003762A1">
            <w:pPr>
              <w:autoSpaceDE w:val="0"/>
              <w:autoSpaceDN w:val="0"/>
              <w:adjustRightInd w:val="0"/>
              <w:jc w:val="center"/>
              <w:rPr>
                <w:b/>
                <w:szCs w:val="21"/>
              </w:rPr>
            </w:pPr>
            <w:r>
              <w:rPr>
                <w:rFonts w:hint="eastAsia"/>
                <w:b/>
                <w:szCs w:val="21"/>
              </w:rPr>
              <w:t>格力电器</w:t>
            </w:r>
          </w:p>
        </w:tc>
        <w:tc>
          <w:tcPr>
            <w:tcW w:w="1704" w:type="dxa"/>
          </w:tcPr>
          <w:p w:rsidR="00ED5110" w:rsidRPr="004E7139" w:rsidRDefault="00ED5110" w:rsidP="00120625">
            <w:pPr>
              <w:jc w:val="center"/>
              <w:rPr>
                <w:kern w:val="0"/>
                <w:sz w:val="20"/>
                <w:szCs w:val="20"/>
              </w:rPr>
            </w:pPr>
            <w:r w:rsidRPr="004E7139">
              <w:rPr>
                <w:kern w:val="0"/>
                <w:sz w:val="20"/>
                <w:szCs w:val="20"/>
              </w:rPr>
              <w:t>15.53%</w:t>
            </w:r>
          </w:p>
        </w:tc>
        <w:tc>
          <w:tcPr>
            <w:tcW w:w="1704" w:type="dxa"/>
          </w:tcPr>
          <w:p w:rsidR="00ED5110" w:rsidRPr="004E7139" w:rsidRDefault="00ED5110" w:rsidP="00120625">
            <w:pPr>
              <w:jc w:val="center"/>
              <w:rPr>
                <w:kern w:val="0"/>
                <w:sz w:val="20"/>
                <w:szCs w:val="20"/>
              </w:rPr>
            </w:pPr>
            <w:r w:rsidRPr="004E7139">
              <w:rPr>
                <w:kern w:val="0"/>
                <w:sz w:val="20"/>
                <w:szCs w:val="20"/>
              </w:rPr>
              <w:t>3.36%</w:t>
            </w:r>
          </w:p>
        </w:tc>
        <w:tc>
          <w:tcPr>
            <w:tcW w:w="1705" w:type="dxa"/>
          </w:tcPr>
          <w:p w:rsidR="00ED5110" w:rsidRPr="004E7139" w:rsidRDefault="00ED5110" w:rsidP="00120625">
            <w:pPr>
              <w:jc w:val="center"/>
              <w:rPr>
                <w:kern w:val="0"/>
                <w:sz w:val="20"/>
                <w:szCs w:val="20"/>
              </w:rPr>
            </w:pPr>
            <w:r w:rsidRPr="004E7139">
              <w:rPr>
                <w:kern w:val="0"/>
                <w:sz w:val="20"/>
                <w:szCs w:val="20"/>
              </w:rPr>
              <w:t>1.21</w:t>
            </w:r>
          </w:p>
        </w:tc>
        <w:tc>
          <w:tcPr>
            <w:tcW w:w="1705" w:type="dxa"/>
          </w:tcPr>
          <w:p w:rsidR="00ED5110" w:rsidRDefault="00ED5110" w:rsidP="00120625">
            <w:pPr>
              <w:jc w:val="center"/>
            </w:pPr>
            <w:r w:rsidRPr="004E7139">
              <w:rPr>
                <w:kern w:val="0"/>
                <w:sz w:val="20"/>
                <w:szCs w:val="20"/>
              </w:rPr>
              <w:t>3.82</w:t>
            </w:r>
          </w:p>
        </w:tc>
      </w:tr>
      <w:tr w:rsidR="00120625">
        <w:tc>
          <w:tcPr>
            <w:tcW w:w="1704" w:type="dxa"/>
          </w:tcPr>
          <w:p w:rsidR="00120625" w:rsidRDefault="00120625" w:rsidP="003762A1">
            <w:pPr>
              <w:autoSpaceDE w:val="0"/>
              <w:autoSpaceDN w:val="0"/>
              <w:adjustRightInd w:val="0"/>
              <w:jc w:val="center"/>
              <w:rPr>
                <w:b/>
                <w:szCs w:val="21"/>
              </w:rPr>
            </w:pPr>
            <w:r>
              <w:rPr>
                <w:rFonts w:hint="eastAsia"/>
                <w:b/>
                <w:szCs w:val="21"/>
              </w:rPr>
              <w:t>2004</w:t>
            </w:r>
            <w:r>
              <w:rPr>
                <w:rFonts w:hint="eastAsia"/>
                <w:b/>
                <w:szCs w:val="21"/>
              </w:rPr>
              <w:t>年</w:t>
            </w:r>
          </w:p>
        </w:tc>
        <w:tc>
          <w:tcPr>
            <w:tcW w:w="1704" w:type="dxa"/>
          </w:tcPr>
          <w:p w:rsidR="00120625" w:rsidRDefault="00120625" w:rsidP="00F40E93">
            <w:pPr>
              <w:autoSpaceDE w:val="0"/>
              <w:autoSpaceDN w:val="0"/>
              <w:adjustRightInd w:val="0"/>
              <w:jc w:val="center"/>
              <w:rPr>
                <w:b/>
                <w:szCs w:val="21"/>
              </w:rPr>
            </w:pPr>
            <w:r>
              <w:rPr>
                <w:rFonts w:hint="eastAsia"/>
                <w:b/>
                <w:szCs w:val="21"/>
              </w:rPr>
              <w:t>净资产收益率</w:t>
            </w:r>
          </w:p>
        </w:tc>
        <w:tc>
          <w:tcPr>
            <w:tcW w:w="1704" w:type="dxa"/>
          </w:tcPr>
          <w:p w:rsidR="00120625" w:rsidRDefault="00120625" w:rsidP="00F40E93">
            <w:pPr>
              <w:autoSpaceDE w:val="0"/>
              <w:autoSpaceDN w:val="0"/>
              <w:adjustRightInd w:val="0"/>
              <w:jc w:val="center"/>
              <w:rPr>
                <w:b/>
                <w:szCs w:val="21"/>
              </w:rPr>
            </w:pPr>
            <w:r>
              <w:rPr>
                <w:rFonts w:hint="eastAsia"/>
                <w:b/>
                <w:szCs w:val="21"/>
              </w:rPr>
              <w:t>销售净利率</w:t>
            </w:r>
          </w:p>
        </w:tc>
        <w:tc>
          <w:tcPr>
            <w:tcW w:w="1705" w:type="dxa"/>
          </w:tcPr>
          <w:p w:rsidR="00120625" w:rsidRDefault="00120625" w:rsidP="00F40E93">
            <w:pPr>
              <w:autoSpaceDE w:val="0"/>
              <w:autoSpaceDN w:val="0"/>
              <w:adjustRightInd w:val="0"/>
              <w:jc w:val="center"/>
              <w:rPr>
                <w:b/>
                <w:szCs w:val="21"/>
              </w:rPr>
            </w:pPr>
            <w:r>
              <w:rPr>
                <w:rFonts w:hint="eastAsia"/>
                <w:b/>
                <w:szCs w:val="21"/>
              </w:rPr>
              <w:t>资产周转率</w:t>
            </w:r>
          </w:p>
        </w:tc>
        <w:tc>
          <w:tcPr>
            <w:tcW w:w="1705" w:type="dxa"/>
          </w:tcPr>
          <w:p w:rsidR="00120625" w:rsidRDefault="00120625" w:rsidP="00F40E93">
            <w:pPr>
              <w:autoSpaceDE w:val="0"/>
              <w:autoSpaceDN w:val="0"/>
              <w:adjustRightInd w:val="0"/>
              <w:jc w:val="center"/>
              <w:rPr>
                <w:b/>
                <w:szCs w:val="21"/>
              </w:rPr>
            </w:pPr>
            <w:r>
              <w:rPr>
                <w:rFonts w:hint="eastAsia"/>
                <w:b/>
                <w:szCs w:val="21"/>
              </w:rPr>
              <w:t>权益乘数</w:t>
            </w:r>
          </w:p>
        </w:tc>
      </w:tr>
      <w:tr w:rsidR="00ED5110">
        <w:tc>
          <w:tcPr>
            <w:tcW w:w="1704" w:type="dxa"/>
          </w:tcPr>
          <w:p w:rsidR="00ED5110" w:rsidRDefault="00ED5110" w:rsidP="003762A1">
            <w:pPr>
              <w:autoSpaceDE w:val="0"/>
              <w:autoSpaceDN w:val="0"/>
              <w:adjustRightInd w:val="0"/>
              <w:jc w:val="center"/>
              <w:rPr>
                <w:b/>
                <w:szCs w:val="21"/>
              </w:rPr>
            </w:pPr>
            <w:r>
              <w:rPr>
                <w:rFonts w:hint="eastAsia"/>
                <w:b/>
                <w:szCs w:val="21"/>
              </w:rPr>
              <w:t>青岛海尔</w:t>
            </w:r>
          </w:p>
        </w:tc>
        <w:tc>
          <w:tcPr>
            <w:tcW w:w="1704" w:type="dxa"/>
          </w:tcPr>
          <w:p w:rsidR="00ED5110" w:rsidRPr="004F0F5C" w:rsidRDefault="00ED5110" w:rsidP="00120625">
            <w:pPr>
              <w:jc w:val="center"/>
              <w:rPr>
                <w:kern w:val="0"/>
                <w:sz w:val="20"/>
                <w:szCs w:val="20"/>
              </w:rPr>
            </w:pPr>
            <w:r w:rsidRPr="004F0F5C">
              <w:rPr>
                <w:kern w:val="0"/>
                <w:sz w:val="20"/>
                <w:szCs w:val="20"/>
              </w:rPr>
              <w:t>6.43%</w:t>
            </w:r>
          </w:p>
        </w:tc>
        <w:tc>
          <w:tcPr>
            <w:tcW w:w="1704" w:type="dxa"/>
          </w:tcPr>
          <w:p w:rsidR="00ED5110" w:rsidRPr="004F0F5C" w:rsidRDefault="00ED5110" w:rsidP="00120625">
            <w:pPr>
              <w:jc w:val="center"/>
              <w:rPr>
                <w:kern w:val="0"/>
                <w:sz w:val="20"/>
                <w:szCs w:val="20"/>
              </w:rPr>
            </w:pPr>
            <w:r w:rsidRPr="004F0F5C">
              <w:rPr>
                <w:kern w:val="0"/>
                <w:sz w:val="20"/>
                <w:szCs w:val="20"/>
              </w:rPr>
              <w:t>2.41%</w:t>
            </w:r>
          </w:p>
        </w:tc>
        <w:tc>
          <w:tcPr>
            <w:tcW w:w="1705" w:type="dxa"/>
          </w:tcPr>
          <w:p w:rsidR="00ED5110" w:rsidRPr="004F0F5C" w:rsidRDefault="00ED5110" w:rsidP="00120625">
            <w:pPr>
              <w:jc w:val="center"/>
              <w:rPr>
                <w:kern w:val="0"/>
                <w:sz w:val="20"/>
                <w:szCs w:val="20"/>
              </w:rPr>
            </w:pPr>
            <w:r w:rsidRPr="004F0F5C">
              <w:rPr>
                <w:kern w:val="0"/>
                <w:sz w:val="20"/>
                <w:szCs w:val="20"/>
              </w:rPr>
              <w:t>2.15</w:t>
            </w:r>
          </w:p>
        </w:tc>
        <w:tc>
          <w:tcPr>
            <w:tcW w:w="1705" w:type="dxa"/>
          </w:tcPr>
          <w:p w:rsidR="00ED5110" w:rsidRDefault="00ED5110" w:rsidP="00120625">
            <w:pPr>
              <w:jc w:val="center"/>
            </w:pPr>
            <w:r w:rsidRPr="004F0F5C">
              <w:rPr>
                <w:kern w:val="0"/>
                <w:sz w:val="20"/>
                <w:szCs w:val="20"/>
              </w:rPr>
              <w:t>1.24</w:t>
            </w:r>
          </w:p>
        </w:tc>
      </w:tr>
      <w:tr w:rsidR="00ED5110">
        <w:tc>
          <w:tcPr>
            <w:tcW w:w="1704" w:type="dxa"/>
          </w:tcPr>
          <w:p w:rsidR="00ED5110" w:rsidRDefault="00ED5110" w:rsidP="003762A1">
            <w:pPr>
              <w:autoSpaceDE w:val="0"/>
              <w:autoSpaceDN w:val="0"/>
              <w:adjustRightInd w:val="0"/>
              <w:jc w:val="center"/>
              <w:rPr>
                <w:b/>
                <w:szCs w:val="21"/>
              </w:rPr>
            </w:pPr>
            <w:r>
              <w:rPr>
                <w:rFonts w:hint="eastAsia"/>
                <w:b/>
                <w:szCs w:val="21"/>
              </w:rPr>
              <w:t>格力电器</w:t>
            </w:r>
          </w:p>
        </w:tc>
        <w:tc>
          <w:tcPr>
            <w:tcW w:w="1704" w:type="dxa"/>
          </w:tcPr>
          <w:p w:rsidR="00ED5110" w:rsidRPr="002D660E" w:rsidRDefault="00ED5110" w:rsidP="00120625">
            <w:pPr>
              <w:jc w:val="center"/>
              <w:rPr>
                <w:kern w:val="0"/>
                <w:sz w:val="20"/>
                <w:szCs w:val="20"/>
              </w:rPr>
            </w:pPr>
            <w:r w:rsidRPr="002D660E">
              <w:rPr>
                <w:kern w:val="0"/>
                <w:sz w:val="20"/>
                <w:szCs w:val="20"/>
              </w:rPr>
              <w:t>17.17%</w:t>
            </w:r>
          </w:p>
        </w:tc>
        <w:tc>
          <w:tcPr>
            <w:tcW w:w="1704" w:type="dxa"/>
          </w:tcPr>
          <w:p w:rsidR="00ED5110" w:rsidRPr="002D660E" w:rsidRDefault="00ED5110" w:rsidP="00120625">
            <w:pPr>
              <w:jc w:val="center"/>
              <w:rPr>
                <w:kern w:val="0"/>
                <w:sz w:val="20"/>
                <w:szCs w:val="20"/>
              </w:rPr>
            </w:pPr>
            <w:r w:rsidRPr="002D660E">
              <w:rPr>
                <w:kern w:val="0"/>
                <w:sz w:val="20"/>
                <w:szCs w:val="20"/>
              </w:rPr>
              <w:t>3.04%</w:t>
            </w:r>
          </w:p>
        </w:tc>
        <w:tc>
          <w:tcPr>
            <w:tcW w:w="1705" w:type="dxa"/>
          </w:tcPr>
          <w:p w:rsidR="00ED5110" w:rsidRPr="002D660E" w:rsidRDefault="00ED5110" w:rsidP="00120625">
            <w:pPr>
              <w:jc w:val="center"/>
              <w:rPr>
                <w:kern w:val="0"/>
                <w:sz w:val="20"/>
                <w:szCs w:val="20"/>
              </w:rPr>
            </w:pPr>
            <w:r w:rsidRPr="002D660E">
              <w:rPr>
                <w:kern w:val="0"/>
                <w:sz w:val="20"/>
                <w:szCs w:val="20"/>
              </w:rPr>
              <w:t>1.08</w:t>
            </w:r>
          </w:p>
        </w:tc>
        <w:tc>
          <w:tcPr>
            <w:tcW w:w="1705" w:type="dxa"/>
          </w:tcPr>
          <w:p w:rsidR="00ED5110" w:rsidRDefault="00ED5110" w:rsidP="00120625">
            <w:pPr>
              <w:jc w:val="center"/>
            </w:pPr>
            <w:r w:rsidRPr="002D660E">
              <w:rPr>
                <w:kern w:val="0"/>
                <w:sz w:val="20"/>
                <w:szCs w:val="20"/>
              </w:rPr>
              <w:t>5.23</w:t>
            </w:r>
          </w:p>
        </w:tc>
      </w:tr>
      <w:tr w:rsidR="00120625">
        <w:tc>
          <w:tcPr>
            <w:tcW w:w="1704" w:type="dxa"/>
          </w:tcPr>
          <w:p w:rsidR="00120625" w:rsidRDefault="00120625" w:rsidP="003762A1">
            <w:pPr>
              <w:autoSpaceDE w:val="0"/>
              <w:autoSpaceDN w:val="0"/>
              <w:adjustRightInd w:val="0"/>
              <w:jc w:val="center"/>
              <w:rPr>
                <w:b/>
                <w:szCs w:val="21"/>
              </w:rPr>
            </w:pPr>
            <w:r>
              <w:rPr>
                <w:rFonts w:hint="eastAsia"/>
                <w:b/>
                <w:szCs w:val="21"/>
              </w:rPr>
              <w:t>2005</w:t>
            </w:r>
            <w:r>
              <w:rPr>
                <w:rFonts w:hint="eastAsia"/>
                <w:b/>
                <w:szCs w:val="21"/>
              </w:rPr>
              <w:t>年</w:t>
            </w:r>
          </w:p>
        </w:tc>
        <w:tc>
          <w:tcPr>
            <w:tcW w:w="1704" w:type="dxa"/>
          </w:tcPr>
          <w:p w:rsidR="00120625" w:rsidRDefault="00120625" w:rsidP="00F40E93">
            <w:pPr>
              <w:autoSpaceDE w:val="0"/>
              <w:autoSpaceDN w:val="0"/>
              <w:adjustRightInd w:val="0"/>
              <w:jc w:val="center"/>
              <w:rPr>
                <w:b/>
                <w:szCs w:val="21"/>
              </w:rPr>
            </w:pPr>
            <w:r>
              <w:rPr>
                <w:rFonts w:hint="eastAsia"/>
                <w:b/>
                <w:szCs w:val="21"/>
              </w:rPr>
              <w:t>净资产收益率</w:t>
            </w:r>
          </w:p>
        </w:tc>
        <w:tc>
          <w:tcPr>
            <w:tcW w:w="1704" w:type="dxa"/>
          </w:tcPr>
          <w:p w:rsidR="00120625" w:rsidRDefault="00120625" w:rsidP="00F40E93">
            <w:pPr>
              <w:autoSpaceDE w:val="0"/>
              <w:autoSpaceDN w:val="0"/>
              <w:adjustRightInd w:val="0"/>
              <w:jc w:val="center"/>
              <w:rPr>
                <w:b/>
                <w:szCs w:val="21"/>
              </w:rPr>
            </w:pPr>
            <w:r>
              <w:rPr>
                <w:rFonts w:hint="eastAsia"/>
                <w:b/>
                <w:szCs w:val="21"/>
              </w:rPr>
              <w:t>销售净利率</w:t>
            </w:r>
          </w:p>
        </w:tc>
        <w:tc>
          <w:tcPr>
            <w:tcW w:w="1705" w:type="dxa"/>
          </w:tcPr>
          <w:p w:rsidR="00120625" w:rsidRDefault="00120625" w:rsidP="00F40E93">
            <w:pPr>
              <w:autoSpaceDE w:val="0"/>
              <w:autoSpaceDN w:val="0"/>
              <w:adjustRightInd w:val="0"/>
              <w:jc w:val="center"/>
              <w:rPr>
                <w:b/>
                <w:szCs w:val="21"/>
              </w:rPr>
            </w:pPr>
            <w:r>
              <w:rPr>
                <w:rFonts w:hint="eastAsia"/>
                <w:b/>
                <w:szCs w:val="21"/>
              </w:rPr>
              <w:t>资产周转率</w:t>
            </w:r>
          </w:p>
        </w:tc>
        <w:tc>
          <w:tcPr>
            <w:tcW w:w="1705" w:type="dxa"/>
          </w:tcPr>
          <w:p w:rsidR="00120625" w:rsidRDefault="00120625" w:rsidP="00F40E93">
            <w:pPr>
              <w:autoSpaceDE w:val="0"/>
              <w:autoSpaceDN w:val="0"/>
              <w:adjustRightInd w:val="0"/>
              <w:jc w:val="center"/>
              <w:rPr>
                <w:b/>
                <w:szCs w:val="21"/>
              </w:rPr>
            </w:pPr>
            <w:r>
              <w:rPr>
                <w:rFonts w:hint="eastAsia"/>
                <w:b/>
                <w:szCs w:val="21"/>
              </w:rPr>
              <w:t>权益乘数</w:t>
            </w:r>
          </w:p>
        </w:tc>
      </w:tr>
      <w:tr w:rsidR="00ED5110">
        <w:tc>
          <w:tcPr>
            <w:tcW w:w="1704" w:type="dxa"/>
          </w:tcPr>
          <w:p w:rsidR="00ED5110" w:rsidRDefault="00ED5110" w:rsidP="003762A1">
            <w:pPr>
              <w:autoSpaceDE w:val="0"/>
              <w:autoSpaceDN w:val="0"/>
              <w:adjustRightInd w:val="0"/>
              <w:jc w:val="center"/>
              <w:rPr>
                <w:b/>
                <w:szCs w:val="21"/>
              </w:rPr>
            </w:pPr>
            <w:r>
              <w:rPr>
                <w:rFonts w:hint="eastAsia"/>
                <w:b/>
                <w:szCs w:val="21"/>
              </w:rPr>
              <w:t>青岛海尔</w:t>
            </w:r>
          </w:p>
        </w:tc>
        <w:tc>
          <w:tcPr>
            <w:tcW w:w="1704" w:type="dxa"/>
          </w:tcPr>
          <w:p w:rsidR="00ED5110" w:rsidRPr="00194BB8" w:rsidRDefault="00ED5110" w:rsidP="00120625">
            <w:pPr>
              <w:jc w:val="center"/>
              <w:rPr>
                <w:kern w:val="0"/>
                <w:sz w:val="20"/>
                <w:szCs w:val="20"/>
              </w:rPr>
            </w:pPr>
            <w:r w:rsidRPr="00194BB8">
              <w:rPr>
                <w:kern w:val="0"/>
                <w:sz w:val="20"/>
                <w:szCs w:val="20"/>
              </w:rPr>
              <w:t>4.28%</w:t>
            </w:r>
          </w:p>
        </w:tc>
        <w:tc>
          <w:tcPr>
            <w:tcW w:w="1704" w:type="dxa"/>
          </w:tcPr>
          <w:p w:rsidR="00ED5110" w:rsidRPr="00194BB8" w:rsidRDefault="00ED5110" w:rsidP="00120625">
            <w:pPr>
              <w:jc w:val="center"/>
              <w:rPr>
                <w:kern w:val="0"/>
                <w:sz w:val="20"/>
                <w:szCs w:val="20"/>
              </w:rPr>
            </w:pPr>
            <w:r w:rsidRPr="00194BB8">
              <w:rPr>
                <w:kern w:val="0"/>
                <w:sz w:val="20"/>
                <w:szCs w:val="20"/>
              </w:rPr>
              <w:t>1.45%</w:t>
            </w:r>
          </w:p>
        </w:tc>
        <w:tc>
          <w:tcPr>
            <w:tcW w:w="1705" w:type="dxa"/>
          </w:tcPr>
          <w:p w:rsidR="00ED5110" w:rsidRPr="00194BB8" w:rsidRDefault="00ED5110" w:rsidP="00120625">
            <w:pPr>
              <w:jc w:val="center"/>
              <w:rPr>
                <w:kern w:val="0"/>
                <w:sz w:val="20"/>
                <w:szCs w:val="20"/>
              </w:rPr>
            </w:pPr>
            <w:r w:rsidRPr="00194BB8">
              <w:rPr>
                <w:kern w:val="0"/>
                <w:sz w:val="20"/>
                <w:szCs w:val="20"/>
              </w:rPr>
              <w:t>2.44</w:t>
            </w:r>
          </w:p>
        </w:tc>
        <w:tc>
          <w:tcPr>
            <w:tcW w:w="1705" w:type="dxa"/>
          </w:tcPr>
          <w:p w:rsidR="00ED5110" w:rsidRDefault="00ED5110" w:rsidP="00120625">
            <w:pPr>
              <w:jc w:val="center"/>
            </w:pPr>
            <w:r w:rsidRPr="00194BB8">
              <w:rPr>
                <w:kern w:val="0"/>
                <w:sz w:val="20"/>
                <w:szCs w:val="20"/>
              </w:rPr>
              <w:t>1.21</w:t>
            </w:r>
          </w:p>
        </w:tc>
      </w:tr>
      <w:tr w:rsidR="00ED5110">
        <w:tc>
          <w:tcPr>
            <w:tcW w:w="1704" w:type="dxa"/>
          </w:tcPr>
          <w:p w:rsidR="00ED5110" w:rsidRDefault="00ED5110" w:rsidP="003762A1">
            <w:pPr>
              <w:autoSpaceDE w:val="0"/>
              <w:autoSpaceDN w:val="0"/>
              <w:adjustRightInd w:val="0"/>
              <w:jc w:val="center"/>
              <w:rPr>
                <w:b/>
                <w:szCs w:val="21"/>
              </w:rPr>
            </w:pPr>
            <w:r>
              <w:rPr>
                <w:rFonts w:hint="eastAsia"/>
                <w:b/>
                <w:szCs w:val="21"/>
              </w:rPr>
              <w:t>格力电器</w:t>
            </w:r>
          </w:p>
        </w:tc>
        <w:tc>
          <w:tcPr>
            <w:tcW w:w="1704" w:type="dxa"/>
          </w:tcPr>
          <w:p w:rsidR="00ED5110" w:rsidRPr="00B2659C" w:rsidRDefault="00ED5110" w:rsidP="00120625">
            <w:pPr>
              <w:jc w:val="center"/>
              <w:rPr>
                <w:kern w:val="0"/>
                <w:sz w:val="20"/>
                <w:szCs w:val="20"/>
              </w:rPr>
            </w:pPr>
            <w:r w:rsidRPr="00B2659C">
              <w:rPr>
                <w:kern w:val="0"/>
                <w:sz w:val="20"/>
                <w:szCs w:val="20"/>
              </w:rPr>
              <w:t>18.72%</w:t>
            </w:r>
          </w:p>
        </w:tc>
        <w:tc>
          <w:tcPr>
            <w:tcW w:w="1704" w:type="dxa"/>
          </w:tcPr>
          <w:p w:rsidR="00ED5110" w:rsidRPr="00B2659C" w:rsidRDefault="00ED5110" w:rsidP="00120625">
            <w:pPr>
              <w:jc w:val="center"/>
              <w:rPr>
                <w:kern w:val="0"/>
                <w:sz w:val="20"/>
                <w:szCs w:val="20"/>
              </w:rPr>
            </w:pPr>
            <w:r w:rsidRPr="00B2659C">
              <w:rPr>
                <w:kern w:val="0"/>
                <w:sz w:val="20"/>
                <w:szCs w:val="20"/>
              </w:rPr>
              <w:t>2.79%</w:t>
            </w:r>
          </w:p>
        </w:tc>
        <w:tc>
          <w:tcPr>
            <w:tcW w:w="1705" w:type="dxa"/>
          </w:tcPr>
          <w:p w:rsidR="00ED5110" w:rsidRPr="00B2659C" w:rsidRDefault="00ED5110" w:rsidP="00120625">
            <w:pPr>
              <w:jc w:val="center"/>
              <w:rPr>
                <w:kern w:val="0"/>
                <w:sz w:val="20"/>
                <w:szCs w:val="20"/>
              </w:rPr>
            </w:pPr>
            <w:r w:rsidRPr="00B2659C">
              <w:rPr>
                <w:kern w:val="0"/>
                <w:sz w:val="20"/>
                <w:szCs w:val="20"/>
              </w:rPr>
              <w:t>1.44</w:t>
            </w:r>
          </w:p>
        </w:tc>
        <w:tc>
          <w:tcPr>
            <w:tcW w:w="1705" w:type="dxa"/>
          </w:tcPr>
          <w:p w:rsidR="00ED5110" w:rsidRDefault="00ED5110" w:rsidP="00120625">
            <w:pPr>
              <w:jc w:val="center"/>
            </w:pPr>
            <w:r w:rsidRPr="00B2659C">
              <w:rPr>
                <w:kern w:val="0"/>
                <w:sz w:val="20"/>
                <w:szCs w:val="20"/>
              </w:rPr>
              <w:t>4.66</w:t>
            </w:r>
          </w:p>
        </w:tc>
      </w:tr>
    </w:tbl>
    <w:p w:rsidR="00E4271A" w:rsidRDefault="00E4271A" w:rsidP="006943CA">
      <w:pPr>
        <w:autoSpaceDE w:val="0"/>
        <w:autoSpaceDN w:val="0"/>
        <w:adjustRightInd w:val="0"/>
        <w:jc w:val="left"/>
        <w:rPr>
          <w:rFonts w:ascii="宋体" w:cs="宋体"/>
          <w:kern w:val="0"/>
          <w:szCs w:val="21"/>
        </w:rPr>
      </w:pPr>
    </w:p>
    <w:p w:rsidR="00E4271A" w:rsidRDefault="00E4271A" w:rsidP="00E4271A">
      <w:pPr>
        <w:tabs>
          <w:tab w:val="center" w:pos="4153"/>
        </w:tabs>
        <w:autoSpaceDE w:val="0"/>
        <w:autoSpaceDN w:val="0"/>
        <w:adjustRightInd w:val="0"/>
        <w:jc w:val="left"/>
        <w:rPr>
          <w:rFonts w:ascii="宋体" w:cs="宋体"/>
          <w:kern w:val="0"/>
          <w:szCs w:val="21"/>
        </w:rPr>
      </w:pPr>
      <w:r>
        <w:rPr>
          <w:rFonts w:ascii="宋体" w:cs="宋体"/>
          <w:kern w:val="0"/>
          <w:szCs w:val="21"/>
        </w:rPr>
        <w:tab/>
      </w:r>
      <w:r>
        <w:rPr>
          <w:rFonts w:ascii="宋体" w:cs="宋体" w:hint="eastAsia"/>
          <w:kern w:val="0"/>
          <w:szCs w:val="21"/>
        </w:rPr>
        <w:t>图2 2003—2005年</w:t>
      </w:r>
      <w:r w:rsidR="00072717">
        <w:rPr>
          <w:rFonts w:ascii="宋体" w:cs="宋体" w:hint="eastAsia"/>
          <w:kern w:val="0"/>
          <w:szCs w:val="21"/>
        </w:rPr>
        <w:t>青岛海尔和格力电器</w:t>
      </w:r>
      <w:r>
        <w:rPr>
          <w:rFonts w:ascii="宋体" w:cs="宋体" w:hint="eastAsia"/>
          <w:kern w:val="0"/>
          <w:szCs w:val="21"/>
        </w:rPr>
        <w:t>平均指标比较图</w:t>
      </w:r>
    </w:p>
    <w:p w:rsidR="00E4271A" w:rsidRDefault="00A14000" w:rsidP="006943CA">
      <w:pPr>
        <w:autoSpaceDE w:val="0"/>
        <w:autoSpaceDN w:val="0"/>
        <w:adjustRightInd w:val="0"/>
        <w:jc w:val="left"/>
        <w:rPr>
          <w:rFonts w:ascii="宋体" w:cs="宋体"/>
          <w:kern w:val="0"/>
          <w:szCs w:val="21"/>
        </w:rPr>
      </w:pPr>
      <w:r>
        <w:rPr>
          <w:rFonts w:ascii="宋体" w:cs="宋体" w:hint="eastAsia"/>
          <w:noProof/>
          <w:kern w:val="0"/>
          <w:szCs w:val="21"/>
        </w:rPr>
        <w:drawing>
          <wp:anchor distT="0" distB="0" distL="114300" distR="114300" simplePos="0" relativeHeight="251655680" behindDoc="0" locked="0" layoutInCell="1" allowOverlap="1">
            <wp:simplePos x="0" y="0"/>
            <wp:positionH relativeFrom="column">
              <wp:posOffset>228600</wp:posOffset>
            </wp:positionH>
            <wp:positionV relativeFrom="paragraph">
              <wp:posOffset>35560</wp:posOffset>
            </wp:positionV>
            <wp:extent cx="4629785" cy="1858010"/>
            <wp:effectExtent l="0" t="0" r="0" b="3175"/>
            <wp:wrapNone/>
            <wp:docPr id="5" name="对象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rsidR="00E4271A" w:rsidRDefault="00E4271A" w:rsidP="006943CA">
      <w:pPr>
        <w:autoSpaceDE w:val="0"/>
        <w:autoSpaceDN w:val="0"/>
        <w:adjustRightInd w:val="0"/>
        <w:jc w:val="left"/>
        <w:rPr>
          <w:rFonts w:ascii="宋体" w:cs="宋体"/>
          <w:kern w:val="0"/>
          <w:szCs w:val="21"/>
        </w:rPr>
      </w:pPr>
    </w:p>
    <w:p w:rsidR="00E4271A" w:rsidRDefault="00E4271A" w:rsidP="006943CA">
      <w:pPr>
        <w:autoSpaceDE w:val="0"/>
        <w:autoSpaceDN w:val="0"/>
        <w:adjustRightInd w:val="0"/>
        <w:jc w:val="left"/>
        <w:rPr>
          <w:rFonts w:ascii="宋体" w:cs="宋体"/>
          <w:kern w:val="0"/>
          <w:szCs w:val="21"/>
        </w:rPr>
      </w:pPr>
    </w:p>
    <w:p w:rsidR="00E4271A" w:rsidRDefault="00E4271A" w:rsidP="006943CA">
      <w:pPr>
        <w:autoSpaceDE w:val="0"/>
        <w:autoSpaceDN w:val="0"/>
        <w:adjustRightInd w:val="0"/>
        <w:jc w:val="left"/>
        <w:rPr>
          <w:rFonts w:ascii="宋体" w:cs="宋体"/>
          <w:kern w:val="0"/>
          <w:szCs w:val="21"/>
        </w:rPr>
      </w:pPr>
    </w:p>
    <w:p w:rsidR="00E4271A" w:rsidRDefault="00E4271A" w:rsidP="006943CA">
      <w:pPr>
        <w:autoSpaceDE w:val="0"/>
        <w:autoSpaceDN w:val="0"/>
        <w:adjustRightInd w:val="0"/>
        <w:jc w:val="left"/>
        <w:rPr>
          <w:rFonts w:ascii="宋体" w:cs="宋体"/>
          <w:kern w:val="0"/>
          <w:szCs w:val="21"/>
        </w:rPr>
      </w:pPr>
    </w:p>
    <w:p w:rsidR="00E4271A" w:rsidRDefault="00E4271A" w:rsidP="006943CA">
      <w:pPr>
        <w:autoSpaceDE w:val="0"/>
        <w:autoSpaceDN w:val="0"/>
        <w:adjustRightInd w:val="0"/>
        <w:jc w:val="left"/>
        <w:rPr>
          <w:rFonts w:ascii="宋体" w:cs="宋体"/>
          <w:kern w:val="0"/>
          <w:szCs w:val="21"/>
        </w:rPr>
      </w:pPr>
    </w:p>
    <w:p w:rsidR="00E4271A" w:rsidRDefault="00E4271A" w:rsidP="006943CA">
      <w:pPr>
        <w:autoSpaceDE w:val="0"/>
        <w:autoSpaceDN w:val="0"/>
        <w:adjustRightInd w:val="0"/>
        <w:jc w:val="left"/>
        <w:rPr>
          <w:rFonts w:ascii="宋体" w:cs="宋体"/>
          <w:kern w:val="0"/>
          <w:szCs w:val="21"/>
        </w:rPr>
      </w:pPr>
    </w:p>
    <w:p w:rsidR="00E4271A" w:rsidRDefault="00E4271A" w:rsidP="006943CA">
      <w:pPr>
        <w:autoSpaceDE w:val="0"/>
        <w:autoSpaceDN w:val="0"/>
        <w:adjustRightInd w:val="0"/>
        <w:jc w:val="left"/>
        <w:rPr>
          <w:rFonts w:ascii="宋体" w:cs="宋体"/>
          <w:kern w:val="0"/>
          <w:szCs w:val="21"/>
        </w:rPr>
      </w:pPr>
    </w:p>
    <w:p w:rsidR="00E4271A" w:rsidRDefault="00E4271A" w:rsidP="006943CA">
      <w:pPr>
        <w:autoSpaceDE w:val="0"/>
        <w:autoSpaceDN w:val="0"/>
        <w:adjustRightInd w:val="0"/>
        <w:jc w:val="left"/>
        <w:rPr>
          <w:rFonts w:ascii="宋体" w:cs="宋体"/>
          <w:kern w:val="0"/>
          <w:szCs w:val="21"/>
        </w:rPr>
      </w:pPr>
    </w:p>
    <w:p w:rsidR="00E4271A" w:rsidRDefault="00E4271A" w:rsidP="006943CA">
      <w:pPr>
        <w:autoSpaceDE w:val="0"/>
        <w:autoSpaceDN w:val="0"/>
        <w:adjustRightInd w:val="0"/>
        <w:jc w:val="left"/>
        <w:rPr>
          <w:rFonts w:ascii="宋体" w:cs="宋体"/>
          <w:kern w:val="0"/>
          <w:szCs w:val="21"/>
        </w:rPr>
      </w:pPr>
    </w:p>
    <w:p w:rsidR="006943CA" w:rsidRDefault="006943CA" w:rsidP="00A648EC">
      <w:pPr>
        <w:autoSpaceDE w:val="0"/>
        <w:autoSpaceDN w:val="0"/>
        <w:adjustRightInd w:val="0"/>
        <w:ind w:firstLineChars="200" w:firstLine="420"/>
        <w:jc w:val="left"/>
        <w:rPr>
          <w:rFonts w:ascii="宋体" w:cs="宋体"/>
          <w:kern w:val="0"/>
          <w:szCs w:val="21"/>
        </w:rPr>
      </w:pPr>
      <w:r w:rsidRPr="00FE0F0C">
        <w:rPr>
          <w:rFonts w:ascii="宋体" w:cs="宋体" w:hint="eastAsia"/>
          <w:kern w:val="0"/>
          <w:szCs w:val="21"/>
        </w:rPr>
        <w:t>由上表可见，青岛海尔的净资产收益率远低于</w:t>
      </w:r>
      <w:r>
        <w:rPr>
          <w:rFonts w:ascii="宋体" w:cs="宋体" w:hint="eastAsia"/>
          <w:kern w:val="0"/>
          <w:szCs w:val="21"/>
        </w:rPr>
        <w:t>格力电器</w:t>
      </w:r>
      <w:r w:rsidRPr="00FE0F0C">
        <w:rPr>
          <w:rFonts w:ascii="宋体" w:cs="宋体" w:hint="eastAsia"/>
          <w:kern w:val="0"/>
          <w:szCs w:val="21"/>
        </w:rPr>
        <w:t>，且差距逐渐拉大。进一步分析净资产</w:t>
      </w:r>
      <w:r>
        <w:rPr>
          <w:rFonts w:ascii="宋体" w:cs="宋体" w:hint="eastAsia"/>
          <w:kern w:val="0"/>
          <w:szCs w:val="21"/>
        </w:rPr>
        <w:t>收益率的三大驱动因素，我们发现青岛海尔的销售净利率低于格力电器，但</w:t>
      </w:r>
      <w:r w:rsidRPr="00FE0F0C">
        <w:rPr>
          <w:rFonts w:ascii="宋体" w:cs="宋体" w:hint="eastAsia"/>
          <w:kern w:val="0"/>
          <w:szCs w:val="21"/>
        </w:rPr>
        <w:t>资产周转率处于较高的水平，</w:t>
      </w:r>
      <w:r>
        <w:rPr>
          <w:rFonts w:ascii="宋体" w:cs="宋体" w:hint="eastAsia"/>
          <w:kern w:val="0"/>
          <w:szCs w:val="21"/>
        </w:rPr>
        <w:t>大约是格力电器的2倍，</w:t>
      </w:r>
      <w:r w:rsidRPr="00FE0F0C">
        <w:rPr>
          <w:rFonts w:ascii="宋体" w:cs="宋体" w:hint="eastAsia"/>
          <w:kern w:val="0"/>
          <w:szCs w:val="21"/>
        </w:rPr>
        <w:t>但权益乘数远小于</w:t>
      </w:r>
      <w:r>
        <w:rPr>
          <w:rFonts w:ascii="宋体" w:cs="宋体" w:hint="eastAsia"/>
          <w:kern w:val="0"/>
          <w:szCs w:val="21"/>
        </w:rPr>
        <w:t>格力电器</w:t>
      </w:r>
      <w:r w:rsidRPr="00FE0F0C">
        <w:rPr>
          <w:rFonts w:ascii="宋体" w:cs="宋体" w:hint="eastAsia"/>
          <w:kern w:val="0"/>
          <w:szCs w:val="21"/>
        </w:rPr>
        <w:t>。</w:t>
      </w:r>
      <w:r w:rsidR="00A648EC">
        <w:rPr>
          <w:rFonts w:ascii="宋体" w:cs="宋体" w:hint="eastAsia"/>
          <w:kern w:val="0"/>
          <w:szCs w:val="21"/>
        </w:rPr>
        <w:t>那么</w:t>
      </w:r>
      <w:r w:rsidR="00C54CBA">
        <w:rPr>
          <w:rFonts w:ascii="宋体" w:cs="宋体" w:hint="eastAsia"/>
          <w:kern w:val="0"/>
          <w:szCs w:val="21"/>
        </w:rPr>
        <w:t>这三个因素对净收益率究竟有怎样的作用呢？</w:t>
      </w:r>
      <w:r w:rsidR="00A648EC">
        <w:rPr>
          <w:rFonts w:ascii="宋体" w:cs="宋体" w:hint="eastAsia"/>
          <w:kern w:val="0"/>
          <w:szCs w:val="21"/>
        </w:rPr>
        <w:t>究竟哪个因素是主导净资产收益率长期增长的驱动因素呢？在此小节中我们先做下理论上的探讨，</w:t>
      </w:r>
      <w:r w:rsidRPr="00FE0F0C">
        <w:rPr>
          <w:rFonts w:ascii="宋体" w:cs="宋体" w:hint="eastAsia"/>
          <w:kern w:val="0"/>
          <w:szCs w:val="21"/>
        </w:rPr>
        <w:t>接下来我们进一步对青岛海尔的经营管理效率、资产管理效率和财务管理效率进行分析。</w:t>
      </w:r>
    </w:p>
    <w:p w:rsidR="00A648EC" w:rsidRDefault="00C54CBA" w:rsidP="00A648EC">
      <w:pPr>
        <w:autoSpaceDE w:val="0"/>
        <w:autoSpaceDN w:val="0"/>
        <w:adjustRightInd w:val="0"/>
        <w:ind w:firstLineChars="200" w:firstLine="420"/>
        <w:jc w:val="left"/>
        <w:rPr>
          <w:rFonts w:ascii="宋体" w:cs="宋体"/>
          <w:kern w:val="0"/>
          <w:szCs w:val="21"/>
        </w:rPr>
      </w:pPr>
      <w:r>
        <w:rPr>
          <w:rFonts w:ascii="宋体" w:cs="宋体" w:hint="eastAsia"/>
          <w:kern w:val="0"/>
          <w:szCs w:val="21"/>
        </w:rPr>
        <w:t>首先，总资产周转率是反映</w:t>
      </w:r>
      <w:r w:rsidR="00564EB0">
        <w:rPr>
          <w:rFonts w:ascii="宋体" w:cs="宋体" w:hint="eastAsia"/>
          <w:kern w:val="0"/>
          <w:szCs w:val="21"/>
        </w:rPr>
        <w:t>企业营运能力最重要的指标，是企业实现净资产收益率最大化的基础。所以资产结构是否合理、营运效率的高低是企业资产经营的核心，并最终影响到企业的经营业绩。</w:t>
      </w:r>
    </w:p>
    <w:p w:rsidR="00F21C54" w:rsidRDefault="00F21C54" w:rsidP="00A648EC">
      <w:pPr>
        <w:autoSpaceDE w:val="0"/>
        <w:autoSpaceDN w:val="0"/>
        <w:adjustRightInd w:val="0"/>
        <w:ind w:firstLineChars="200" w:firstLine="420"/>
        <w:jc w:val="left"/>
        <w:rPr>
          <w:rFonts w:ascii="宋体" w:cs="宋体"/>
          <w:kern w:val="0"/>
          <w:szCs w:val="21"/>
        </w:rPr>
      </w:pPr>
      <w:r>
        <w:rPr>
          <w:rFonts w:ascii="宋体" w:cs="宋体" w:hint="eastAsia"/>
          <w:kern w:val="0"/>
          <w:szCs w:val="21"/>
        </w:rPr>
        <w:t>其次，销售净利率是反映商品经营盈利能力最重要的指标，是企业商品经营的结果，是实现净资产收益率最大化的保证。企业获利的途径只有两条：一是扩大营业收入；二是降低成本费用。</w:t>
      </w:r>
    </w:p>
    <w:p w:rsidR="00F21C54" w:rsidRDefault="00F21C54" w:rsidP="00A648EC">
      <w:pPr>
        <w:autoSpaceDE w:val="0"/>
        <w:autoSpaceDN w:val="0"/>
        <w:adjustRightInd w:val="0"/>
        <w:ind w:firstLineChars="200" w:firstLine="420"/>
        <w:jc w:val="left"/>
        <w:rPr>
          <w:rFonts w:ascii="宋体" w:cs="宋体"/>
          <w:kern w:val="0"/>
          <w:szCs w:val="21"/>
        </w:rPr>
      </w:pPr>
      <w:r>
        <w:rPr>
          <w:rFonts w:ascii="宋体" w:cs="宋体" w:hint="eastAsia"/>
          <w:kern w:val="0"/>
          <w:szCs w:val="21"/>
        </w:rPr>
        <w:t>最后，权益乘数既是反映企业资本结构的指标，也是反映企业偿债能力的指标，是企业资本经营即筹资活动的结果，它对提高净资产收益率起到杠杆作用。适度开展负债经营，合理安排企业资本结构，可以提高企业净资产收益率。</w:t>
      </w:r>
    </w:p>
    <w:p w:rsidR="00401C97" w:rsidRPr="00401C97" w:rsidRDefault="00401C97" w:rsidP="00401C97">
      <w:pPr>
        <w:autoSpaceDE w:val="0"/>
        <w:autoSpaceDN w:val="0"/>
        <w:adjustRightInd w:val="0"/>
        <w:ind w:firstLineChars="200" w:firstLine="422"/>
        <w:jc w:val="left"/>
        <w:rPr>
          <w:rFonts w:ascii="宋体" w:cs="宋体"/>
          <w:b/>
          <w:kern w:val="0"/>
          <w:szCs w:val="21"/>
        </w:rPr>
      </w:pPr>
      <w:r w:rsidRPr="00401C97">
        <w:rPr>
          <w:rFonts w:ascii="宋体" w:cs="宋体" w:hint="eastAsia"/>
          <w:b/>
          <w:kern w:val="0"/>
          <w:szCs w:val="21"/>
        </w:rPr>
        <w:t>（二）经营管理效率分析</w:t>
      </w:r>
    </w:p>
    <w:p w:rsidR="00401C97" w:rsidRDefault="00401C97" w:rsidP="00401C97">
      <w:pPr>
        <w:autoSpaceDE w:val="0"/>
        <w:autoSpaceDN w:val="0"/>
        <w:adjustRightInd w:val="0"/>
        <w:jc w:val="left"/>
        <w:rPr>
          <w:rFonts w:ascii="宋体" w:cs="宋体"/>
          <w:kern w:val="0"/>
          <w:szCs w:val="21"/>
        </w:rPr>
      </w:pPr>
      <w:r w:rsidRPr="00FE0F0C">
        <w:rPr>
          <w:rFonts w:ascii="宋体" w:cs="宋体" w:hint="eastAsia"/>
          <w:kern w:val="0"/>
          <w:szCs w:val="21"/>
        </w:rPr>
        <w:t>表</w:t>
      </w:r>
      <w:r>
        <w:rPr>
          <w:rFonts w:hint="eastAsia"/>
          <w:kern w:val="0"/>
          <w:szCs w:val="21"/>
        </w:rPr>
        <w:t>7</w:t>
      </w:r>
      <w:r w:rsidRPr="00FE0F0C">
        <w:rPr>
          <w:rFonts w:ascii="宋体" w:cs="宋体" w:hint="eastAsia"/>
          <w:kern w:val="0"/>
          <w:szCs w:val="21"/>
        </w:rPr>
        <w:t>列示了</w:t>
      </w:r>
      <w:r w:rsidRPr="00FE0F0C">
        <w:rPr>
          <w:rFonts w:ascii="宋体" w:cs="宋体"/>
          <w:kern w:val="0"/>
          <w:szCs w:val="21"/>
        </w:rPr>
        <w:t xml:space="preserve"> </w:t>
      </w:r>
      <w:r w:rsidRPr="00FE0F0C">
        <w:rPr>
          <w:kern w:val="0"/>
          <w:szCs w:val="21"/>
        </w:rPr>
        <w:t>2001 —2005</w:t>
      </w:r>
      <w:r w:rsidRPr="00FE0F0C">
        <w:rPr>
          <w:rFonts w:ascii="宋体" w:cs="宋体" w:hint="eastAsia"/>
          <w:kern w:val="0"/>
          <w:szCs w:val="21"/>
        </w:rPr>
        <w:t>年青岛海尔与竞争对手的经营管理效率指标比较。</w:t>
      </w:r>
    </w:p>
    <w:p w:rsidR="00F40E93" w:rsidRPr="00ED3B6F" w:rsidRDefault="00401C97" w:rsidP="00ED3B6F">
      <w:pPr>
        <w:autoSpaceDE w:val="0"/>
        <w:autoSpaceDN w:val="0"/>
        <w:adjustRightInd w:val="0"/>
        <w:jc w:val="center"/>
        <w:rPr>
          <w:rFonts w:ascii="宋体" w:cs="宋体"/>
          <w:b/>
          <w:kern w:val="0"/>
          <w:szCs w:val="21"/>
        </w:rPr>
      </w:pPr>
      <w:r w:rsidRPr="00401C97">
        <w:rPr>
          <w:rFonts w:ascii="宋体" w:cs="宋体" w:hint="eastAsia"/>
          <w:b/>
          <w:kern w:val="0"/>
          <w:szCs w:val="21"/>
        </w:rPr>
        <w:t>表7 青岛海尔与格力电器经营管理效率指标比较</w:t>
      </w:r>
    </w:p>
    <w:tbl>
      <w:tblPr>
        <w:tblStyle w:val="a3"/>
        <w:tblW w:w="0" w:type="auto"/>
        <w:tblLook w:val="01E0" w:firstRow="1" w:lastRow="1" w:firstColumn="1" w:lastColumn="1" w:noHBand="0" w:noVBand="0"/>
      </w:tblPr>
      <w:tblGrid>
        <w:gridCol w:w="1812"/>
        <w:gridCol w:w="1375"/>
        <w:gridCol w:w="1021"/>
        <w:gridCol w:w="1022"/>
        <w:gridCol w:w="1022"/>
        <w:gridCol w:w="1022"/>
        <w:gridCol w:w="1022"/>
      </w:tblGrid>
      <w:tr w:rsidR="00465EF6">
        <w:tc>
          <w:tcPr>
            <w:tcW w:w="3348" w:type="dxa"/>
            <w:gridSpan w:val="2"/>
          </w:tcPr>
          <w:p w:rsidR="00465EF6" w:rsidRDefault="00465EF6" w:rsidP="00ED3B6F">
            <w:pPr>
              <w:autoSpaceDE w:val="0"/>
              <w:autoSpaceDN w:val="0"/>
              <w:adjustRightInd w:val="0"/>
              <w:jc w:val="center"/>
              <w:rPr>
                <w:b/>
                <w:szCs w:val="21"/>
              </w:rPr>
            </w:pPr>
            <w:r>
              <w:rPr>
                <w:rFonts w:hint="eastAsia"/>
                <w:b/>
                <w:szCs w:val="21"/>
              </w:rPr>
              <w:t>项目</w:t>
            </w:r>
          </w:p>
        </w:tc>
        <w:tc>
          <w:tcPr>
            <w:tcW w:w="1034" w:type="dxa"/>
            <w:shd w:val="clear" w:color="auto" w:fill="auto"/>
          </w:tcPr>
          <w:p w:rsidR="00465EF6" w:rsidRDefault="00465EF6" w:rsidP="00ED3B6F">
            <w:pPr>
              <w:autoSpaceDE w:val="0"/>
              <w:autoSpaceDN w:val="0"/>
              <w:adjustRightInd w:val="0"/>
              <w:jc w:val="center"/>
              <w:rPr>
                <w:b/>
                <w:szCs w:val="21"/>
              </w:rPr>
            </w:pPr>
            <w:r>
              <w:rPr>
                <w:rFonts w:hint="eastAsia"/>
                <w:b/>
                <w:szCs w:val="21"/>
              </w:rPr>
              <w:t>2001</w:t>
            </w:r>
            <w:r>
              <w:rPr>
                <w:rFonts w:hint="eastAsia"/>
                <w:b/>
                <w:szCs w:val="21"/>
              </w:rPr>
              <w:t>年</w:t>
            </w:r>
          </w:p>
        </w:tc>
        <w:tc>
          <w:tcPr>
            <w:tcW w:w="1035" w:type="dxa"/>
            <w:shd w:val="clear" w:color="auto" w:fill="auto"/>
          </w:tcPr>
          <w:p w:rsidR="00465EF6" w:rsidRDefault="00465EF6" w:rsidP="00ED3B6F">
            <w:pPr>
              <w:autoSpaceDE w:val="0"/>
              <w:autoSpaceDN w:val="0"/>
              <w:adjustRightInd w:val="0"/>
              <w:jc w:val="center"/>
              <w:rPr>
                <w:b/>
                <w:szCs w:val="21"/>
              </w:rPr>
            </w:pPr>
            <w:r>
              <w:rPr>
                <w:rFonts w:hint="eastAsia"/>
                <w:b/>
                <w:szCs w:val="21"/>
              </w:rPr>
              <w:t>2002</w:t>
            </w:r>
            <w:r>
              <w:rPr>
                <w:rFonts w:hint="eastAsia"/>
                <w:b/>
                <w:szCs w:val="21"/>
              </w:rPr>
              <w:t>年</w:t>
            </w:r>
          </w:p>
        </w:tc>
        <w:tc>
          <w:tcPr>
            <w:tcW w:w="1035" w:type="dxa"/>
            <w:shd w:val="clear" w:color="auto" w:fill="auto"/>
          </w:tcPr>
          <w:p w:rsidR="00465EF6" w:rsidRDefault="00465EF6" w:rsidP="00ED3B6F">
            <w:pPr>
              <w:autoSpaceDE w:val="0"/>
              <w:autoSpaceDN w:val="0"/>
              <w:adjustRightInd w:val="0"/>
              <w:jc w:val="center"/>
              <w:rPr>
                <w:b/>
                <w:szCs w:val="21"/>
              </w:rPr>
            </w:pPr>
            <w:r>
              <w:rPr>
                <w:rFonts w:hint="eastAsia"/>
                <w:b/>
                <w:szCs w:val="21"/>
              </w:rPr>
              <w:t>2003</w:t>
            </w:r>
            <w:r>
              <w:rPr>
                <w:rFonts w:hint="eastAsia"/>
                <w:b/>
                <w:szCs w:val="21"/>
              </w:rPr>
              <w:t>年</w:t>
            </w:r>
          </w:p>
        </w:tc>
        <w:tc>
          <w:tcPr>
            <w:tcW w:w="1035" w:type="dxa"/>
            <w:shd w:val="clear" w:color="auto" w:fill="auto"/>
          </w:tcPr>
          <w:p w:rsidR="00465EF6" w:rsidRDefault="00465EF6" w:rsidP="00ED3B6F">
            <w:pPr>
              <w:autoSpaceDE w:val="0"/>
              <w:autoSpaceDN w:val="0"/>
              <w:adjustRightInd w:val="0"/>
              <w:jc w:val="center"/>
              <w:rPr>
                <w:b/>
                <w:szCs w:val="21"/>
              </w:rPr>
            </w:pPr>
            <w:r>
              <w:rPr>
                <w:rFonts w:hint="eastAsia"/>
                <w:b/>
                <w:szCs w:val="21"/>
              </w:rPr>
              <w:t>2004</w:t>
            </w:r>
            <w:r>
              <w:rPr>
                <w:rFonts w:hint="eastAsia"/>
                <w:b/>
                <w:szCs w:val="21"/>
              </w:rPr>
              <w:t>年</w:t>
            </w:r>
          </w:p>
        </w:tc>
        <w:tc>
          <w:tcPr>
            <w:tcW w:w="1035" w:type="dxa"/>
            <w:shd w:val="clear" w:color="auto" w:fill="auto"/>
          </w:tcPr>
          <w:p w:rsidR="00465EF6" w:rsidRDefault="00465EF6" w:rsidP="00ED3B6F">
            <w:pPr>
              <w:autoSpaceDE w:val="0"/>
              <w:autoSpaceDN w:val="0"/>
              <w:adjustRightInd w:val="0"/>
              <w:jc w:val="center"/>
              <w:rPr>
                <w:b/>
                <w:szCs w:val="21"/>
              </w:rPr>
            </w:pPr>
            <w:r>
              <w:rPr>
                <w:rFonts w:hint="eastAsia"/>
                <w:b/>
                <w:szCs w:val="21"/>
              </w:rPr>
              <w:t>2005</w:t>
            </w:r>
            <w:r>
              <w:rPr>
                <w:rFonts w:hint="eastAsia"/>
                <w:b/>
                <w:szCs w:val="21"/>
              </w:rPr>
              <w:t>年</w:t>
            </w:r>
          </w:p>
        </w:tc>
      </w:tr>
      <w:tr w:rsidR="00465EF6">
        <w:trPr>
          <w:trHeight w:val="158"/>
        </w:trPr>
        <w:tc>
          <w:tcPr>
            <w:tcW w:w="1908" w:type="dxa"/>
            <w:vMerge w:val="restart"/>
          </w:tcPr>
          <w:p w:rsidR="00465EF6" w:rsidRDefault="00465EF6" w:rsidP="00ED3B6F">
            <w:pPr>
              <w:autoSpaceDE w:val="0"/>
              <w:autoSpaceDN w:val="0"/>
              <w:adjustRightInd w:val="0"/>
              <w:jc w:val="center"/>
              <w:rPr>
                <w:b/>
                <w:szCs w:val="21"/>
              </w:rPr>
            </w:pPr>
            <w:r>
              <w:rPr>
                <w:rFonts w:hint="eastAsia"/>
                <w:b/>
                <w:szCs w:val="21"/>
              </w:rPr>
              <w:t>毛利率</w:t>
            </w:r>
          </w:p>
        </w:tc>
        <w:tc>
          <w:tcPr>
            <w:tcW w:w="1440" w:type="dxa"/>
          </w:tcPr>
          <w:p w:rsidR="00465EF6" w:rsidRDefault="00465EF6" w:rsidP="00ED3B6F">
            <w:pPr>
              <w:autoSpaceDE w:val="0"/>
              <w:autoSpaceDN w:val="0"/>
              <w:adjustRightInd w:val="0"/>
              <w:jc w:val="center"/>
              <w:rPr>
                <w:b/>
                <w:szCs w:val="21"/>
              </w:rPr>
            </w:pPr>
            <w:r>
              <w:rPr>
                <w:rFonts w:hint="eastAsia"/>
                <w:b/>
                <w:szCs w:val="21"/>
              </w:rPr>
              <w:t>青岛海尔</w:t>
            </w:r>
          </w:p>
        </w:tc>
        <w:tc>
          <w:tcPr>
            <w:tcW w:w="1034" w:type="dxa"/>
            <w:shd w:val="clear" w:color="auto" w:fill="auto"/>
          </w:tcPr>
          <w:p w:rsidR="00465EF6" w:rsidRDefault="00465EF6" w:rsidP="00ED3B6F">
            <w:pPr>
              <w:autoSpaceDE w:val="0"/>
              <w:autoSpaceDN w:val="0"/>
              <w:adjustRightInd w:val="0"/>
              <w:jc w:val="center"/>
              <w:rPr>
                <w:b/>
                <w:szCs w:val="21"/>
              </w:rPr>
            </w:pPr>
            <w:r>
              <w:rPr>
                <w:kern w:val="0"/>
                <w:sz w:val="20"/>
                <w:szCs w:val="20"/>
              </w:rPr>
              <w:t>16.64%</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12.88%</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14.53%</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13.12%</w:t>
            </w:r>
          </w:p>
        </w:tc>
        <w:tc>
          <w:tcPr>
            <w:tcW w:w="1035" w:type="dxa"/>
            <w:shd w:val="clear" w:color="auto" w:fill="auto"/>
          </w:tcPr>
          <w:p w:rsidR="00465EF6" w:rsidRDefault="00465EF6" w:rsidP="00ED3B6F">
            <w:pPr>
              <w:autoSpaceDE w:val="0"/>
              <w:autoSpaceDN w:val="0"/>
              <w:adjustRightInd w:val="0"/>
              <w:jc w:val="center"/>
              <w:rPr>
                <w:b/>
                <w:szCs w:val="21"/>
              </w:rPr>
            </w:pPr>
            <w:r w:rsidRPr="00614AA7">
              <w:rPr>
                <w:kern w:val="0"/>
                <w:sz w:val="20"/>
                <w:szCs w:val="20"/>
              </w:rPr>
              <w:t>11.76%</w:t>
            </w:r>
          </w:p>
        </w:tc>
      </w:tr>
      <w:tr w:rsidR="00465EF6">
        <w:trPr>
          <w:trHeight w:val="157"/>
        </w:trPr>
        <w:tc>
          <w:tcPr>
            <w:tcW w:w="1908" w:type="dxa"/>
            <w:vMerge/>
          </w:tcPr>
          <w:p w:rsidR="00465EF6" w:rsidRDefault="00465EF6" w:rsidP="00ED3B6F">
            <w:pPr>
              <w:autoSpaceDE w:val="0"/>
              <w:autoSpaceDN w:val="0"/>
              <w:adjustRightInd w:val="0"/>
              <w:jc w:val="center"/>
              <w:rPr>
                <w:b/>
                <w:szCs w:val="21"/>
              </w:rPr>
            </w:pPr>
          </w:p>
        </w:tc>
        <w:tc>
          <w:tcPr>
            <w:tcW w:w="1440" w:type="dxa"/>
          </w:tcPr>
          <w:p w:rsidR="00465EF6" w:rsidRDefault="00465EF6" w:rsidP="00ED3B6F">
            <w:pPr>
              <w:autoSpaceDE w:val="0"/>
              <w:autoSpaceDN w:val="0"/>
              <w:adjustRightInd w:val="0"/>
              <w:jc w:val="center"/>
              <w:rPr>
                <w:b/>
                <w:szCs w:val="21"/>
              </w:rPr>
            </w:pPr>
            <w:r>
              <w:rPr>
                <w:rFonts w:hint="eastAsia"/>
                <w:b/>
                <w:szCs w:val="21"/>
              </w:rPr>
              <w:t>格力电器</w:t>
            </w:r>
          </w:p>
        </w:tc>
        <w:tc>
          <w:tcPr>
            <w:tcW w:w="1034" w:type="dxa"/>
            <w:shd w:val="clear" w:color="auto" w:fill="auto"/>
          </w:tcPr>
          <w:p w:rsidR="00465EF6" w:rsidRDefault="00465EF6" w:rsidP="00ED3B6F">
            <w:pPr>
              <w:autoSpaceDE w:val="0"/>
              <w:autoSpaceDN w:val="0"/>
              <w:adjustRightInd w:val="0"/>
              <w:jc w:val="center"/>
              <w:rPr>
                <w:b/>
                <w:szCs w:val="21"/>
              </w:rPr>
            </w:pPr>
            <w:r>
              <w:rPr>
                <w:kern w:val="0"/>
                <w:sz w:val="20"/>
                <w:szCs w:val="20"/>
              </w:rPr>
              <w:t>21.51%</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20.24%</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17.10%</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16.18%</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18.49%</w:t>
            </w:r>
          </w:p>
        </w:tc>
      </w:tr>
      <w:tr w:rsidR="00465EF6">
        <w:trPr>
          <w:trHeight w:val="158"/>
        </w:trPr>
        <w:tc>
          <w:tcPr>
            <w:tcW w:w="1908" w:type="dxa"/>
            <w:vMerge w:val="restart"/>
          </w:tcPr>
          <w:p w:rsidR="00465EF6" w:rsidRDefault="00465EF6" w:rsidP="00ED3B6F">
            <w:pPr>
              <w:autoSpaceDE w:val="0"/>
              <w:autoSpaceDN w:val="0"/>
              <w:adjustRightInd w:val="0"/>
              <w:jc w:val="center"/>
              <w:rPr>
                <w:b/>
                <w:szCs w:val="21"/>
              </w:rPr>
            </w:pPr>
            <w:r>
              <w:rPr>
                <w:rFonts w:hint="eastAsia"/>
                <w:b/>
                <w:szCs w:val="21"/>
              </w:rPr>
              <w:t>销售和管理费用率</w:t>
            </w:r>
          </w:p>
        </w:tc>
        <w:tc>
          <w:tcPr>
            <w:tcW w:w="1440" w:type="dxa"/>
          </w:tcPr>
          <w:p w:rsidR="00465EF6" w:rsidRDefault="00465EF6" w:rsidP="00ED3B6F">
            <w:pPr>
              <w:autoSpaceDE w:val="0"/>
              <w:autoSpaceDN w:val="0"/>
              <w:adjustRightInd w:val="0"/>
              <w:jc w:val="center"/>
              <w:rPr>
                <w:b/>
                <w:szCs w:val="21"/>
              </w:rPr>
            </w:pPr>
            <w:r>
              <w:rPr>
                <w:rFonts w:hint="eastAsia"/>
                <w:b/>
                <w:szCs w:val="21"/>
              </w:rPr>
              <w:t>青岛海尔</w:t>
            </w:r>
          </w:p>
        </w:tc>
        <w:tc>
          <w:tcPr>
            <w:tcW w:w="1034" w:type="dxa"/>
            <w:shd w:val="clear" w:color="auto" w:fill="auto"/>
          </w:tcPr>
          <w:p w:rsidR="00465EF6" w:rsidRDefault="00465EF6" w:rsidP="00ED3B6F">
            <w:pPr>
              <w:autoSpaceDE w:val="0"/>
              <w:autoSpaceDN w:val="0"/>
              <w:adjustRightInd w:val="0"/>
              <w:jc w:val="center"/>
              <w:rPr>
                <w:b/>
                <w:szCs w:val="21"/>
              </w:rPr>
            </w:pPr>
            <w:r>
              <w:rPr>
                <w:kern w:val="0"/>
                <w:sz w:val="20"/>
                <w:szCs w:val="20"/>
              </w:rPr>
              <w:t>8.18%</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7.56%</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9.53%</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9.09%</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9.03%</w:t>
            </w:r>
          </w:p>
        </w:tc>
      </w:tr>
      <w:tr w:rsidR="00465EF6">
        <w:trPr>
          <w:trHeight w:val="157"/>
        </w:trPr>
        <w:tc>
          <w:tcPr>
            <w:tcW w:w="1908" w:type="dxa"/>
            <w:vMerge/>
          </w:tcPr>
          <w:p w:rsidR="00465EF6" w:rsidRDefault="00465EF6" w:rsidP="00ED3B6F">
            <w:pPr>
              <w:autoSpaceDE w:val="0"/>
              <w:autoSpaceDN w:val="0"/>
              <w:adjustRightInd w:val="0"/>
              <w:jc w:val="center"/>
              <w:rPr>
                <w:b/>
                <w:szCs w:val="21"/>
              </w:rPr>
            </w:pPr>
          </w:p>
        </w:tc>
        <w:tc>
          <w:tcPr>
            <w:tcW w:w="1440" w:type="dxa"/>
          </w:tcPr>
          <w:p w:rsidR="00465EF6" w:rsidRDefault="00465EF6" w:rsidP="00ED3B6F">
            <w:pPr>
              <w:autoSpaceDE w:val="0"/>
              <w:autoSpaceDN w:val="0"/>
              <w:adjustRightInd w:val="0"/>
              <w:jc w:val="center"/>
              <w:rPr>
                <w:b/>
                <w:szCs w:val="21"/>
              </w:rPr>
            </w:pPr>
            <w:r>
              <w:rPr>
                <w:rFonts w:hint="eastAsia"/>
                <w:b/>
                <w:szCs w:val="21"/>
              </w:rPr>
              <w:t>格力电器</w:t>
            </w:r>
          </w:p>
        </w:tc>
        <w:tc>
          <w:tcPr>
            <w:tcW w:w="1034" w:type="dxa"/>
            <w:shd w:val="clear" w:color="auto" w:fill="auto"/>
          </w:tcPr>
          <w:p w:rsidR="00465EF6" w:rsidRDefault="00465EF6" w:rsidP="00ED3B6F">
            <w:pPr>
              <w:autoSpaceDE w:val="0"/>
              <w:autoSpaceDN w:val="0"/>
              <w:adjustRightInd w:val="0"/>
              <w:jc w:val="center"/>
              <w:rPr>
                <w:b/>
                <w:szCs w:val="21"/>
              </w:rPr>
            </w:pPr>
            <w:r>
              <w:rPr>
                <w:kern w:val="0"/>
                <w:sz w:val="20"/>
                <w:szCs w:val="20"/>
              </w:rPr>
              <w:t>17.16%</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16.03%</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14.84%</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14.43%</w:t>
            </w:r>
          </w:p>
        </w:tc>
        <w:tc>
          <w:tcPr>
            <w:tcW w:w="1035" w:type="dxa"/>
            <w:shd w:val="clear" w:color="auto" w:fill="auto"/>
          </w:tcPr>
          <w:p w:rsidR="00465EF6" w:rsidRDefault="00465EF6" w:rsidP="00ED3B6F">
            <w:pPr>
              <w:autoSpaceDE w:val="0"/>
              <w:autoSpaceDN w:val="0"/>
              <w:adjustRightInd w:val="0"/>
              <w:jc w:val="center"/>
              <w:rPr>
                <w:b/>
                <w:szCs w:val="21"/>
              </w:rPr>
            </w:pPr>
            <w:r>
              <w:rPr>
                <w:kern w:val="0"/>
                <w:sz w:val="20"/>
                <w:szCs w:val="20"/>
              </w:rPr>
              <w:t>15.85%</w:t>
            </w:r>
          </w:p>
        </w:tc>
      </w:tr>
      <w:tr w:rsidR="00465EF6">
        <w:trPr>
          <w:trHeight w:val="158"/>
        </w:trPr>
        <w:tc>
          <w:tcPr>
            <w:tcW w:w="1908" w:type="dxa"/>
            <w:vMerge w:val="restart"/>
          </w:tcPr>
          <w:p w:rsidR="00465EF6" w:rsidRDefault="00465EF6" w:rsidP="00ED3B6F">
            <w:pPr>
              <w:autoSpaceDE w:val="0"/>
              <w:autoSpaceDN w:val="0"/>
              <w:adjustRightInd w:val="0"/>
              <w:jc w:val="center"/>
              <w:rPr>
                <w:b/>
                <w:szCs w:val="21"/>
              </w:rPr>
            </w:pPr>
            <w:r>
              <w:rPr>
                <w:rFonts w:hint="eastAsia"/>
                <w:b/>
                <w:szCs w:val="21"/>
              </w:rPr>
              <w:t>销售净利率</w:t>
            </w:r>
          </w:p>
        </w:tc>
        <w:tc>
          <w:tcPr>
            <w:tcW w:w="1440" w:type="dxa"/>
          </w:tcPr>
          <w:p w:rsidR="00465EF6" w:rsidRDefault="00465EF6" w:rsidP="00ED3B6F">
            <w:pPr>
              <w:autoSpaceDE w:val="0"/>
              <w:autoSpaceDN w:val="0"/>
              <w:adjustRightInd w:val="0"/>
              <w:jc w:val="center"/>
              <w:rPr>
                <w:b/>
                <w:szCs w:val="21"/>
              </w:rPr>
            </w:pPr>
            <w:r>
              <w:rPr>
                <w:rFonts w:hint="eastAsia"/>
                <w:b/>
                <w:szCs w:val="21"/>
              </w:rPr>
              <w:t>青岛海尔</w:t>
            </w:r>
          </w:p>
        </w:tc>
        <w:tc>
          <w:tcPr>
            <w:tcW w:w="1034" w:type="dxa"/>
            <w:shd w:val="clear" w:color="auto" w:fill="auto"/>
          </w:tcPr>
          <w:p w:rsidR="00465EF6" w:rsidRDefault="00A3453B" w:rsidP="00ED3B6F">
            <w:pPr>
              <w:autoSpaceDE w:val="0"/>
              <w:autoSpaceDN w:val="0"/>
              <w:adjustRightInd w:val="0"/>
              <w:jc w:val="center"/>
              <w:rPr>
                <w:b/>
                <w:szCs w:val="21"/>
              </w:rPr>
            </w:pPr>
            <w:r>
              <w:rPr>
                <w:kern w:val="0"/>
                <w:sz w:val="20"/>
                <w:szCs w:val="20"/>
              </w:rPr>
              <w:t>5.40%</w:t>
            </w:r>
          </w:p>
        </w:tc>
        <w:tc>
          <w:tcPr>
            <w:tcW w:w="1035" w:type="dxa"/>
            <w:shd w:val="clear" w:color="auto" w:fill="auto"/>
          </w:tcPr>
          <w:p w:rsidR="00465EF6" w:rsidRDefault="00A3453B" w:rsidP="00ED3B6F">
            <w:pPr>
              <w:autoSpaceDE w:val="0"/>
              <w:autoSpaceDN w:val="0"/>
              <w:adjustRightInd w:val="0"/>
              <w:jc w:val="center"/>
              <w:rPr>
                <w:b/>
                <w:szCs w:val="21"/>
              </w:rPr>
            </w:pPr>
            <w:r>
              <w:rPr>
                <w:kern w:val="0"/>
                <w:sz w:val="20"/>
                <w:szCs w:val="20"/>
              </w:rPr>
              <w:t>3.44%</w:t>
            </w:r>
          </w:p>
        </w:tc>
        <w:tc>
          <w:tcPr>
            <w:tcW w:w="1035" w:type="dxa"/>
            <w:shd w:val="clear" w:color="auto" w:fill="auto"/>
          </w:tcPr>
          <w:p w:rsidR="00465EF6" w:rsidRDefault="00A3453B" w:rsidP="00ED3B6F">
            <w:pPr>
              <w:autoSpaceDE w:val="0"/>
              <w:autoSpaceDN w:val="0"/>
              <w:adjustRightInd w:val="0"/>
              <w:jc w:val="center"/>
              <w:rPr>
                <w:b/>
                <w:szCs w:val="21"/>
              </w:rPr>
            </w:pPr>
            <w:r>
              <w:rPr>
                <w:kern w:val="0"/>
                <w:sz w:val="20"/>
                <w:szCs w:val="20"/>
              </w:rPr>
              <w:t>3.16%</w:t>
            </w:r>
          </w:p>
        </w:tc>
        <w:tc>
          <w:tcPr>
            <w:tcW w:w="1035" w:type="dxa"/>
            <w:shd w:val="clear" w:color="auto" w:fill="auto"/>
          </w:tcPr>
          <w:p w:rsidR="00465EF6" w:rsidRDefault="00A3453B" w:rsidP="00ED3B6F">
            <w:pPr>
              <w:autoSpaceDE w:val="0"/>
              <w:autoSpaceDN w:val="0"/>
              <w:adjustRightInd w:val="0"/>
              <w:jc w:val="center"/>
              <w:rPr>
                <w:b/>
                <w:szCs w:val="21"/>
              </w:rPr>
            </w:pPr>
            <w:r>
              <w:rPr>
                <w:kern w:val="0"/>
                <w:sz w:val="20"/>
                <w:szCs w:val="20"/>
              </w:rPr>
              <w:t>2.41%</w:t>
            </w:r>
          </w:p>
        </w:tc>
        <w:tc>
          <w:tcPr>
            <w:tcW w:w="1035" w:type="dxa"/>
            <w:shd w:val="clear" w:color="auto" w:fill="auto"/>
          </w:tcPr>
          <w:p w:rsidR="00465EF6" w:rsidRDefault="00A3453B" w:rsidP="00ED3B6F">
            <w:pPr>
              <w:autoSpaceDE w:val="0"/>
              <w:autoSpaceDN w:val="0"/>
              <w:adjustRightInd w:val="0"/>
              <w:jc w:val="center"/>
              <w:rPr>
                <w:b/>
                <w:szCs w:val="21"/>
              </w:rPr>
            </w:pPr>
            <w:r>
              <w:rPr>
                <w:kern w:val="0"/>
                <w:sz w:val="20"/>
                <w:szCs w:val="20"/>
              </w:rPr>
              <w:t>1.45%</w:t>
            </w:r>
          </w:p>
        </w:tc>
      </w:tr>
      <w:tr w:rsidR="00465EF6">
        <w:trPr>
          <w:trHeight w:val="157"/>
        </w:trPr>
        <w:tc>
          <w:tcPr>
            <w:tcW w:w="1908" w:type="dxa"/>
            <w:vMerge/>
          </w:tcPr>
          <w:p w:rsidR="00465EF6" w:rsidRDefault="00465EF6" w:rsidP="00ED3B6F">
            <w:pPr>
              <w:autoSpaceDE w:val="0"/>
              <w:autoSpaceDN w:val="0"/>
              <w:adjustRightInd w:val="0"/>
              <w:jc w:val="center"/>
              <w:rPr>
                <w:b/>
                <w:szCs w:val="21"/>
              </w:rPr>
            </w:pPr>
          </w:p>
        </w:tc>
        <w:tc>
          <w:tcPr>
            <w:tcW w:w="1440" w:type="dxa"/>
          </w:tcPr>
          <w:p w:rsidR="00465EF6" w:rsidRDefault="00465EF6" w:rsidP="00ED3B6F">
            <w:pPr>
              <w:autoSpaceDE w:val="0"/>
              <w:autoSpaceDN w:val="0"/>
              <w:adjustRightInd w:val="0"/>
              <w:jc w:val="center"/>
              <w:rPr>
                <w:b/>
                <w:szCs w:val="21"/>
              </w:rPr>
            </w:pPr>
            <w:r>
              <w:rPr>
                <w:rFonts w:hint="eastAsia"/>
                <w:b/>
                <w:szCs w:val="21"/>
              </w:rPr>
              <w:t>格力电器</w:t>
            </w:r>
          </w:p>
        </w:tc>
        <w:tc>
          <w:tcPr>
            <w:tcW w:w="1034" w:type="dxa"/>
            <w:shd w:val="clear" w:color="auto" w:fill="auto"/>
          </w:tcPr>
          <w:p w:rsidR="00465EF6" w:rsidRDefault="00A3453B" w:rsidP="00ED3B6F">
            <w:pPr>
              <w:autoSpaceDE w:val="0"/>
              <w:autoSpaceDN w:val="0"/>
              <w:adjustRightInd w:val="0"/>
              <w:jc w:val="center"/>
              <w:rPr>
                <w:b/>
                <w:szCs w:val="21"/>
              </w:rPr>
            </w:pPr>
            <w:r>
              <w:rPr>
                <w:kern w:val="0"/>
                <w:sz w:val="20"/>
                <w:szCs w:val="20"/>
              </w:rPr>
              <w:t>4.14%</w:t>
            </w:r>
          </w:p>
        </w:tc>
        <w:tc>
          <w:tcPr>
            <w:tcW w:w="1035" w:type="dxa"/>
            <w:shd w:val="clear" w:color="auto" w:fill="auto"/>
          </w:tcPr>
          <w:p w:rsidR="00465EF6" w:rsidRDefault="00A3453B" w:rsidP="00ED3B6F">
            <w:pPr>
              <w:autoSpaceDE w:val="0"/>
              <w:autoSpaceDN w:val="0"/>
              <w:adjustRightInd w:val="0"/>
              <w:jc w:val="center"/>
              <w:rPr>
                <w:b/>
                <w:szCs w:val="21"/>
              </w:rPr>
            </w:pPr>
            <w:r>
              <w:rPr>
                <w:kern w:val="0"/>
                <w:sz w:val="20"/>
                <w:szCs w:val="20"/>
              </w:rPr>
              <w:t>4.22%</w:t>
            </w:r>
          </w:p>
        </w:tc>
        <w:tc>
          <w:tcPr>
            <w:tcW w:w="1035" w:type="dxa"/>
            <w:shd w:val="clear" w:color="auto" w:fill="auto"/>
          </w:tcPr>
          <w:p w:rsidR="00465EF6" w:rsidRDefault="00A3453B" w:rsidP="00ED3B6F">
            <w:pPr>
              <w:autoSpaceDE w:val="0"/>
              <w:autoSpaceDN w:val="0"/>
              <w:adjustRightInd w:val="0"/>
              <w:jc w:val="center"/>
              <w:rPr>
                <w:b/>
                <w:szCs w:val="21"/>
              </w:rPr>
            </w:pPr>
            <w:r>
              <w:rPr>
                <w:kern w:val="0"/>
                <w:sz w:val="20"/>
                <w:szCs w:val="20"/>
              </w:rPr>
              <w:t>3.36%</w:t>
            </w:r>
          </w:p>
        </w:tc>
        <w:tc>
          <w:tcPr>
            <w:tcW w:w="1035" w:type="dxa"/>
            <w:shd w:val="clear" w:color="auto" w:fill="auto"/>
          </w:tcPr>
          <w:p w:rsidR="00465EF6" w:rsidRDefault="00A3453B" w:rsidP="00ED3B6F">
            <w:pPr>
              <w:autoSpaceDE w:val="0"/>
              <w:autoSpaceDN w:val="0"/>
              <w:adjustRightInd w:val="0"/>
              <w:jc w:val="center"/>
              <w:rPr>
                <w:b/>
                <w:szCs w:val="21"/>
              </w:rPr>
            </w:pPr>
            <w:r>
              <w:rPr>
                <w:kern w:val="0"/>
                <w:sz w:val="20"/>
                <w:szCs w:val="20"/>
              </w:rPr>
              <w:t>3.04%</w:t>
            </w:r>
          </w:p>
        </w:tc>
        <w:tc>
          <w:tcPr>
            <w:tcW w:w="1035" w:type="dxa"/>
            <w:shd w:val="clear" w:color="auto" w:fill="auto"/>
          </w:tcPr>
          <w:p w:rsidR="00465EF6" w:rsidRDefault="00A3453B" w:rsidP="00ED3B6F">
            <w:pPr>
              <w:autoSpaceDE w:val="0"/>
              <w:autoSpaceDN w:val="0"/>
              <w:adjustRightInd w:val="0"/>
              <w:jc w:val="center"/>
              <w:rPr>
                <w:b/>
                <w:szCs w:val="21"/>
              </w:rPr>
            </w:pPr>
            <w:r>
              <w:rPr>
                <w:kern w:val="0"/>
                <w:sz w:val="20"/>
                <w:szCs w:val="20"/>
              </w:rPr>
              <w:t>2.79%</w:t>
            </w:r>
          </w:p>
        </w:tc>
      </w:tr>
    </w:tbl>
    <w:p w:rsidR="00072717" w:rsidRPr="00072717" w:rsidRDefault="00A14000" w:rsidP="00072717">
      <w:pPr>
        <w:tabs>
          <w:tab w:val="center" w:pos="4153"/>
        </w:tabs>
        <w:autoSpaceDE w:val="0"/>
        <w:autoSpaceDN w:val="0"/>
        <w:adjustRightInd w:val="0"/>
        <w:jc w:val="center"/>
        <w:rPr>
          <w:rFonts w:ascii="宋体" w:cs="宋体"/>
          <w:b/>
          <w:kern w:val="0"/>
          <w:szCs w:val="21"/>
        </w:rPr>
      </w:pPr>
      <w:r w:rsidRPr="00072717">
        <w:rPr>
          <w:rFonts w:hint="eastAsia"/>
          <w:b/>
          <w:noProof/>
          <w:szCs w:val="21"/>
        </w:rPr>
        <w:drawing>
          <wp:anchor distT="0" distB="0" distL="114300" distR="114300" simplePos="0" relativeHeight="251656704" behindDoc="0" locked="0" layoutInCell="1" allowOverlap="1">
            <wp:simplePos x="0" y="0"/>
            <wp:positionH relativeFrom="column">
              <wp:posOffset>342900</wp:posOffset>
            </wp:positionH>
            <wp:positionV relativeFrom="paragraph">
              <wp:posOffset>246380</wp:posOffset>
            </wp:positionV>
            <wp:extent cx="4629785" cy="1858010"/>
            <wp:effectExtent l="0" t="1905" r="0" b="0"/>
            <wp:wrapNone/>
            <wp:docPr id="6" name="对象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8777BE" w:rsidRPr="00072717">
        <w:rPr>
          <w:rFonts w:hint="eastAsia"/>
          <w:b/>
          <w:szCs w:val="21"/>
        </w:rPr>
        <w:t>图</w:t>
      </w:r>
      <w:r w:rsidR="00072717" w:rsidRPr="00072717">
        <w:rPr>
          <w:rFonts w:hint="eastAsia"/>
          <w:b/>
          <w:szCs w:val="21"/>
        </w:rPr>
        <w:t>3</w:t>
      </w:r>
      <w:r w:rsidR="00072717" w:rsidRPr="00072717">
        <w:rPr>
          <w:rFonts w:ascii="宋体" w:cs="宋体" w:hint="eastAsia"/>
          <w:b/>
          <w:kern w:val="0"/>
          <w:szCs w:val="21"/>
        </w:rPr>
        <w:t xml:space="preserve"> 2003—2005年青岛海尔和格力电器经营效率平均指标比较图</w:t>
      </w:r>
    </w:p>
    <w:p w:rsidR="00072717" w:rsidRDefault="00072717" w:rsidP="00072717">
      <w:pPr>
        <w:autoSpaceDE w:val="0"/>
        <w:autoSpaceDN w:val="0"/>
        <w:adjustRightInd w:val="0"/>
        <w:jc w:val="center"/>
        <w:rPr>
          <w:szCs w:val="21"/>
        </w:rPr>
      </w:pPr>
    </w:p>
    <w:p w:rsidR="00072717" w:rsidRPr="00072717" w:rsidRDefault="00072717" w:rsidP="00072717">
      <w:pPr>
        <w:rPr>
          <w:szCs w:val="21"/>
        </w:rPr>
      </w:pPr>
    </w:p>
    <w:p w:rsidR="00072717" w:rsidRPr="00072717" w:rsidRDefault="00072717" w:rsidP="00072717">
      <w:pPr>
        <w:rPr>
          <w:szCs w:val="21"/>
        </w:rPr>
      </w:pPr>
    </w:p>
    <w:p w:rsidR="00072717" w:rsidRPr="00072717" w:rsidRDefault="00072717" w:rsidP="00072717">
      <w:pPr>
        <w:rPr>
          <w:szCs w:val="21"/>
        </w:rPr>
      </w:pPr>
    </w:p>
    <w:p w:rsidR="00072717" w:rsidRPr="00072717" w:rsidRDefault="00072717" w:rsidP="00072717">
      <w:pPr>
        <w:rPr>
          <w:szCs w:val="21"/>
        </w:rPr>
      </w:pPr>
    </w:p>
    <w:p w:rsidR="00072717" w:rsidRPr="00072717" w:rsidRDefault="00072717" w:rsidP="00072717">
      <w:pPr>
        <w:rPr>
          <w:szCs w:val="21"/>
        </w:rPr>
      </w:pPr>
    </w:p>
    <w:p w:rsidR="00072717" w:rsidRPr="00072717" w:rsidRDefault="00072717" w:rsidP="00072717">
      <w:pPr>
        <w:rPr>
          <w:szCs w:val="21"/>
        </w:rPr>
      </w:pPr>
    </w:p>
    <w:p w:rsidR="00072717" w:rsidRPr="00072717" w:rsidRDefault="00072717" w:rsidP="00072717">
      <w:pPr>
        <w:rPr>
          <w:szCs w:val="21"/>
        </w:rPr>
      </w:pPr>
    </w:p>
    <w:p w:rsidR="00072717" w:rsidRPr="00072717" w:rsidRDefault="00072717" w:rsidP="00072717">
      <w:pPr>
        <w:rPr>
          <w:szCs w:val="21"/>
        </w:rPr>
      </w:pPr>
    </w:p>
    <w:p w:rsidR="00072717" w:rsidRDefault="00072717" w:rsidP="00072717">
      <w:pPr>
        <w:rPr>
          <w:szCs w:val="21"/>
        </w:rPr>
      </w:pPr>
    </w:p>
    <w:p w:rsidR="009B43B1" w:rsidRPr="00FE0F0C" w:rsidRDefault="00072717" w:rsidP="009B43B1">
      <w:pPr>
        <w:autoSpaceDE w:val="0"/>
        <w:autoSpaceDN w:val="0"/>
        <w:adjustRightInd w:val="0"/>
        <w:jc w:val="left"/>
        <w:rPr>
          <w:rFonts w:ascii="宋体" w:cs="宋体"/>
          <w:kern w:val="0"/>
          <w:szCs w:val="21"/>
        </w:rPr>
      </w:pPr>
      <w:r>
        <w:rPr>
          <w:szCs w:val="21"/>
        </w:rPr>
        <w:tab/>
      </w:r>
      <w:r w:rsidR="009B43B1">
        <w:rPr>
          <w:rFonts w:ascii="宋体" w:cs="宋体" w:hint="eastAsia"/>
          <w:kern w:val="0"/>
          <w:szCs w:val="21"/>
        </w:rPr>
        <w:t>由</w:t>
      </w:r>
      <w:r w:rsidR="009B43B1" w:rsidRPr="00FE0F0C">
        <w:rPr>
          <w:rFonts w:ascii="宋体" w:cs="宋体" w:hint="eastAsia"/>
          <w:kern w:val="0"/>
          <w:szCs w:val="21"/>
        </w:rPr>
        <w:t>表</w:t>
      </w:r>
      <w:r w:rsidR="009B43B1">
        <w:rPr>
          <w:rFonts w:ascii="宋体" w:cs="宋体" w:hint="eastAsia"/>
          <w:kern w:val="0"/>
          <w:szCs w:val="21"/>
        </w:rPr>
        <w:t>7和图3</w:t>
      </w:r>
      <w:r w:rsidR="009B43B1" w:rsidRPr="00FE0F0C">
        <w:rPr>
          <w:rFonts w:ascii="宋体" w:cs="宋体" w:hint="eastAsia"/>
          <w:kern w:val="0"/>
          <w:szCs w:val="21"/>
        </w:rPr>
        <w:t>我们</w:t>
      </w:r>
      <w:r w:rsidR="009B43B1">
        <w:rPr>
          <w:rFonts w:ascii="宋体" w:cs="宋体" w:hint="eastAsia"/>
          <w:kern w:val="0"/>
          <w:szCs w:val="21"/>
        </w:rPr>
        <w:t>可以</w:t>
      </w:r>
      <w:r w:rsidR="009B43B1" w:rsidRPr="00FE0F0C">
        <w:rPr>
          <w:rFonts w:ascii="宋体" w:cs="宋体" w:hint="eastAsia"/>
          <w:kern w:val="0"/>
          <w:szCs w:val="21"/>
        </w:rPr>
        <w:t>发现，由于白家电行业竞争的日益激烈，</w:t>
      </w:r>
      <w:r w:rsidR="009B43B1">
        <w:rPr>
          <w:rFonts w:ascii="宋体" w:cs="宋体" w:hint="eastAsia"/>
          <w:kern w:val="0"/>
          <w:szCs w:val="21"/>
        </w:rPr>
        <w:t>两</w:t>
      </w:r>
      <w:r w:rsidR="009B43B1" w:rsidRPr="00FE0F0C">
        <w:rPr>
          <w:rFonts w:ascii="宋体" w:cs="宋体" w:hint="eastAsia"/>
          <w:kern w:val="0"/>
          <w:szCs w:val="21"/>
        </w:rPr>
        <w:t>家企业的销售净利率均呈现出下降的趋势，但相比之下，青岛海尔的下降幅度最大，</w:t>
      </w:r>
      <w:r w:rsidR="009B43B1" w:rsidRPr="00FE0F0C">
        <w:rPr>
          <w:kern w:val="0"/>
          <w:szCs w:val="21"/>
        </w:rPr>
        <w:t>2005</w:t>
      </w:r>
      <w:r w:rsidR="009B43B1" w:rsidRPr="00FE0F0C">
        <w:rPr>
          <w:rFonts w:ascii="宋体" w:cs="宋体" w:hint="eastAsia"/>
          <w:kern w:val="0"/>
          <w:szCs w:val="21"/>
        </w:rPr>
        <w:t>年比</w:t>
      </w:r>
      <w:r w:rsidR="009B43B1" w:rsidRPr="00FE0F0C">
        <w:rPr>
          <w:kern w:val="0"/>
          <w:szCs w:val="21"/>
        </w:rPr>
        <w:t>2001</w:t>
      </w:r>
      <w:r w:rsidR="009B43B1" w:rsidRPr="00FE0F0C">
        <w:rPr>
          <w:rFonts w:ascii="宋体" w:cs="宋体" w:hint="eastAsia"/>
          <w:kern w:val="0"/>
          <w:szCs w:val="21"/>
        </w:rPr>
        <w:t>年下降了</w:t>
      </w:r>
      <w:r w:rsidR="009B43B1" w:rsidRPr="00FE0F0C">
        <w:rPr>
          <w:rFonts w:ascii="宋体" w:cs="宋体"/>
          <w:kern w:val="0"/>
          <w:szCs w:val="21"/>
        </w:rPr>
        <w:t xml:space="preserve"> </w:t>
      </w:r>
      <w:r w:rsidR="009B43B1" w:rsidRPr="00FE0F0C">
        <w:rPr>
          <w:kern w:val="0"/>
          <w:szCs w:val="21"/>
        </w:rPr>
        <w:t>73</w:t>
      </w:r>
      <w:r w:rsidR="009B43B1" w:rsidRPr="00FE0F0C">
        <w:rPr>
          <w:rFonts w:ascii="宋体" w:cs="宋体"/>
          <w:kern w:val="0"/>
          <w:szCs w:val="21"/>
        </w:rPr>
        <w:t xml:space="preserve">% , </w:t>
      </w:r>
      <w:r w:rsidR="009B43B1" w:rsidRPr="00FE0F0C">
        <w:rPr>
          <w:rFonts w:ascii="宋体" w:cs="宋体" w:hint="eastAsia"/>
          <w:kern w:val="0"/>
          <w:szCs w:val="21"/>
        </w:rPr>
        <w:t>而美的电器和格力电器分别下降了</w:t>
      </w:r>
      <w:r w:rsidR="009B43B1" w:rsidRPr="00FE0F0C">
        <w:rPr>
          <w:rFonts w:ascii="宋体" w:cs="宋体"/>
          <w:kern w:val="0"/>
          <w:szCs w:val="21"/>
        </w:rPr>
        <w:t xml:space="preserve"> </w:t>
      </w:r>
      <w:r w:rsidR="009B43B1" w:rsidRPr="00FE0F0C">
        <w:rPr>
          <w:kern w:val="0"/>
          <w:szCs w:val="21"/>
        </w:rPr>
        <w:t>25%</w:t>
      </w:r>
      <w:r w:rsidR="009B43B1" w:rsidRPr="00FE0F0C">
        <w:rPr>
          <w:rFonts w:ascii="宋体" w:cs="宋体" w:hint="eastAsia"/>
          <w:kern w:val="0"/>
          <w:szCs w:val="21"/>
        </w:rPr>
        <w:t>和</w:t>
      </w:r>
      <w:r w:rsidR="009B43B1" w:rsidRPr="00FE0F0C">
        <w:rPr>
          <w:kern w:val="0"/>
          <w:szCs w:val="21"/>
        </w:rPr>
        <w:t>33%</w:t>
      </w:r>
      <w:r w:rsidR="009B43B1" w:rsidRPr="00FE0F0C">
        <w:rPr>
          <w:rFonts w:ascii="宋体" w:cs="宋体" w:hint="eastAsia"/>
          <w:kern w:val="0"/>
          <w:szCs w:val="21"/>
        </w:rPr>
        <w:t>。此外，青岛海尔各年的毛利率以及</w:t>
      </w:r>
      <w:r w:rsidR="009B43B1" w:rsidRPr="00FE0F0C">
        <w:rPr>
          <w:rFonts w:ascii="宋体" w:cs="宋体" w:hint="eastAsia"/>
          <w:kern w:val="0"/>
          <w:szCs w:val="21"/>
        </w:rPr>
        <w:lastRenderedPageBreak/>
        <w:t>营业和管理费用率这两项指标均远远低于竞争对手，这与青岛海尔所采取的差异化竞争战略似乎不相符合。因为一般而言，采用差异化战略的企业会产生较高的毛利率以及营业和管理费用率。如前所述，青岛海尔的这种反常的现象可能与其在生产经营过程中严重依赖关联交易有关，比如关联交易定价中的经销费用率和采购代理费率的高低将直接影响青岛海尔的毛利率，而青岛海尔营业和管理费用率较低的重要原因在于许多费用实际上转嫁给了其他关联方承担。因此，虽然青岛海尔的销售净利率总体而言</w:t>
      </w:r>
      <w:r w:rsidR="004D1DB8">
        <w:rPr>
          <w:rFonts w:ascii="宋体" w:cs="宋体" w:hint="eastAsia"/>
          <w:kern w:val="0"/>
          <w:szCs w:val="21"/>
        </w:rPr>
        <w:t>低于格力电器之，</w:t>
      </w:r>
      <w:r w:rsidR="009B43B1" w:rsidRPr="00FE0F0C">
        <w:rPr>
          <w:rFonts w:ascii="宋体" w:cs="宋体" w:hint="eastAsia"/>
          <w:kern w:val="0"/>
          <w:szCs w:val="21"/>
        </w:rPr>
        <w:t>但由于关联方交易的千扰，我们难以对其经营效率做出准确判断。</w:t>
      </w:r>
    </w:p>
    <w:p w:rsidR="00F40E93" w:rsidRDefault="00FE3CB5" w:rsidP="000D30F1">
      <w:pPr>
        <w:numPr>
          <w:ilvl w:val="0"/>
          <w:numId w:val="1"/>
        </w:numPr>
        <w:tabs>
          <w:tab w:val="left" w:pos="1350"/>
        </w:tabs>
        <w:rPr>
          <w:rFonts w:ascii="宋体" w:cs="宋体"/>
          <w:b/>
          <w:kern w:val="0"/>
          <w:szCs w:val="21"/>
        </w:rPr>
      </w:pPr>
      <w:r w:rsidRPr="000D30F1">
        <w:rPr>
          <w:rFonts w:ascii="宋体" w:cs="宋体" w:hint="eastAsia"/>
          <w:b/>
          <w:kern w:val="0"/>
          <w:szCs w:val="21"/>
        </w:rPr>
        <w:t>资产管理效率分析</w:t>
      </w:r>
    </w:p>
    <w:p w:rsidR="000D30F1" w:rsidRDefault="000D30F1" w:rsidP="000D30F1">
      <w:pPr>
        <w:autoSpaceDE w:val="0"/>
        <w:autoSpaceDN w:val="0"/>
        <w:adjustRightInd w:val="0"/>
        <w:jc w:val="left"/>
        <w:rPr>
          <w:rFonts w:ascii="宋体" w:cs="宋体"/>
          <w:kern w:val="0"/>
          <w:szCs w:val="21"/>
        </w:rPr>
      </w:pPr>
      <w:r w:rsidRPr="00FE0F0C">
        <w:rPr>
          <w:rFonts w:ascii="宋体" w:cs="宋体" w:hint="eastAsia"/>
          <w:kern w:val="0"/>
          <w:szCs w:val="21"/>
        </w:rPr>
        <w:t>表</w:t>
      </w:r>
      <w:r>
        <w:rPr>
          <w:rFonts w:hint="eastAsia"/>
          <w:kern w:val="0"/>
          <w:szCs w:val="21"/>
        </w:rPr>
        <w:t>8</w:t>
      </w:r>
      <w:r w:rsidRPr="00FE0F0C">
        <w:rPr>
          <w:rFonts w:ascii="宋体" w:cs="宋体" w:hint="eastAsia"/>
          <w:kern w:val="0"/>
          <w:szCs w:val="21"/>
        </w:rPr>
        <w:t>列示了</w:t>
      </w:r>
      <w:r w:rsidRPr="00FE0F0C">
        <w:rPr>
          <w:kern w:val="0"/>
          <w:szCs w:val="21"/>
        </w:rPr>
        <w:t>2005</w:t>
      </w:r>
      <w:r w:rsidRPr="00FE0F0C">
        <w:rPr>
          <w:rFonts w:ascii="宋体" w:cs="宋体" w:hint="eastAsia"/>
          <w:kern w:val="0"/>
          <w:szCs w:val="21"/>
        </w:rPr>
        <w:t>年反映青岛海尔</w:t>
      </w:r>
      <w:r>
        <w:rPr>
          <w:rFonts w:ascii="宋体" w:cs="宋体" w:hint="eastAsia"/>
          <w:kern w:val="0"/>
          <w:szCs w:val="21"/>
        </w:rPr>
        <w:t>和格力电器</w:t>
      </w:r>
      <w:r w:rsidRPr="00FE0F0C">
        <w:rPr>
          <w:rFonts w:ascii="宋体" w:cs="宋体" w:hint="eastAsia"/>
          <w:kern w:val="0"/>
          <w:szCs w:val="21"/>
        </w:rPr>
        <w:t>资产管理效率的一些主要指标。</w:t>
      </w:r>
    </w:p>
    <w:p w:rsidR="000D30F1" w:rsidRDefault="000D30F1" w:rsidP="000D30F1">
      <w:pPr>
        <w:autoSpaceDE w:val="0"/>
        <w:autoSpaceDN w:val="0"/>
        <w:adjustRightInd w:val="0"/>
        <w:jc w:val="left"/>
        <w:rPr>
          <w:rFonts w:ascii="宋体" w:cs="宋体"/>
          <w:kern w:val="0"/>
          <w:szCs w:val="21"/>
        </w:rPr>
      </w:pPr>
    </w:p>
    <w:p w:rsidR="000D30F1" w:rsidRPr="000D30F1" w:rsidRDefault="000D30F1" w:rsidP="002B26EF">
      <w:pPr>
        <w:autoSpaceDE w:val="0"/>
        <w:autoSpaceDN w:val="0"/>
        <w:adjustRightInd w:val="0"/>
        <w:jc w:val="center"/>
        <w:rPr>
          <w:rFonts w:ascii="宋体" w:cs="宋体"/>
          <w:b/>
          <w:kern w:val="0"/>
          <w:szCs w:val="21"/>
        </w:rPr>
      </w:pPr>
      <w:r w:rsidRPr="000D30F1">
        <w:rPr>
          <w:rFonts w:ascii="宋体" w:cs="宋体" w:hint="eastAsia"/>
          <w:b/>
          <w:kern w:val="0"/>
          <w:szCs w:val="21"/>
        </w:rPr>
        <w:t>表8 2005年青岛海尔和格力电器资产管理效率指标比较</w:t>
      </w:r>
    </w:p>
    <w:tbl>
      <w:tblPr>
        <w:tblStyle w:val="a3"/>
        <w:tblW w:w="0" w:type="auto"/>
        <w:jc w:val="center"/>
        <w:tblLook w:val="01E0" w:firstRow="1" w:lastRow="1" w:firstColumn="1" w:lastColumn="1" w:noHBand="0" w:noVBand="0"/>
      </w:tblPr>
      <w:tblGrid>
        <w:gridCol w:w="2940"/>
        <w:gridCol w:w="1831"/>
        <w:gridCol w:w="1828"/>
      </w:tblGrid>
      <w:tr w:rsidR="002B26EF">
        <w:trPr>
          <w:trHeight w:val="308"/>
          <w:jc w:val="center"/>
        </w:trPr>
        <w:tc>
          <w:tcPr>
            <w:tcW w:w="2940" w:type="dxa"/>
            <w:vAlign w:val="bottom"/>
          </w:tcPr>
          <w:p w:rsidR="002B26EF" w:rsidRDefault="002B26EF" w:rsidP="00624C60">
            <w:pPr>
              <w:tabs>
                <w:tab w:val="left" w:pos="1350"/>
              </w:tabs>
              <w:jc w:val="center"/>
              <w:rPr>
                <w:b/>
                <w:szCs w:val="21"/>
              </w:rPr>
            </w:pPr>
            <w:r>
              <w:rPr>
                <w:rFonts w:hint="eastAsia"/>
                <w:b/>
                <w:szCs w:val="21"/>
              </w:rPr>
              <w:t>项目</w:t>
            </w:r>
          </w:p>
        </w:tc>
        <w:tc>
          <w:tcPr>
            <w:tcW w:w="1831" w:type="dxa"/>
            <w:shd w:val="clear" w:color="auto" w:fill="auto"/>
            <w:vAlign w:val="bottom"/>
          </w:tcPr>
          <w:p w:rsidR="002B26EF" w:rsidRDefault="002B26EF" w:rsidP="00624C60">
            <w:pPr>
              <w:tabs>
                <w:tab w:val="left" w:pos="1350"/>
              </w:tabs>
              <w:jc w:val="center"/>
              <w:rPr>
                <w:b/>
                <w:szCs w:val="21"/>
              </w:rPr>
            </w:pPr>
            <w:r>
              <w:rPr>
                <w:rFonts w:hint="eastAsia"/>
                <w:b/>
                <w:szCs w:val="21"/>
              </w:rPr>
              <w:t>青岛海尔</w:t>
            </w:r>
          </w:p>
        </w:tc>
        <w:tc>
          <w:tcPr>
            <w:tcW w:w="1828" w:type="dxa"/>
            <w:vAlign w:val="bottom"/>
          </w:tcPr>
          <w:p w:rsidR="002B26EF" w:rsidRDefault="002B26EF" w:rsidP="00624C60">
            <w:pPr>
              <w:tabs>
                <w:tab w:val="left" w:pos="1350"/>
              </w:tabs>
              <w:jc w:val="center"/>
              <w:rPr>
                <w:b/>
                <w:szCs w:val="21"/>
              </w:rPr>
            </w:pPr>
            <w:r>
              <w:rPr>
                <w:rFonts w:hint="eastAsia"/>
                <w:b/>
                <w:szCs w:val="21"/>
              </w:rPr>
              <w:t>格力电器</w:t>
            </w:r>
          </w:p>
        </w:tc>
      </w:tr>
      <w:tr w:rsidR="002B26EF">
        <w:trPr>
          <w:trHeight w:val="324"/>
          <w:jc w:val="center"/>
        </w:trPr>
        <w:tc>
          <w:tcPr>
            <w:tcW w:w="2940" w:type="dxa"/>
            <w:vAlign w:val="bottom"/>
          </w:tcPr>
          <w:p w:rsidR="002B26EF" w:rsidRDefault="002B26EF" w:rsidP="00624C60">
            <w:pPr>
              <w:tabs>
                <w:tab w:val="left" w:pos="1350"/>
              </w:tabs>
              <w:jc w:val="center"/>
              <w:rPr>
                <w:b/>
                <w:szCs w:val="21"/>
              </w:rPr>
            </w:pPr>
            <w:r>
              <w:rPr>
                <w:rFonts w:hint="eastAsia"/>
                <w:b/>
                <w:szCs w:val="21"/>
              </w:rPr>
              <w:t>应收账款周转率</w:t>
            </w:r>
          </w:p>
        </w:tc>
        <w:tc>
          <w:tcPr>
            <w:tcW w:w="1831" w:type="dxa"/>
            <w:shd w:val="clear" w:color="auto" w:fill="auto"/>
            <w:vAlign w:val="bottom"/>
          </w:tcPr>
          <w:p w:rsidR="002B26EF" w:rsidRPr="00AC67B8" w:rsidRDefault="002B26EF" w:rsidP="00624C60">
            <w:pPr>
              <w:jc w:val="center"/>
              <w:rPr>
                <w:kern w:val="0"/>
                <w:sz w:val="20"/>
                <w:szCs w:val="20"/>
              </w:rPr>
            </w:pPr>
            <w:r w:rsidRPr="00AC67B8">
              <w:rPr>
                <w:kern w:val="0"/>
                <w:sz w:val="20"/>
                <w:szCs w:val="20"/>
              </w:rPr>
              <w:t>16.76</w:t>
            </w:r>
          </w:p>
        </w:tc>
        <w:tc>
          <w:tcPr>
            <w:tcW w:w="1828" w:type="dxa"/>
            <w:vAlign w:val="bottom"/>
          </w:tcPr>
          <w:p w:rsidR="002B26EF" w:rsidRDefault="002B26EF" w:rsidP="00624C60">
            <w:pPr>
              <w:jc w:val="center"/>
            </w:pPr>
            <w:r w:rsidRPr="00AC67B8">
              <w:rPr>
                <w:kern w:val="0"/>
                <w:sz w:val="20"/>
                <w:szCs w:val="20"/>
              </w:rPr>
              <w:t>17.38</w:t>
            </w:r>
          </w:p>
        </w:tc>
      </w:tr>
      <w:tr w:rsidR="002B26EF">
        <w:trPr>
          <w:trHeight w:val="308"/>
          <w:jc w:val="center"/>
        </w:trPr>
        <w:tc>
          <w:tcPr>
            <w:tcW w:w="2940" w:type="dxa"/>
            <w:vAlign w:val="bottom"/>
          </w:tcPr>
          <w:p w:rsidR="002B26EF" w:rsidRDefault="002B26EF" w:rsidP="00624C60">
            <w:pPr>
              <w:tabs>
                <w:tab w:val="left" w:pos="1350"/>
              </w:tabs>
              <w:jc w:val="center"/>
              <w:rPr>
                <w:b/>
                <w:szCs w:val="21"/>
              </w:rPr>
            </w:pPr>
            <w:r>
              <w:rPr>
                <w:rFonts w:hint="eastAsia"/>
                <w:b/>
                <w:szCs w:val="21"/>
              </w:rPr>
              <w:t>应收账款周转天数</w:t>
            </w:r>
          </w:p>
        </w:tc>
        <w:tc>
          <w:tcPr>
            <w:tcW w:w="1831" w:type="dxa"/>
            <w:shd w:val="clear" w:color="auto" w:fill="auto"/>
            <w:vAlign w:val="bottom"/>
          </w:tcPr>
          <w:p w:rsidR="002B26EF" w:rsidRPr="00DB1A59" w:rsidRDefault="002B26EF" w:rsidP="00624C60">
            <w:pPr>
              <w:jc w:val="center"/>
              <w:rPr>
                <w:kern w:val="0"/>
                <w:sz w:val="20"/>
                <w:szCs w:val="20"/>
              </w:rPr>
            </w:pPr>
            <w:r w:rsidRPr="00DB1A59">
              <w:rPr>
                <w:kern w:val="0"/>
                <w:sz w:val="20"/>
                <w:szCs w:val="20"/>
              </w:rPr>
              <w:t>21.78</w:t>
            </w:r>
          </w:p>
        </w:tc>
        <w:tc>
          <w:tcPr>
            <w:tcW w:w="1828" w:type="dxa"/>
            <w:vAlign w:val="bottom"/>
          </w:tcPr>
          <w:p w:rsidR="002B26EF" w:rsidRDefault="002B26EF" w:rsidP="00624C60">
            <w:pPr>
              <w:jc w:val="center"/>
            </w:pPr>
            <w:r w:rsidRPr="00DB1A59">
              <w:rPr>
                <w:kern w:val="0"/>
                <w:sz w:val="20"/>
                <w:szCs w:val="20"/>
              </w:rPr>
              <w:t>21.00</w:t>
            </w:r>
          </w:p>
        </w:tc>
      </w:tr>
      <w:tr w:rsidR="002B26EF">
        <w:trPr>
          <w:trHeight w:val="324"/>
          <w:jc w:val="center"/>
        </w:trPr>
        <w:tc>
          <w:tcPr>
            <w:tcW w:w="2940" w:type="dxa"/>
            <w:vAlign w:val="bottom"/>
          </w:tcPr>
          <w:p w:rsidR="002B26EF" w:rsidRDefault="002B26EF" w:rsidP="00624C60">
            <w:pPr>
              <w:tabs>
                <w:tab w:val="left" w:pos="1350"/>
              </w:tabs>
              <w:jc w:val="center"/>
              <w:rPr>
                <w:b/>
                <w:szCs w:val="21"/>
              </w:rPr>
            </w:pPr>
            <w:r>
              <w:rPr>
                <w:rFonts w:hint="eastAsia"/>
                <w:b/>
                <w:szCs w:val="21"/>
              </w:rPr>
              <w:t>存货周转率</w:t>
            </w:r>
          </w:p>
        </w:tc>
        <w:tc>
          <w:tcPr>
            <w:tcW w:w="1831" w:type="dxa"/>
            <w:shd w:val="clear" w:color="auto" w:fill="auto"/>
            <w:vAlign w:val="bottom"/>
          </w:tcPr>
          <w:p w:rsidR="002B26EF" w:rsidRPr="003D59D2" w:rsidRDefault="002B26EF" w:rsidP="00624C60">
            <w:pPr>
              <w:jc w:val="center"/>
              <w:rPr>
                <w:kern w:val="0"/>
                <w:sz w:val="20"/>
                <w:szCs w:val="20"/>
              </w:rPr>
            </w:pPr>
            <w:r w:rsidRPr="003D59D2">
              <w:rPr>
                <w:kern w:val="0"/>
                <w:sz w:val="20"/>
                <w:szCs w:val="20"/>
              </w:rPr>
              <w:t>16.84</w:t>
            </w:r>
          </w:p>
        </w:tc>
        <w:tc>
          <w:tcPr>
            <w:tcW w:w="1828" w:type="dxa"/>
            <w:vAlign w:val="bottom"/>
          </w:tcPr>
          <w:p w:rsidR="002B26EF" w:rsidRDefault="002B26EF" w:rsidP="00624C60">
            <w:pPr>
              <w:jc w:val="center"/>
            </w:pPr>
            <w:r w:rsidRPr="003D59D2">
              <w:rPr>
                <w:kern w:val="0"/>
                <w:sz w:val="20"/>
                <w:szCs w:val="20"/>
              </w:rPr>
              <w:t>4.44</w:t>
            </w:r>
          </w:p>
        </w:tc>
      </w:tr>
      <w:tr w:rsidR="002B26EF">
        <w:trPr>
          <w:trHeight w:val="308"/>
          <w:jc w:val="center"/>
        </w:trPr>
        <w:tc>
          <w:tcPr>
            <w:tcW w:w="2940" w:type="dxa"/>
            <w:vAlign w:val="bottom"/>
          </w:tcPr>
          <w:p w:rsidR="002B26EF" w:rsidRDefault="002B26EF" w:rsidP="00624C60">
            <w:pPr>
              <w:tabs>
                <w:tab w:val="left" w:pos="1350"/>
              </w:tabs>
              <w:jc w:val="center"/>
              <w:rPr>
                <w:b/>
                <w:szCs w:val="21"/>
              </w:rPr>
            </w:pPr>
            <w:r>
              <w:rPr>
                <w:rFonts w:hint="eastAsia"/>
                <w:b/>
                <w:szCs w:val="21"/>
              </w:rPr>
              <w:t>存货周转天数</w:t>
            </w:r>
          </w:p>
        </w:tc>
        <w:tc>
          <w:tcPr>
            <w:tcW w:w="1831" w:type="dxa"/>
            <w:shd w:val="clear" w:color="auto" w:fill="auto"/>
            <w:vAlign w:val="bottom"/>
          </w:tcPr>
          <w:p w:rsidR="002B26EF" w:rsidRPr="009266E0" w:rsidRDefault="002B26EF" w:rsidP="00624C60">
            <w:pPr>
              <w:jc w:val="center"/>
              <w:rPr>
                <w:kern w:val="0"/>
                <w:sz w:val="20"/>
                <w:szCs w:val="20"/>
              </w:rPr>
            </w:pPr>
            <w:r w:rsidRPr="009266E0">
              <w:rPr>
                <w:kern w:val="0"/>
                <w:sz w:val="20"/>
                <w:szCs w:val="20"/>
              </w:rPr>
              <w:t>18.27</w:t>
            </w:r>
          </w:p>
        </w:tc>
        <w:tc>
          <w:tcPr>
            <w:tcW w:w="1828" w:type="dxa"/>
            <w:vAlign w:val="bottom"/>
          </w:tcPr>
          <w:p w:rsidR="002B26EF" w:rsidRDefault="002B26EF" w:rsidP="00624C60">
            <w:pPr>
              <w:jc w:val="center"/>
            </w:pPr>
            <w:r w:rsidRPr="009266E0">
              <w:rPr>
                <w:kern w:val="0"/>
                <w:sz w:val="20"/>
                <w:szCs w:val="20"/>
              </w:rPr>
              <w:t>82.21</w:t>
            </w:r>
          </w:p>
        </w:tc>
      </w:tr>
      <w:tr w:rsidR="002B26EF">
        <w:trPr>
          <w:trHeight w:val="324"/>
          <w:jc w:val="center"/>
        </w:trPr>
        <w:tc>
          <w:tcPr>
            <w:tcW w:w="2940" w:type="dxa"/>
            <w:vAlign w:val="bottom"/>
          </w:tcPr>
          <w:p w:rsidR="002B26EF" w:rsidRDefault="002B26EF" w:rsidP="00624C60">
            <w:pPr>
              <w:tabs>
                <w:tab w:val="left" w:pos="1350"/>
              </w:tabs>
              <w:jc w:val="center"/>
              <w:rPr>
                <w:b/>
                <w:szCs w:val="21"/>
              </w:rPr>
            </w:pPr>
            <w:r>
              <w:rPr>
                <w:rFonts w:hint="eastAsia"/>
                <w:b/>
                <w:szCs w:val="21"/>
              </w:rPr>
              <w:t>应付账款周转率</w:t>
            </w:r>
          </w:p>
        </w:tc>
        <w:tc>
          <w:tcPr>
            <w:tcW w:w="1831" w:type="dxa"/>
            <w:shd w:val="clear" w:color="auto" w:fill="auto"/>
            <w:vAlign w:val="bottom"/>
          </w:tcPr>
          <w:p w:rsidR="002B26EF" w:rsidRPr="006F0055" w:rsidRDefault="002B26EF" w:rsidP="00624C60">
            <w:pPr>
              <w:jc w:val="center"/>
              <w:rPr>
                <w:kern w:val="0"/>
                <w:sz w:val="20"/>
                <w:szCs w:val="20"/>
              </w:rPr>
            </w:pPr>
            <w:r w:rsidRPr="006F0055">
              <w:rPr>
                <w:kern w:val="0"/>
                <w:sz w:val="20"/>
                <w:szCs w:val="20"/>
              </w:rPr>
              <w:t>44.28</w:t>
            </w:r>
          </w:p>
        </w:tc>
        <w:tc>
          <w:tcPr>
            <w:tcW w:w="1828" w:type="dxa"/>
            <w:vAlign w:val="bottom"/>
          </w:tcPr>
          <w:p w:rsidR="002B26EF" w:rsidRDefault="002B26EF" w:rsidP="00624C60">
            <w:pPr>
              <w:jc w:val="center"/>
            </w:pPr>
            <w:r w:rsidRPr="006F0055">
              <w:rPr>
                <w:kern w:val="0"/>
                <w:sz w:val="20"/>
                <w:szCs w:val="20"/>
              </w:rPr>
              <w:t>2.99</w:t>
            </w:r>
          </w:p>
        </w:tc>
      </w:tr>
      <w:tr w:rsidR="002B26EF">
        <w:trPr>
          <w:trHeight w:val="308"/>
          <w:jc w:val="center"/>
        </w:trPr>
        <w:tc>
          <w:tcPr>
            <w:tcW w:w="2940" w:type="dxa"/>
            <w:vAlign w:val="bottom"/>
          </w:tcPr>
          <w:p w:rsidR="002B26EF" w:rsidRDefault="002B26EF" w:rsidP="00624C60">
            <w:pPr>
              <w:tabs>
                <w:tab w:val="left" w:pos="1350"/>
              </w:tabs>
              <w:jc w:val="center"/>
              <w:rPr>
                <w:b/>
                <w:szCs w:val="21"/>
              </w:rPr>
            </w:pPr>
            <w:r>
              <w:rPr>
                <w:rFonts w:hint="eastAsia"/>
                <w:b/>
                <w:szCs w:val="21"/>
              </w:rPr>
              <w:t>营业营运资本周转率</w:t>
            </w:r>
          </w:p>
        </w:tc>
        <w:tc>
          <w:tcPr>
            <w:tcW w:w="1831" w:type="dxa"/>
            <w:shd w:val="clear" w:color="auto" w:fill="auto"/>
            <w:vAlign w:val="bottom"/>
          </w:tcPr>
          <w:p w:rsidR="002B26EF" w:rsidRPr="002561AC" w:rsidRDefault="002B26EF" w:rsidP="00624C60">
            <w:pPr>
              <w:jc w:val="center"/>
              <w:rPr>
                <w:kern w:val="0"/>
                <w:sz w:val="20"/>
                <w:szCs w:val="20"/>
              </w:rPr>
            </w:pPr>
            <w:r w:rsidRPr="002561AC">
              <w:rPr>
                <w:kern w:val="0"/>
                <w:sz w:val="20"/>
                <w:szCs w:val="20"/>
              </w:rPr>
              <w:t>12.24</w:t>
            </w:r>
          </w:p>
        </w:tc>
        <w:tc>
          <w:tcPr>
            <w:tcW w:w="1828" w:type="dxa"/>
            <w:vAlign w:val="bottom"/>
          </w:tcPr>
          <w:p w:rsidR="002B26EF" w:rsidRDefault="002B26EF" w:rsidP="00624C60">
            <w:pPr>
              <w:tabs>
                <w:tab w:val="left" w:pos="1350"/>
              </w:tabs>
              <w:jc w:val="center"/>
              <w:rPr>
                <w:b/>
                <w:szCs w:val="21"/>
              </w:rPr>
            </w:pPr>
            <w:r>
              <w:rPr>
                <w:rFonts w:hint="eastAsia"/>
                <w:b/>
                <w:szCs w:val="21"/>
              </w:rPr>
              <w:t>-8.99</w:t>
            </w:r>
          </w:p>
        </w:tc>
      </w:tr>
      <w:tr w:rsidR="002B26EF">
        <w:trPr>
          <w:trHeight w:val="324"/>
          <w:jc w:val="center"/>
        </w:trPr>
        <w:tc>
          <w:tcPr>
            <w:tcW w:w="2940" w:type="dxa"/>
            <w:vAlign w:val="bottom"/>
          </w:tcPr>
          <w:p w:rsidR="002B26EF" w:rsidRDefault="002B26EF" w:rsidP="00624C60">
            <w:pPr>
              <w:tabs>
                <w:tab w:val="left" w:pos="1350"/>
              </w:tabs>
              <w:jc w:val="center"/>
              <w:rPr>
                <w:b/>
                <w:szCs w:val="21"/>
              </w:rPr>
            </w:pPr>
            <w:r>
              <w:rPr>
                <w:rFonts w:hint="eastAsia"/>
                <w:b/>
                <w:szCs w:val="21"/>
              </w:rPr>
              <w:t>固定资产周转率</w:t>
            </w:r>
          </w:p>
        </w:tc>
        <w:tc>
          <w:tcPr>
            <w:tcW w:w="1831" w:type="dxa"/>
            <w:shd w:val="clear" w:color="auto" w:fill="auto"/>
            <w:vAlign w:val="bottom"/>
          </w:tcPr>
          <w:p w:rsidR="002B26EF" w:rsidRPr="008810A0" w:rsidRDefault="002B26EF" w:rsidP="00624C60">
            <w:pPr>
              <w:jc w:val="center"/>
              <w:rPr>
                <w:kern w:val="0"/>
                <w:sz w:val="20"/>
                <w:szCs w:val="20"/>
              </w:rPr>
            </w:pPr>
            <w:r w:rsidRPr="008810A0">
              <w:rPr>
                <w:kern w:val="0"/>
                <w:sz w:val="20"/>
                <w:szCs w:val="20"/>
              </w:rPr>
              <w:t>10.46</w:t>
            </w:r>
          </w:p>
        </w:tc>
        <w:tc>
          <w:tcPr>
            <w:tcW w:w="1828" w:type="dxa"/>
            <w:vAlign w:val="bottom"/>
          </w:tcPr>
          <w:p w:rsidR="002B26EF" w:rsidRDefault="002B26EF" w:rsidP="00624C60">
            <w:pPr>
              <w:jc w:val="center"/>
            </w:pPr>
            <w:r w:rsidRPr="008810A0">
              <w:rPr>
                <w:kern w:val="0"/>
                <w:sz w:val="20"/>
                <w:szCs w:val="20"/>
              </w:rPr>
              <w:t>8.38</w:t>
            </w:r>
          </w:p>
        </w:tc>
      </w:tr>
      <w:tr w:rsidR="002B26EF">
        <w:trPr>
          <w:trHeight w:val="324"/>
          <w:jc w:val="center"/>
        </w:trPr>
        <w:tc>
          <w:tcPr>
            <w:tcW w:w="2940" w:type="dxa"/>
            <w:vAlign w:val="bottom"/>
          </w:tcPr>
          <w:p w:rsidR="002B26EF" w:rsidRDefault="002B26EF" w:rsidP="00624C60">
            <w:pPr>
              <w:tabs>
                <w:tab w:val="left" w:pos="1350"/>
              </w:tabs>
              <w:jc w:val="center"/>
              <w:rPr>
                <w:b/>
                <w:szCs w:val="21"/>
              </w:rPr>
            </w:pPr>
            <w:r>
              <w:rPr>
                <w:rFonts w:hint="eastAsia"/>
                <w:b/>
                <w:szCs w:val="21"/>
              </w:rPr>
              <w:t>总资产周转率</w:t>
            </w:r>
          </w:p>
        </w:tc>
        <w:tc>
          <w:tcPr>
            <w:tcW w:w="1831" w:type="dxa"/>
            <w:shd w:val="clear" w:color="auto" w:fill="auto"/>
            <w:vAlign w:val="bottom"/>
          </w:tcPr>
          <w:p w:rsidR="002B26EF" w:rsidRPr="00CE40CB" w:rsidRDefault="002B26EF" w:rsidP="00624C60">
            <w:pPr>
              <w:jc w:val="center"/>
              <w:rPr>
                <w:kern w:val="0"/>
                <w:sz w:val="20"/>
                <w:szCs w:val="20"/>
              </w:rPr>
            </w:pPr>
            <w:r w:rsidRPr="00CE40CB">
              <w:rPr>
                <w:kern w:val="0"/>
                <w:sz w:val="20"/>
                <w:szCs w:val="20"/>
              </w:rPr>
              <w:t>2.38</w:t>
            </w:r>
          </w:p>
        </w:tc>
        <w:tc>
          <w:tcPr>
            <w:tcW w:w="1828" w:type="dxa"/>
            <w:vAlign w:val="bottom"/>
          </w:tcPr>
          <w:p w:rsidR="002B26EF" w:rsidRDefault="002B26EF" w:rsidP="00624C60">
            <w:pPr>
              <w:jc w:val="center"/>
            </w:pPr>
            <w:r w:rsidRPr="00CE40CB">
              <w:rPr>
                <w:kern w:val="0"/>
                <w:sz w:val="20"/>
                <w:szCs w:val="20"/>
              </w:rPr>
              <w:t>1.43</w:t>
            </w:r>
          </w:p>
        </w:tc>
      </w:tr>
    </w:tbl>
    <w:p w:rsidR="000D30F1" w:rsidRDefault="000D30F1" w:rsidP="000D30F1">
      <w:pPr>
        <w:tabs>
          <w:tab w:val="left" w:pos="1350"/>
        </w:tabs>
        <w:rPr>
          <w:b/>
          <w:szCs w:val="21"/>
        </w:rPr>
      </w:pPr>
    </w:p>
    <w:p w:rsidR="00E306D5" w:rsidRDefault="00A14000" w:rsidP="00D17BCB">
      <w:pPr>
        <w:tabs>
          <w:tab w:val="left" w:pos="1350"/>
        </w:tabs>
        <w:jc w:val="center"/>
        <w:rPr>
          <w:b/>
          <w:szCs w:val="21"/>
        </w:rPr>
      </w:pPr>
      <w:r>
        <w:rPr>
          <w:rFonts w:hint="eastAsia"/>
          <w:b/>
          <w:noProof/>
          <w:szCs w:val="21"/>
        </w:rPr>
        <w:drawing>
          <wp:anchor distT="0" distB="0" distL="114300" distR="114300" simplePos="0" relativeHeight="251657728" behindDoc="0" locked="0" layoutInCell="1" allowOverlap="1">
            <wp:simplePos x="0" y="0"/>
            <wp:positionH relativeFrom="column">
              <wp:posOffset>114300</wp:posOffset>
            </wp:positionH>
            <wp:positionV relativeFrom="paragraph">
              <wp:posOffset>195580</wp:posOffset>
            </wp:positionV>
            <wp:extent cx="4629785" cy="1858010"/>
            <wp:effectExtent l="0" t="0" r="0" b="0"/>
            <wp:wrapNone/>
            <wp:docPr id="7" name="对象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564C4F">
        <w:rPr>
          <w:rFonts w:hint="eastAsia"/>
          <w:b/>
          <w:szCs w:val="21"/>
        </w:rPr>
        <w:t>图</w:t>
      </w:r>
      <w:r w:rsidR="003B2F23">
        <w:rPr>
          <w:rFonts w:hint="eastAsia"/>
          <w:b/>
          <w:szCs w:val="21"/>
        </w:rPr>
        <w:t xml:space="preserve">4  </w:t>
      </w:r>
      <w:r w:rsidR="003B2F23" w:rsidRPr="000D30F1">
        <w:rPr>
          <w:rFonts w:ascii="宋体" w:cs="宋体" w:hint="eastAsia"/>
          <w:b/>
          <w:kern w:val="0"/>
          <w:szCs w:val="21"/>
        </w:rPr>
        <w:t>2005年青岛海尔和格力电器资产管理效率指标比较</w:t>
      </w:r>
    </w:p>
    <w:p w:rsidR="00E306D5" w:rsidRPr="00E306D5" w:rsidRDefault="00E306D5" w:rsidP="00D17BCB">
      <w:pPr>
        <w:jc w:val="center"/>
        <w:rPr>
          <w:szCs w:val="21"/>
        </w:rPr>
      </w:pPr>
    </w:p>
    <w:p w:rsidR="00E306D5" w:rsidRPr="00E306D5" w:rsidRDefault="00E306D5" w:rsidP="00D17BCB">
      <w:pPr>
        <w:jc w:val="center"/>
        <w:rPr>
          <w:szCs w:val="21"/>
        </w:rPr>
      </w:pPr>
    </w:p>
    <w:p w:rsidR="00E306D5" w:rsidRPr="00E306D5" w:rsidRDefault="00E306D5" w:rsidP="00D17BCB">
      <w:pPr>
        <w:jc w:val="center"/>
        <w:rPr>
          <w:szCs w:val="21"/>
        </w:rPr>
      </w:pPr>
    </w:p>
    <w:p w:rsidR="00E306D5" w:rsidRPr="00E306D5" w:rsidRDefault="00E306D5" w:rsidP="00D17BCB">
      <w:pPr>
        <w:jc w:val="center"/>
        <w:rPr>
          <w:szCs w:val="21"/>
        </w:rPr>
      </w:pPr>
    </w:p>
    <w:p w:rsidR="00E306D5" w:rsidRPr="00E306D5" w:rsidRDefault="00E306D5" w:rsidP="00D17BCB">
      <w:pPr>
        <w:jc w:val="center"/>
        <w:rPr>
          <w:szCs w:val="21"/>
        </w:rPr>
      </w:pPr>
    </w:p>
    <w:p w:rsidR="00E306D5" w:rsidRPr="00E306D5" w:rsidRDefault="00E306D5" w:rsidP="00D17BCB">
      <w:pPr>
        <w:jc w:val="center"/>
        <w:rPr>
          <w:szCs w:val="21"/>
        </w:rPr>
      </w:pPr>
    </w:p>
    <w:p w:rsidR="00E306D5" w:rsidRPr="00E306D5" w:rsidRDefault="00E306D5" w:rsidP="00D17BCB">
      <w:pPr>
        <w:jc w:val="center"/>
        <w:rPr>
          <w:szCs w:val="21"/>
        </w:rPr>
      </w:pPr>
    </w:p>
    <w:p w:rsidR="00E306D5" w:rsidRPr="00E306D5" w:rsidRDefault="00E306D5" w:rsidP="00D17BCB">
      <w:pPr>
        <w:jc w:val="center"/>
        <w:rPr>
          <w:szCs w:val="21"/>
        </w:rPr>
      </w:pPr>
    </w:p>
    <w:p w:rsidR="00E306D5" w:rsidRDefault="00E306D5" w:rsidP="00D17BCB">
      <w:pPr>
        <w:jc w:val="center"/>
        <w:rPr>
          <w:szCs w:val="21"/>
        </w:rPr>
      </w:pPr>
    </w:p>
    <w:p w:rsidR="00E306D5" w:rsidRPr="00FE0F0C" w:rsidRDefault="00E306D5" w:rsidP="00E306D5">
      <w:pPr>
        <w:autoSpaceDE w:val="0"/>
        <w:autoSpaceDN w:val="0"/>
        <w:adjustRightInd w:val="0"/>
        <w:jc w:val="left"/>
        <w:rPr>
          <w:rFonts w:ascii="宋体" w:cs="宋体"/>
          <w:kern w:val="0"/>
          <w:szCs w:val="21"/>
        </w:rPr>
      </w:pPr>
      <w:r>
        <w:rPr>
          <w:szCs w:val="21"/>
        </w:rPr>
        <w:tab/>
      </w:r>
      <w:r w:rsidR="00624C60">
        <w:rPr>
          <w:rFonts w:ascii="宋体" w:cs="宋体" w:hint="eastAsia"/>
          <w:kern w:val="0"/>
          <w:szCs w:val="21"/>
        </w:rPr>
        <w:t>由</w:t>
      </w:r>
      <w:r w:rsidRPr="00FE0F0C">
        <w:rPr>
          <w:rFonts w:ascii="宋体" w:cs="宋体" w:hint="eastAsia"/>
          <w:kern w:val="0"/>
          <w:szCs w:val="21"/>
        </w:rPr>
        <w:t>表</w:t>
      </w:r>
      <w:r w:rsidR="00624C60">
        <w:rPr>
          <w:rFonts w:ascii="宋体" w:cs="宋体" w:hint="eastAsia"/>
          <w:kern w:val="0"/>
          <w:szCs w:val="21"/>
        </w:rPr>
        <w:t>8和图4，我们可以看出</w:t>
      </w:r>
      <w:r w:rsidRPr="00FE0F0C">
        <w:rPr>
          <w:rFonts w:ascii="宋体" w:cs="宋体" w:hint="eastAsia"/>
          <w:kern w:val="0"/>
          <w:szCs w:val="21"/>
        </w:rPr>
        <w:t>：</w:t>
      </w:r>
    </w:p>
    <w:p w:rsidR="00E306D5" w:rsidRPr="00FE0F0C" w:rsidRDefault="00E306D5" w:rsidP="00624C60">
      <w:pPr>
        <w:autoSpaceDE w:val="0"/>
        <w:autoSpaceDN w:val="0"/>
        <w:adjustRightInd w:val="0"/>
        <w:ind w:firstLineChars="200" w:firstLine="420"/>
        <w:jc w:val="left"/>
        <w:rPr>
          <w:rFonts w:ascii="宋体" w:cs="宋体"/>
          <w:kern w:val="0"/>
          <w:szCs w:val="21"/>
        </w:rPr>
      </w:pPr>
      <w:r w:rsidRPr="00FE0F0C">
        <w:rPr>
          <w:kern w:val="0"/>
          <w:szCs w:val="21"/>
        </w:rPr>
        <w:t>1 .</w:t>
      </w:r>
      <w:r w:rsidRPr="00FE0F0C">
        <w:rPr>
          <w:rFonts w:ascii="宋体" w:cs="宋体" w:hint="eastAsia"/>
          <w:kern w:val="0"/>
          <w:szCs w:val="21"/>
        </w:rPr>
        <w:t>青岛海尔的应收账款周转速度略低于竞争对手，平均</w:t>
      </w:r>
      <w:r w:rsidRPr="00FE0F0C">
        <w:rPr>
          <w:kern w:val="0"/>
          <w:szCs w:val="21"/>
        </w:rPr>
        <w:t>21.78</w:t>
      </w:r>
      <w:r w:rsidRPr="00FE0F0C">
        <w:rPr>
          <w:rFonts w:ascii="宋体" w:cs="宋体" w:hint="eastAsia"/>
          <w:kern w:val="0"/>
          <w:szCs w:val="21"/>
        </w:rPr>
        <w:t>天可回收，其竞争对手的冋收期也都在</w:t>
      </w:r>
      <w:r w:rsidRPr="00FE0F0C">
        <w:rPr>
          <w:kern w:val="0"/>
          <w:szCs w:val="21"/>
        </w:rPr>
        <w:t>20</w:t>
      </w:r>
      <w:r w:rsidRPr="00FE0F0C">
        <w:rPr>
          <w:rFonts w:ascii="宋体" w:cs="宋体" w:hint="eastAsia"/>
          <w:kern w:val="0"/>
          <w:szCs w:val="21"/>
        </w:rPr>
        <w:t>天以上。但我们知道，青岛海尔</w:t>
      </w:r>
      <w:r w:rsidRPr="00FE0F0C">
        <w:rPr>
          <w:kern w:val="0"/>
          <w:szCs w:val="21"/>
        </w:rPr>
        <w:t>2005</w:t>
      </w:r>
      <w:r w:rsidRPr="00FE0F0C">
        <w:rPr>
          <w:rFonts w:ascii="宋体" w:cs="宋体" w:hint="eastAsia"/>
          <w:kern w:val="0"/>
          <w:szCs w:val="21"/>
        </w:rPr>
        <w:t>年的应收账款中约</w:t>
      </w:r>
      <w:r w:rsidRPr="00FE0F0C">
        <w:rPr>
          <w:kern w:val="0"/>
          <w:szCs w:val="21"/>
        </w:rPr>
        <w:t>94%</w:t>
      </w:r>
      <w:r w:rsidRPr="00FE0F0C">
        <w:rPr>
          <w:rFonts w:ascii="宋体" w:cs="宋体" w:hint="eastAsia"/>
          <w:kern w:val="0"/>
          <w:szCs w:val="21"/>
        </w:rPr>
        <w:t>是应收关联方款项，而</w:t>
      </w:r>
      <w:r w:rsidRPr="00FE0F0C">
        <w:rPr>
          <w:kern w:val="0"/>
          <w:szCs w:val="21"/>
        </w:rPr>
        <w:t>2005</w:t>
      </w:r>
      <w:r w:rsidRPr="00FE0F0C">
        <w:rPr>
          <w:rFonts w:ascii="宋体" w:cs="宋体" w:hint="eastAsia"/>
          <w:kern w:val="0"/>
          <w:szCs w:val="21"/>
        </w:rPr>
        <w:t>年美的电器和格力电器的这一比例分别为</w:t>
      </w:r>
      <w:r w:rsidRPr="00FE0F0C">
        <w:rPr>
          <w:kern w:val="0"/>
          <w:szCs w:val="21"/>
        </w:rPr>
        <w:t>9.88%</w:t>
      </w:r>
      <w:r w:rsidRPr="00FE0F0C">
        <w:rPr>
          <w:rFonts w:ascii="宋体" w:cs="宋体" w:hint="eastAsia"/>
          <w:kern w:val="0"/>
          <w:szCs w:val="21"/>
        </w:rPr>
        <w:t>和</w:t>
      </w:r>
      <w:r w:rsidRPr="00FE0F0C">
        <w:rPr>
          <w:kern w:val="0"/>
          <w:szCs w:val="21"/>
        </w:rPr>
        <w:t>2 .5 6 % ,</w:t>
      </w:r>
      <w:r w:rsidRPr="00FE0F0C">
        <w:rPr>
          <w:rFonts w:ascii="宋体" w:cs="宋体" w:hint="eastAsia"/>
          <w:kern w:val="0"/>
          <w:szCs w:val="21"/>
        </w:rPr>
        <w:t>远低于青岛海尔。显而易见，向</w:t>
      </w:r>
      <w:r w:rsidRPr="00FE0F0C">
        <w:rPr>
          <w:kern w:val="0"/>
          <w:szCs w:val="21"/>
        </w:rPr>
        <w:t xml:space="preserve">“ </w:t>
      </w:r>
      <w:r w:rsidRPr="00FE0F0C">
        <w:rPr>
          <w:rFonts w:ascii="宋体" w:cs="宋体" w:hint="eastAsia"/>
          <w:kern w:val="0"/>
          <w:szCs w:val="21"/>
        </w:rPr>
        <w:t>自家人</w:t>
      </w:r>
      <w:r w:rsidRPr="00FE0F0C">
        <w:rPr>
          <w:kern w:val="0"/>
          <w:szCs w:val="21"/>
        </w:rPr>
        <w:t xml:space="preserve">” </w:t>
      </w:r>
      <w:r w:rsidRPr="00FE0F0C">
        <w:rPr>
          <w:rFonts w:ascii="宋体" w:cs="宋体" w:hint="eastAsia"/>
          <w:kern w:val="0"/>
          <w:szCs w:val="21"/>
        </w:rPr>
        <w:t>催账和向</w:t>
      </w:r>
      <w:r w:rsidRPr="00FE0F0C">
        <w:rPr>
          <w:kern w:val="0"/>
          <w:szCs w:val="21"/>
        </w:rPr>
        <w:t>“</w:t>
      </w:r>
      <w:r w:rsidRPr="00FE0F0C">
        <w:rPr>
          <w:rFonts w:ascii="宋体" w:cs="宋体" w:hint="eastAsia"/>
          <w:kern w:val="0"/>
          <w:szCs w:val="21"/>
        </w:rPr>
        <w:t>外人”催账的难度是不一样的，再加上海尔集团每年末内部抵销掉数亿元的关联方往来款，也会在一定程度上提高了青岛海尔的应收账款周转速度。考虑到上述因素，青岛海尔的应收账款管理效率低于其竞争对手。</w:t>
      </w:r>
    </w:p>
    <w:p w:rsidR="00E306D5" w:rsidRPr="00FE0F0C" w:rsidRDefault="00E306D5" w:rsidP="00624C60">
      <w:pPr>
        <w:autoSpaceDE w:val="0"/>
        <w:autoSpaceDN w:val="0"/>
        <w:adjustRightInd w:val="0"/>
        <w:ind w:firstLineChars="200" w:firstLine="420"/>
        <w:jc w:val="left"/>
        <w:rPr>
          <w:rFonts w:ascii="宋体" w:cs="宋体"/>
          <w:kern w:val="0"/>
          <w:szCs w:val="21"/>
        </w:rPr>
      </w:pPr>
      <w:r w:rsidRPr="00FE0F0C">
        <w:rPr>
          <w:kern w:val="0"/>
          <w:szCs w:val="21"/>
        </w:rPr>
        <w:t>2 .</w:t>
      </w:r>
      <w:r w:rsidRPr="00FE0F0C">
        <w:rPr>
          <w:rFonts w:ascii="宋体" w:cs="宋体" w:hint="eastAsia"/>
          <w:kern w:val="0"/>
          <w:szCs w:val="21"/>
        </w:rPr>
        <w:t>青岛海尔的存货周转率远远高于竞争对手，</w:t>
      </w:r>
      <w:r w:rsidRPr="00FE0F0C">
        <w:rPr>
          <w:kern w:val="0"/>
          <w:szCs w:val="21"/>
        </w:rPr>
        <w:t>2005</w:t>
      </w:r>
      <w:r w:rsidRPr="00FE0F0C">
        <w:rPr>
          <w:rFonts w:ascii="宋体" w:cs="宋体" w:hint="eastAsia"/>
          <w:kern w:val="0"/>
          <w:szCs w:val="21"/>
        </w:rPr>
        <w:t>年美的电器和格力电器的存货平均要</w:t>
      </w:r>
      <w:r w:rsidRPr="00FE0F0C">
        <w:rPr>
          <w:kern w:val="0"/>
          <w:szCs w:val="21"/>
        </w:rPr>
        <w:t>78</w:t>
      </w:r>
      <w:r w:rsidRPr="00FE0F0C">
        <w:rPr>
          <w:rFonts w:ascii="宋体" w:cs="宋体" w:hint="eastAsia"/>
          <w:kern w:val="0"/>
          <w:szCs w:val="21"/>
        </w:rPr>
        <w:t>天左右才能销售出去，而育岛海尔只需不到</w:t>
      </w:r>
      <w:r w:rsidRPr="00FE0F0C">
        <w:rPr>
          <w:kern w:val="0"/>
          <w:szCs w:val="21"/>
        </w:rPr>
        <w:t>20</w:t>
      </w:r>
      <w:r w:rsidRPr="00FE0F0C">
        <w:rPr>
          <w:rFonts w:ascii="宋体" w:cs="宋体" w:hint="eastAsia"/>
          <w:kern w:val="0"/>
          <w:szCs w:val="21"/>
        </w:rPr>
        <w:t>天。这是否意味着靑岛海尔一直坚持的流程再造发挥了作用，或者是青岛海尔的产品热销？进一步分析青岛海尔的存货项目，我们发现产成品的数量上涨了三成多，从</w:t>
      </w:r>
      <w:r w:rsidRPr="00FE0F0C">
        <w:rPr>
          <w:kern w:val="0"/>
          <w:szCs w:val="21"/>
        </w:rPr>
        <w:t>2001</w:t>
      </w:r>
      <w:r w:rsidRPr="00FE0F0C">
        <w:rPr>
          <w:rFonts w:ascii="宋体" w:cs="宋体" w:hint="eastAsia"/>
          <w:kern w:val="0"/>
          <w:szCs w:val="21"/>
        </w:rPr>
        <w:t>年的</w:t>
      </w:r>
      <w:r w:rsidRPr="00FE0F0C">
        <w:rPr>
          <w:kern w:val="0"/>
          <w:szCs w:val="21"/>
        </w:rPr>
        <w:t>2 .3</w:t>
      </w:r>
      <w:r w:rsidRPr="00FE0F0C">
        <w:rPr>
          <w:rFonts w:ascii="宋体" w:cs="宋体" w:hint="eastAsia"/>
          <w:kern w:val="0"/>
          <w:szCs w:val="21"/>
        </w:rPr>
        <w:t>个亿上涨到</w:t>
      </w:r>
      <w:r w:rsidRPr="00FE0F0C">
        <w:rPr>
          <w:kern w:val="0"/>
          <w:szCs w:val="21"/>
        </w:rPr>
        <w:t>2005</w:t>
      </w:r>
      <w:r w:rsidRPr="00FE0F0C">
        <w:rPr>
          <w:rFonts w:ascii="宋体" w:cs="宋体" w:hint="eastAsia"/>
          <w:kern w:val="0"/>
          <w:szCs w:val="21"/>
        </w:rPr>
        <w:t>年的</w:t>
      </w:r>
      <w:r w:rsidRPr="00FE0F0C">
        <w:rPr>
          <w:kern w:val="0"/>
          <w:szCs w:val="21"/>
        </w:rPr>
        <w:t>5.22</w:t>
      </w:r>
      <w:r w:rsidRPr="00FE0F0C">
        <w:rPr>
          <w:rFonts w:ascii="宋体" w:cs="宋体" w:hint="eastAsia"/>
          <w:kern w:val="0"/>
          <w:szCs w:val="21"/>
        </w:rPr>
        <w:t>个亿，涨幅达到了</w:t>
      </w:r>
      <w:r w:rsidRPr="00FE0F0C">
        <w:rPr>
          <w:kern w:val="0"/>
          <w:szCs w:val="21"/>
        </w:rPr>
        <w:t>127</w:t>
      </w:r>
      <w:r w:rsidRPr="00FE0F0C">
        <w:rPr>
          <w:rFonts w:ascii="宋体" w:cs="宋体"/>
          <w:kern w:val="0"/>
          <w:szCs w:val="21"/>
        </w:rPr>
        <w:t xml:space="preserve">% , </w:t>
      </w:r>
      <w:r w:rsidRPr="00FE0F0C">
        <w:rPr>
          <w:rFonts w:ascii="宋体" w:cs="宋体" w:hint="eastAsia"/>
          <w:kern w:val="0"/>
          <w:szCs w:val="21"/>
        </w:rPr>
        <w:t>而且白家电市场的竞争日益惨烈，产品销售速度高出行业平均水平这么多也不太现实。而通过流程再造降低存货所采用的方法是通过客户定单来拉动整个供应链，因此</w:t>
      </w:r>
      <w:r w:rsidRPr="00FE0F0C">
        <w:rPr>
          <w:rFonts w:ascii="宋体" w:cs="宋体" w:hint="eastAsia"/>
          <w:kern w:val="0"/>
          <w:szCs w:val="21"/>
        </w:rPr>
        <w:lastRenderedPageBreak/>
        <w:t>首先降低的是产成品库存量，而不太可能出现产成品大幅度上升，在产品和原材料却下降的情况。综上分析，虽然青岛海尔的存货周转速度远高于竞争对手，但我们对其存货管理效率仍存有疑虑，特别是考虑到会计分析中提及青岛海尔的材料采购和产品销售均为关联方交易。海尔集团的</w:t>
      </w:r>
      <w:r w:rsidRPr="00FE0F0C">
        <w:rPr>
          <w:kern w:val="0"/>
          <w:szCs w:val="21"/>
        </w:rPr>
        <w:t>“</w:t>
      </w:r>
      <w:r w:rsidRPr="00FE0F0C">
        <w:rPr>
          <w:rFonts w:ascii="宋体" w:cs="宋体" w:hint="eastAsia"/>
          <w:kern w:val="0"/>
          <w:szCs w:val="21"/>
        </w:rPr>
        <w:t>统筹安排</w:t>
      </w:r>
      <w:r w:rsidRPr="00FE0F0C">
        <w:rPr>
          <w:kern w:val="0"/>
          <w:szCs w:val="21"/>
        </w:rPr>
        <w:t xml:space="preserve">” </w:t>
      </w:r>
      <w:r w:rsidRPr="00FE0F0C">
        <w:rPr>
          <w:rFonts w:ascii="宋体" w:cs="宋体" w:hint="eastAsia"/>
          <w:kern w:val="0"/>
          <w:szCs w:val="21"/>
        </w:rPr>
        <w:t>很容易对青岛海尔的存货周转速度造成重大影响。因此，存货周转速度难以成为衡量青岛海尔存货管理效率的有效指标。</w:t>
      </w:r>
    </w:p>
    <w:p w:rsidR="00E306D5" w:rsidRPr="00FE0F0C" w:rsidRDefault="00E306D5" w:rsidP="00624C60">
      <w:pPr>
        <w:autoSpaceDE w:val="0"/>
        <w:autoSpaceDN w:val="0"/>
        <w:adjustRightInd w:val="0"/>
        <w:ind w:firstLineChars="200" w:firstLine="420"/>
        <w:jc w:val="left"/>
        <w:rPr>
          <w:rFonts w:ascii="宋体" w:cs="宋体"/>
          <w:kern w:val="0"/>
          <w:szCs w:val="21"/>
        </w:rPr>
      </w:pPr>
      <w:r w:rsidRPr="00FE0F0C">
        <w:rPr>
          <w:kern w:val="0"/>
          <w:szCs w:val="21"/>
        </w:rPr>
        <w:t>3 .</w:t>
      </w:r>
      <w:r w:rsidRPr="00FE0F0C">
        <w:rPr>
          <w:rFonts w:ascii="宋体" w:cs="宋体" w:hint="eastAsia"/>
          <w:kern w:val="0"/>
          <w:szCs w:val="21"/>
        </w:rPr>
        <w:t>青岛海尔的应付账款周转率远远高于竞争对手。</w:t>
      </w:r>
      <w:r w:rsidRPr="00FE0F0C">
        <w:rPr>
          <w:kern w:val="0"/>
          <w:szCs w:val="21"/>
        </w:rPr>
        <w:t>2005</w:t>
      </w:r>
      <w:r w:rsidRPr="00FE0F0C">
        <w:rPr>
          <w:rFonts w:ascii="宋体" w:cs="宋体" w:hint="eastAsia"/>
          <w:kern w:val="0"/>
          <w:szCs w:val="21"/>
        </w:rPr>
        <w:t>年青岛海尔的应付账款周转率为</w:t>
      </w:r>
      <w:r w:rsidRPr="00FE0F0C">
        <w:rPr>
          <w:kern w:val="0"/>
          <w:szCs w:val="21"/>
        </w:rPr>
        <w:t>4 4 .2 8 ,</w:t>
      </w:r>
      <w:r w:rsidRPr="00FE0F0C">
        <w:rPr>
          <w:rFonts w:ascii="宋体" w:cs="宋体" w:hint="eastAsia"/>
          <w:kern w:val="0"/>
          <w:szCs w:val="21"/>
        </w:rPr>
        <w:t>而美的电器和格力电器分别为</w:t>
      </w:r>
      <w:r w:rsidRPr="00FE0F0C">
        <w:rPr>
          <w:kern w:val="0"/>
          <w:szCs w:val="21"/>
        </w:rPr>
        <w:t>5.46</w:t>
      </w:r>
      <w:r w:rsidRPr="00FE0F0C">
        <w:rPr>
          <w:rFonts w:ascii="宋体" w:cs="宋体" w:hint="eastAsia"/>
          <w:kern w:val="0"/>
          <w:szCs w:val="21"/>
        </w:rPr>
        <w:t>和</w:t>
      </w:r>
      <w:r w:rsidRPr="00FE0F0C">
        <w:rPr>
          <w:kern w:val="0"/>
          <w:szCs w:val="21"/>
        </w:rPr>
        <w:t>2.99</w:t>
      </w:r>
      <w:r w:rsidRPr="00FE0F0C">
        <w:rPr>
          <w:rFonts w:ascii="宋体" w:cs="宋体" w:hint="eastAsia"/>
          <w:kern w:val="0"/>
          <w:szCs w:val="21"/>
        </w:rPr>
        <w:t>。这说明青岛海尔没有充分利用应付账款这一成本极低的融资手段。</w:t>
      </w:r>
    </w:p>
    <w:p w:rsidR="00E306D5" w:rsidRPr="00FE0F0C" w:rsidRDefault="00E306D5" w:rsidP="00624C60">
      <w:pPr>
        <w:autoSpaceDE w:val="0"/>
        <w:autoSpaceDN w:val="0"/>
        <w:adjustRightInd w:val="0"/>
        <w:ind w:firstLineChars="200" w:firstLine="420"/>
        <w:jc w:val="left"/>
        <w:rPr>
          <w:rFonts w:ascii="宋体" w:cs="宋体"/>
          <w:kern w:val="0"/>
          <w:szCs w:val="21"/>
        </w:rPr>
      </w:pPr>
      <w:r w:rsidRPr="00FE0F0C">
        <w:rPr>
          <w:kern w:val="0"/>
          <w:szCs w:val="21"/>
        </w:rPr>
        <w:t>4 .</w:t>
      </w:r>
      <w:r w:rsidRPr="00FE0F0C">
        <w:rPr>
          <w:rFonts w:ascii="宋体" w:cs="宋体" w:hint="eastAsia"/>
          <w:kern w:val="0"/>
          <w:szCs w:val="21"/>
        </w:rPr>
        <w:t>虽然青岛海尔的应收账款周转速度和存货周转速度均高于竞争对手，但是由于没能充分利用应付账款这一商业信用，青岛海尔的营业营运资本周转率是最低的。格力电器出现负的营业资本周转率是由于其应付账款的平均值超过了应收账款平均值和存货平均值之和，这意味着由于格力电器较为充分地利用应付账款融资，自身无需垫付营业营运资本。</w:t>
      </w:r>
    </w:p>
    <w:p w:rsidR="00E306D5" w:rsidRPr="00FE0F0C" w:rsidRDefault="00E306D5" w:rsidP="00624C60">
      <w:pPr>
        <w:autoSpaceDE w:val="0"/>
        <w:autoSpaceDN w:val="0"/>
        <w:adjustRightInd w:val="0"/>
        <w:ind w:firstLineChars="200" w:firstLine="420"/>
        <w:jc w:val="left"/>
        <w:rPr>
          <w:kern w:val="0"/>
          <w:szCs w:val="21"/>
        </w:rPr>
      </w:pPr>
      <w:r w:rsidRPr="00FE0F0C">
        <w:rPr>
          <w:kern w:val="0"/>
          <w:szCs w:val="21"/>
        </w:rPr>
        <w:t>5 .</w:t>
      </w:r>
      <w:r w:rsidRPr="00FE0F0C">
        <w:rPr>
          <w:rFonts w:ascii="宋体" w:cs="宋体" w:hint="eastAsia"/>
          <w:kern w:val="0"/>
          <w:szCs w:val="21"/>
        </w:rPr>
        <w:t>青岛海尔的固定资产周转率和总资产周转率均略高于竞争对手。如前所述</w:t>
      </w:r>
      <w:r w:rsidRPr="00FE0F0C">
        <w:rPr>
          <w:kern w:val="0"/>
          <w:szCs w:val="21"/>
        </w:rPr>
        <w:t>,</w:t>
      </w:r>
      <w:r w:rsidRPr="00FE0F0C">
        <w:rPr>
          <w:rFonts w:ascii="宋体" w:cs="宋体" w:hint="eastAsia"/>
          <w:kern w:val="0"/>
          <w:szCs w:val="21"/>
        </w:rPr>
        <w:t>青岛海尔正是通过较快的资产周转速度弥补了其资产规模上的劣势。</w:t>
      </w:r>
    </w:p>
    <w:p w:rsidR="00C461FB" w:rsidRPr="00C461FB" w:rsidRDefault="00C461FB" w:rsidP="00C461FB">
      <w:pPr>
        <w:autoSpaceDE w:val="0"/>
        <w:autoSpaceDN w:val="0"/>
        <w:adjustRightInd w:val="0"/>
        <w:ind w:firstLineChars="196" w:firstLine="413"/>
        <w:jc w:val="left"/>
        <w:rPr>
          <w:rFonts w:ascii="宋体" w:cs="宋体"/>
          <w:b/>
          <w:kern w:val="0"/>
          <w:szCs w:val="21"/>
        </w:rPr>
      </w:pPr>
      <w:r w:rsidRPr="00C461FB">
        <w:rPr>
          <w:b/>
          <w:kern w:val="0"/>
          <w:szCs w:val="21"/>
        </w:rPr>
        <w:t>(</w:t>
      </w:r>
      <w:r w:rsidRPr="00C461FB">
        <w:rPr>
          <w:rFonts w:ascii="宋体" w:cs="宋体" w:hint="eastAsia"/>
          <w:b/>
          <w:kern w:val="0"/>
          <w:szCs w:val="21"/>
        </w:rPr>
        <w:t>四）财务管理效率分析</w:t>
      </w:r>
    </w:p>
    <w:p w:rsidR="00C461FB" w:rsidRPr="00FE0F0C" w:rsidRDefault="00C461FB" w:rsidP="00C461FB">
      <w:pPr>
        <w:autoSpaceDE w:val="0"/>
        <w:autoSpaceDN w:val="0"/>
        <w:adjustRightInd w:val="0"/>
        <w:ind w:firstLineChars="200" w:firstLine="420"/>
        <w:jc w:val="left"/>
        <w:rPr>
          <w:rFonts w:ascii="宋体" w:cs="宋体"/>
          <w:kern w:val="0"/>
          <w:szCs w:val="21"/>
        </w:rPr>
      </w:pPr>
      <w:r w:rsidRPr="00FE0F0C">
        <w:rPr>
          <w:rFonts w:ascii="宋体" w:cs="宋体" w:hint="eastAsia"/>
          <w:kern w:val="0"/>
          <w:szCs w:val="21"/>
        </w:rPr>
        <w:t>前面我们已经评估了青岛海尔的利润率和资产管理效率的高低，最后我们要评估青岛海尔的财务管理水平。财务管理水平主要体现在财务杠杆带来的效益和风险。在债务成本低于这些资金产生的收益时，财务杠杆就可以提高企业的净资产收益率，但同时也提高了企业的风险。在前述的杜邦分析中我们已经发现青岛海尔的净资产收益率低于竞争对手的重要原因就在于未能充分利用财务杠杆。接下来我们通过流动性比率和长期偿债比率来衡量三家公司的财务风险。</w:t>
      </w:r>
    </w:p>
    <w:p w:rsidR="00564C4F" w:rsidRDefault="005A6858" w:rsidP="005A6858">
      <w:pPr>
        <w:tabs>
          <w:tab w:val="left" w:pos="810"/>
        </w:tabs>
        <w:jc w:val="center"/>
        <w:rPr>
          <w:b/>
          <w:szCs w:val="21"/>
        </w:rPr>
      </w:pPr>
      <w:r w:rsidRPr="005A6858">
        <w:rPr>
          <w:rFonts w:hint="eastAsia"/>
          <w:b/>
          <w:szCs w:val="21"/>
        </w:rPr>
        <w:t>表</w:t>
      </w:r>
      <w:r w:rsidRPr="005A6858">
        <w:rPr>
          <w:rFonts w:hint="eastAsia"/>
          <w:b/>
          <w:szCs w:val="21"/>
        </w:rPr>
        <w:t>9</w:t>
      </w:r>
      <w:r w:rsidRPr="005A6858">
        <w:rPr>
          <w:rFonts w:hint="eastAsia"/>
          <w:b/>
          <w:szCs w:val="21"/>
        </w:rPr>
        <w:t>青岛海尔和格力电器流动性比率比较</w:t>
      </w:r>
    </w:p>
    <w:tbl>
      <w:tblPr>
        <w:tblStyle w:val="a3"/>
        <w:tblW w:w="0" w:type="auto"/>
        <w:tblLook w:val="01E0" w:firstRow="1" w:lastRow="1" w:firstColumn="1" w:lastColumn="1" w:noHBand="0" w:noVBand="0"/>
      </w:tblPr>
      <w:tblGrid>
        <w:gridCol w:w="2728"/>
        <w:gridCol w:w="933"/>
        <w:gridCol w:w="933"/>
        <w:gridCol w:w="933"/>
        <w:gridCol w:w="1384"/>
        <w:gridCol w:w="1385"/>
      </w:tblGrid>
      <w:tr w:rsidR="00D52612">
        <w:trPr>
          <w:trHeight w:val="158"/>
        </w:trPr>
        <w:tc>
          <w:tcPr>
            <w:tcW w:w="2840" w:type="dxa"/>
            <w:vMerge w:val="restart"/>
          </w:tcPr>
          <w:p w:rsidR="00D52612" w:rsidRDefault="00D52612" w:rsidP="00B11839">
            <w:pPr>
              <w:tabs>
                <w:tab w:val="left" w:pos="810"/>
              </w:tabs>
              <w:jc w:val="center"/>
              <w:rPr>
                <w:b/>
                <w:szCs w:val="21"/>
              </w:rPr>
            </w:pPr>
            <w:r>
              <w:rPr>
                <w:rFonts w:hint="eastAsia"/>
                <w:b/>
                <w:szCs w:val="21"/>
              </w:rPr>
              <w:t>项目</w:t>
            </w:r>
          </w:p>
        </w:tc>
        <w:tc>
          <w:tcPr>
            <w:tcW w:w="2841" w:type="dxa"/>
            <w:gridSpan w:val="3"/>
          </w:tcPr>
          <w:p w:rsidR="00D52612" w:rsidRDefault="00D52612" w:rsidP="00B11839">
            <w:pPr>
              <w:tabs>
                <w:tab w:val="left" w:pos="810"/>
              </w:tabs>
              <w:jc w:val="center"/>
              <w:rPr>
                <w:b/>
                <w:szCs w:val="21"/>
              </w:rPr>
            </w:pPr>
            <w:r>
              <w:rPr>
                <w:rFonts w:hint="eastAsia"/>
                <w:b/>
                <w:szCs w:val="21"/>
              </w:rPr>
              <w:t>青岛海尔</w:t>
            </w:r>
          </w:p>
        </w:tc>
        <w:tc>
          <w:tcPr>
            <w:tcW w:w="2841" w:type="dxa"/>
            <w:gridSpan w:val="2"/>
            <w:shd w:val="clear" w:color="auto" w:fill="auto"/>
          </w:tcPr>
          <w:p w:rsidR="00D52612" w:rsidRDefault="00D52612" w:rsidP="00B11839">
            <w:pPr>
              <w:tabs>
                <w:tab w:val="left" w:pos="810"/>
              </w:tabs>
              <w:jc w:val="center"/>
              <w:rPr>
                <w:b/>
                <w:szCs w:val="21"/>
              </w:rPr>
            </w:pPr>
            <w:r>
              <w:rPr>
                <w:rFonts w:hint="eastAsia"/>
                <w:b/>
                <w:szCs w:val="21"/>
              </w:rPr>
              <w:t>格力电器</w:t>
            </w:r>
          </w:p>
        </w:tc>
      </w:tr>
      <w:tr w:rsidR="00B11839">
        <w:trPr>
          <w:trHeight w:val="157"/>
        </w:trPr>
        <w:tc>
          <w:tcPr>
            <w:tcW w:w="2840" w:type="dxa"/>
            <w:vMerge/>
          </w:tcPr>
          <w:p w:rsidR="00B11839" w:rsidRDefault="00B11839" w:rsidP="00B11839">
            <w:pPr>
              <w:tabs>
                <w:tab w:val="left" w:pos="810"/>
              </w:tabs>
              <w:jc w:val="center"/>
              <w:rPr>
                <w:b/>
                <w:szCs w:val="21"/>
              </w:rPr>
            </w:pPr>
          </w:p>
        </w:tc>
        <w:tc>
          <w:tcPr>
            <w:tcW w:w="947" w:type="dxa"/>
            <w:shd w:val="clear" w:color="auto" w:fill="auto"/>
          </w:tcPr>
          <w:p w:rsidR="00B11839" w:rsidRDefault="00B11839" w:rsidP="00B11839">
            <w:pPr>
              <w:tabs>
                <w:tab w:val="left" w:pos="810"/>
              </w:tabs>
              <w:jc w:val="center"/>
              <w:rPr>
                <w:b/>
                <w:szCs w:val="21"/>
              </w:rPr>
            </w:pPr>
            <w:r>
              <w:rPr>
                <w:rFonts w:hint="eastAsia"/>
                <w:b/>
                <w:szCs w:val="21"/>
              </w:rPr>
              <w:t>2003</w:t>
            </w:r>
            <w:r>
              <w:rPr>
                <w:rFonts w:hint="eastAsia"/>
                <w:b/>
                <w:szCs w:val="21"/>
              </w:rPr>
              <w:t>年</w:t>
            </w:r>
          </w:p>
        </w:tc>
        <w:tc>
          <w:tcPr>
            <w:tcW w:w="947" w:type="dxa"/>
            <w:shd w:val="clear" w:color="auto" w:fill="auto"/>
          </w:tcPr>
          <w:p w:rsidR="00B11839" w:rsidRDefault="00B11839" w:rsidP="00B11839">
            <w:pPr>
              <w:tabs>
                <w:tab w:val="left" w:pos="810"/>
              </w:tabs>
              <w:jc w:val="center"/>
              <w:rPr>
                <w:b/>
                <w:szCs w:val="21"/>
              </w:rPr>
            </w:pPr>
            <w:r>
              <w:rPr>
                <w:rFonts w:hint="eastAsia"/>
                <w:b/>
                <w:szCs w:val="21"/>
              </w:rPr>
              <w:t>2004</w:t>
            </w:r>
            <w:r>
              <w:rPr>
                <w:rFonts w:hint="eastAsia"/>
                <w:b/>
                <w:szCs w:val="21"/>
              </w:rPr>
              <w:t>年</w:t>
            </w:r>
          </w:p>
        </w:tc>
        <w:tc>
          <w:tcPr>
            <w:tcW w:w="947" w:type="dxa"/>
            <w:shd w:val="clear" w:color="auto" w:fill="auto"/>
          </w:tcPr>
          <w:p w:rsidR="00B11839" w:rsidRDefault="00B11839" w:rsidP="00B11839">
            <w:pPr>
              <w:tabs>
                <w:tab w:val="left" w:pos="810"/>
              </w:tabs>
              <w:jc w:val="center"/>
              <w:rPr>
                <w:b/>
                <w:szCs w:val="21"/>
              </w:rPr>
            </w:pPr>
            <w:r>
              <w:rPr>
                <w:rFonts w:hint="eastAsia"/>
                <w:b/>
                <w:szCs w:val="21"/>
              </w:rPr>
              <w:t>2005</w:t>
            </w:r>
            <w:r>
              <w:rPr>
                <w:rFonts w:hint="eastAsia"/>
                <w:b/>
                <w:szCs w:val="21"/>
              </w:rPr>
              <w:t>年</w:t>
            </w:r>
          </w:p>
        </w:tc>
        <w:tc>
          <w:tcPr>
            <w:tcW w:w="1420" w:type="dxa"/>
            <w:shd w:val="clear" w:color="auto" w:fill="auto"/>
          </w:tcPr>
          <w:p w:rsidR="00B11839" w:rsidRDefault="00B11839" w:rsidP="00B11839">
            <w:pPr>
              <w:tabs>
                <w:tab w:val="left" w:pos="810"/>
              </w:tabs>
              <w:jc w:val="center"/>
              <w:rPr>
                <w:b/>
                <w:szCs w:val="21"/>
              </w:rPr>
            </w:pPr>
            <w:r>
              <w:rPr>
                <w:rFonts w:hint="eastAsia"/>
                <w:b/>
                <w:szCs w:val="21"/>
              </w:rPr>
              <w:t>2004</w:t>
            </w:r>
            <w:r>
              <w:rPr>
                <w:rFonts w:hint="eastAsia"/>
                <w:b/>
                <w:szCs w:val="21"/>
              </w:rPr>
              <w:t>年</w:t>
            </w:r>
          </w:p>
        </w:tc>
        <w:tc>
          <w:tcPr>
            <w:tcW w:w="1421" w:type="dxa"/>
            <w:shd w:val="clear" w:color="auto" w:fill="auto"/>
          </w:tcPr>
          <w:p w:rsidR="00B11839" w:rsidRDefault="00B11839" w:rsidP="00B11839">
            <w:pPr>
              <w:jc w:val="center"/>
              <w:rPr>
                <w:b/>
                <w:szCs w:val="21"/>
              </w:rPr>
            </w:pPr>
            <w:r>
              <w:rPr>
                <w:rFonts w:hint="eastAsia"/>
                <w:b/>
                <w:szCs w:val="21"/>
              </w:rPr>
              <w:t>2005</w:t>
            </w:r>
            <w:r>
              <w:rPr>
                <w:rFonts w:hint="eastAsia"/>
                <w:b/>
                <w:szCs w:val="21"/>
              </w:rPr>
              <w:t>年</w:t>
            </w:r>
          </w:p>
        </w:tc>
      </w:tr>
      <w:tr w:rsidR="00B11839">
        <w:tc>
          <w:tcPr>
            <w:tcW w:w="2840" w:type="dxa"/>
          </w:tcPr>
          <w:p w:rsidR="00B11839" w:rsidRDefault="00B11839" w:rsidP="00B11839">
            <w:pPr>
              <w:tabs>
                <w:tab w:val="left" w:pos="810"/>
              </w:tabs>
              <w:jc w:val="center"/>
              <w:rPr>
                <w:b/>
                <w:szCs w:val="21"/>
              </w:rPr>
            </w:pPr>
            <w:r>
              <w:rPr>
                <w:rFonts w:hint="eastAsia"/>
                <w:b/>
                <w:szCs w:val="21"/>
              </w:rPr>
              <w:t>流动比率</w:t>
            </w:r>
          </w:p>
        </w:tc>
        <w:tc>
          <w:tcPr>
            <w:tcW w:w="947" w:type="dxa"/>
            <w:shd w:val="clear" w:color="auto" w:fill="auto"/>
          </w:tcPr>
          <w:p w:rsidR="00B11839" w:rsidRPr="00020012" w:rsidRDefault="00B11839" w:rsidP="00B11839">
            <w:pPr>
              <w:jc w:val="center"/>
              <w:rPr>
                <w:kern w:val="0"/>
                <w:sz w:val="20"/>
                <w:szCs w:val="20"/>
              </w:rPr>
            </w:pPr>
            <w:r w:rsidRPr="00020012">
              <w:rPr>
                <w:kern w:val="0"/>
                <w:sz w:val="20"/>
                <w:szCs w:val="20"/>
              </w:rPr>
              <w:t>2.89</w:t>
            </w:r>
          </w:p>
        </w:tc>
        <w:tc>
          <w:tcPr>
            <w:tcW w:w="947" w:type="dxa"/>
            <w:shd w:val="clear" w:color="auto" w:fill="auto"/>
          </w:tcPr>
          <w:p w:rsidR="00B11839" w:rsidRPr="00020012" w:rsidRDefault="00B11839" w:rsidP="00B11839">
            <w:pPr>
              <w:jc w:val="center"/>
              <w:rPr>
                <w:kern w:val="0"/>
                <w:sz w:val="20"/>
                <w:szCs w:val="20"/>
              </w:rPr>
            </w:pPr>
            <w:r w:rsidRPr="00020012">
              <w:rPr>
                <w:kern w:val="0"/>
                <w:sz w:val="20"/>
                <w:szCs w:val="20"/>
              </w:rPr>
              <w:t>5.05</w:t>
            </w:r>
          </w:p>
        </w:tc>
        <w:tc>
          <w:tcPr>
            <w:tcW w:w="947" w:type="dxa"/>
            <w:shd w:val="clear" w:color="auto" w:fill="auto"/>
          </w:tcPr>
          <w:p w:rsidR="00B11839" w:rsidRDefault="00B11839" w:rsidP="00B11839">
            <w:pPr>
              <w:jc w:val="center"/>
            </w:pPr>
            <w:r w:rsidRPr="00020012">
              <w:rPr>
                <w:kern w:val="0"/>
                <w:sz w:val="20"/>
                <w:szCs w:val="20"/>
              </w:rPr>
              <w:t>5.33</w:t>
            </w:r>
          </w:p>
        </w:tc>
        <w:tc>
          <w:tcPr>
            <w:tcW w:w="1420" w:type="dxa"/>
            <w:shd w:val="clear" w:color="auto" w:fill="auto"/>
          </w:tcPr>
          <w:p w:rsidR="00B11839" w:rsidRPr="00C82B8B" w:rsidRDefault="00B11839" w:rsidP="00B11839">
            <w:pPr>
              <w:jc w:val="center"/>
              <w:rPr>
                <w:kern w:val="0"/>
                <w:sz w:val="20"/>
                <w:szCs w:val="20"/>
              </w:rPr>
            </w:pPr>
            <w:r w:rsidRPr="00C82B8B">
              <w:rPr>
                <w:kern w:val="0"/>
                <w:sz w:val="20"/>
                <w:szCs w:val="20"/>
              </w:rPr>
              <w:t>1.02</w:t>
            </w:r>
          </w:p>
        </w:tc>
        <w:tc>
          <w:tcPr>
            <w:tcW w:w="1421" w:type="dxa"/>
            <w:shd w:val="clear" w:color="auto" w:fill="auto"/>
          </w:tcPr>
          <w:p w:rsidR="00B11839" w:rsidRDefault="00B11839" w:rsidP="00B11839">
            <w:pPr>
              <w:jc w:val="center"/>
            </w:pPr>
            <w:r w:rsidRPr="00C82B8B">
              <w:rPr>
                <w:kern w:val="0"/>
                <w:sz w:val="20"/>
                <w:szCs w:val="20"/>
              </w:rPr>
              <w:t>0.99</w:t>
            </w:r>
          </w:p>
        </w:tc>
      </w:tr>
      <w:tr w:rsidR="00B11839">
        <w:tc>
          <w:tcPr>
            <w:tcW w:w="2840" w:type="dxa"/>
          </w:tcPr>
          <w:p w:rsidR="00B11839" w:rsidRDefault="00B11839" w:rsidP="00B11839">
            <w:pPr>
              <w:tabs>
                <w:tab w:val="left" w:pos="810"/>
              </w:tabs>
              <w:jc w:val="center"/>
              <w:rPr>
                <w:b/>
                <w:szCs w:val="21"/>
              </w:rPr>
            </w:pPr>
            <w:r>
              <w:rPr>
                <w:rFonts w:hint="eastAsia"/>
                <w:b/>
                <w:szCs w:val="21"/>
              </w:rPr>
              <w:t>速动比率</w:t>
            </w:r>
          </w:p>
        </w:tc>
        <w:tc>
          <w:tcPr>
            <w:tcW w:w="947" w:type="dxa"/>
            <w:shd w:val="clear" w:color="auto" w:fill="auto"/>
          </w:tcPr>
          <w:p w:rsidR="00B11839" w:rsidRPr="005550E9" w:rsidRDefault="00B11839" w:rsidP="00B11839">
            <w:pPr>
              <w:jc w:val="center"/>
              <w:rPr>
                <w:kern w:val="0"/>
                <w:sz w:val="20"/>
                <w:szCs w:val="20"/>
              </w:rPr>
            </w:pPr>
            <w:r w:rsidRPr="005550E9">
              <w:rPr>
                <w:kern w:val="0"/>
                <w:sz w:val="20"/>
                <w:szCs w:val="20"/>
              </w:rPr>
              <w:t>1.76</w:t>
            </w:r>
          </w:p>
        </w:tc>
        <w:tc>
          <w:tcPr>
            <w:tcW w:w="947" w:type="dxa"/>
            <w:shd w:val="clear" w:color="auto" w:fill="auto"/>
          </w:tcPr>
          <w:p w:rsidR="00B11839" w:rsidRPr="005550E9" w:rsidRDefault="00B11839" w:rsidP="00B11839">
            <w:pPr>
              <w:jc w:val="center"/>
              <w:rPr>
                <w:kern w:val="0"/>
                <w:sz w:val="20"/>
                <w:szCs w:val="20"/>
              </w:rPr>
            </w:pPr>
            <w:r w:rsidRPr="005550E9">
              <w:rPr>
                <w:kern w:val="0"/>
                <w:sz w:val="20"/>
                <w:szCs w:val="20"/>
              </w:rPr>
              <w:t>3.28</w:t>
            </w:r>
          </w:p>
        </w:tc>
        <w:tc>
          <w:tcPr>
            <w:tcW w:w="947" w:type="dxa"/>
            <w:shd w:val="clear" w:color="auto" w:fill="auto"/>
          </w:tcPr>
          <w:p w:rsidR="00B11839" w:rsidRDefault="00B11839" w:rsidP="00B11839">
            <w:pPr>
              <w:jc w:val="center"/>
            </w:pPr>
            <w:r w:rsidRPr="005550E9">
              <w:rPr>
                <w:kern w:val="0"/>
                <w:sz w:val="20"/>
                <w:szCs w:val="20"/>
              </w:rPr>
              <w:t>3.81</w:t>
            </w:r>
          </w:p>
        </w:tc>
        <w:tc>
          <w:tcPr>
            <w:tcW w:w="1420" w:type="dxa"/>
            <w:shd w:val="clear" w:color="auto" w:fill="auto"/>
          </w:tcPr>
          <w:p w:rsidR="00B11839" w:rsidRPr="00DD5E83" w:rsidRDefault="00B11839" w:rsidP="00B11839">
            <w:pPr>
              <w:jc w:val="center"/>
              <w:rPr>
                <w:kern w:val="0"/>
                <w:sz w:val="20"/>
                <w:szCs w:val="20"/>
              </w:rPr>
            </w:pPr>
            <w:r w:rsidRPr="00DD5E83">
              <w:rPr>
                <w:kern w:val="0"/>
                <w:sz w:val="20"/>
                <w:szCs w:val="20"/>
              </w:rPr>
              <w:t>0.56</w:t>
            </w:r>
          </w:p>
        </w:tc>
        <w:tc>
          <w:tcPr>
            <w:tcW w:w="1421" w:type="dxa"/>
            <w:shd w:val="clear" w:color="auto" w:fill="auto"/>
          </w:tcPr>
          <w:p w:rsidR="00B11839" w:rsidRDefault="00B11839" w:rsidP="00B11839">
            <w:pPr>
              <w:jc w:val="center"/>
            </w:pPr>
            <w:r w:rsidRPr="00DD5E83">
              <w:rPr>
                <w:kern w:val="0"/>
                <w:sz w:val="20"/>
                <w:szCs w:val="20"/>
              </w:rPr>
              <w:t>0.56</w:t>
            </w:r>
          </w:p>
        </w:tc>
      </w:tr>
      <w:tr w:rsidR="00B11839">
        <w:tc>
          <w:tcPr>
            <w:tcW w:w="2840" w:type="dxa"/>
          </w:tcPr>
          <w:p w:rsidR="00B11839" w:rsidRDefault="00B11839" w:rsidP="00B11839">
            <w:pPr>
              <w:tabs>
                <w:tab w:val="left" w:pos="810"/>
              </w:tabs>
              <w:jc w:val="center"/>
              <w:rPr>
                <w:b/>
                <w:szCs w:val="21"/>
              </w:rPr>
            </w:pPr>
            <w:r>
              <w:rPr>
                <w:rFonts w:hint="eastAsia"/>
                <w:b/>
                <w:szCs w:val="21"/>
              </w:rPr>
              <w:t>现金比率</w:t>
            </w:r>
          </w:p>
        </w:tc>
        <w:tc>
          <w:tcPr>
            <w:tcW w:w="947" w:type="dxa"/>
            <w:shd w:val="clear" w:color="auto" w:fill="auto"/>
          </w:tcPr>
          <w:p w:rsidR="00B11839" w:rsidRPr="00B04774" w:rsidRDefault="00B11839" w:rsidP="00B11839">
            <w:pPr>
              <w:jc w:val="center"/>
              <w:rPr>
                <w:kern w:val="0"/>
                <w:sz w:val="20"/>
                <w:szCs w:val="20"/>
              </w:rPr>
            </w:pPr>
            <w:r w:rsidRPr="00B04774">
              <w:rPr>
                <w:kern w:val="0"/>
                <w:sz w:val="20"/>
                <w:szCs w:val="20"/>
              </w:rPr>
              <w:t>0.61</w:t>
            </w:r>
          </w:p>
        </w:tc>
        <w:tc>
          <w:tcPr>
            <w:tcW w:w="947" w:type="dxa"/>
            <w:shd w:val="clear" w:color="auto" w:fill="auto"/>
          </w:tcPr>
          <w:p w:rsidR="00B11839" w:rsidRPr="00B04774" w:rsidRDefault="00B11839" w:rsidP="00B11839">
            <w:pPr>
              <w:jc w:val="center"/>
              <w:rPr>
                <w:kern w:val="0"/>
                <w:sz w:val="20"/>
                <w:szCs w:val="20"/>
              </w:rPr>
            </w:pPr>
            <w:r w:rsidRPr="00B04774">
              <w:rPr>
                <w:kern w:val="0"/>
                <w:sz w:val="20"/>
                <w:szCs w:val="20"/>
              </w:rPr>
              <w:t>0.91</w:t>
            </w:r>
          </w:p>
        </w:tc>
        <w:tc>
          <w:tcPr>
            <w:tcW w:w="947" w:type="dxa"/>
            <w:shd w:val="clear" w:color="auto" w:fill="auto"/>
          </w:tcPr>
          <w:p w:rsidR="00B11839" w:rsidRDefault="00B11839" w:rsidP="00B11839">
            <w:pPr>
              <w:jc w:val="center"/>
            </w:pPr>
            <w:r w:rsidRPr="00B04774">
              <w:rPr>
                <w:kern w:val="0"/>
                <w:sz w:val="20"/>
                <w:szCs w:val="20"/>
              </w:rPr>
              <w:t>0.93</w:t>
            </w:r>
          </w:p>
        </w:tc>
        <w:tc>
          <w:tcPr>
            <w:tcW w:w="1420" w:type="dxa"/>
            <w:shd w:val="clear" w:color="auto" w:fill="auto"/>
          </w:tcPr>
          <w:p w:rsidR="00B11839" w:rsidRPr="001D669F" w:rsidRDefault="00B11839" w:rsidP="00B11839">
            <w:pPr>
              <w:jc w:val="center"/>
              <w:rPr>
                <w:kern w:val="0"/>
                <w:sz w:val="20"/>
                <w:szCs w:val="20"/>
              </w:rPr>
            </w:pPr>
            <w:r w:rsidRPr="001D669F">
              <w:rPr>
                <w:kern w:val="0"/>
                <w:sz w:val="20"/>
                <w:szCs w:val="20"/>
              </w:rPr>
              <w:t>0.06</w:t>
            </w:r>
          </w:p>
        </w:tc>
        <w:tc>
          <w:tcPr>
            <w:tcW w:w="1421" w:type="dxa"/>
            <w:shd w:val="clear" w:color="auto" w:fill="auto"/>
          </w:tcPr>
          <w:p w:rsidR="00B11839" w:rsidRDefault="00B11839" w:rsidP="00B11839">
            <w:pPr>
              <w:jc w:val="center"/>
            </w:pPr>
            <w:r w:rsidRPr="001D669F">
              <w:rPr>
                <w:kern w:val="0"/>
                <w:sz w:val="20"/>
                <w:szCs w:val="20"/>
              </w:rPr>
              <w:t>0.06</w:t>
            </w:r>
          </w:p>
        </w:tc>
      </w:tr>
      <w:tr w:rsidR="00B11839">
        <w:tc>
          <w:tcPr>
            <w:tcW w:w="2840" w:type="dxa"/>
          </w:tcPr>
          <w:p w:rsidR="00B11839" w:rsidRDefault="00B11839" w:rsidP="00B11839">
            <w:pPr>
              <w:tabs>
                <w:tab w:val="left" w:pos="810"/>
              </w:tabs>
              <w:jc w:val="center"/>
              <w:rPr>
                <w:b/>
                <w:szCs w:val="21"/>
              </w:rPr>
            </w:pPr>
            <w:r>
              <w:rPr>
                <w:rFonts w:hint="eastAsia"/>
                <w:b/>
                <w:szCs w:val="21"/>
              </w:rPr>
              <w:t>经营现金比率</w:t>
            </w:r>
          </w:p>
        </w:tc>
        <w:tc>
          <w:tcPr>
            <w:tcW w:w="947" w:type="dxa"/>
            <w:shd w:val="clear" w:color="auto" w:fill="auto"/>
          </w:tcPr>
          <w:p w:rsidR="00B11839" w:rsidRPr="00540083" w:rsidRDefault="00B11839" w:rsidP="00B11839">
            <w:pPr>
              <w:jc w:val="center"/>
              <w:rPr>
                <w:kern w:val="0"/>
                <w:sz w:val="20"/>
                <w:szCs w:val="20"/>
              </w:rPr>
            </w:pPr>
            <w:r w:rsidRPr="00540083">
              <w:rPr>
                <w:kern w:val="0"/>
                <w:sz w:val="20"/>
                <w:szCs w:val="20"/>
              </w:rPr>
              <w:t>0.31</w:t>
            </w:r>
          </w:p>
        </w:tc>
        <w:tc>
          <w:tcPr>
            <w:tcW w:w="947" w:type="dxa"/>
            <w:shd w:val="clear" w:color="auto" w:fill="auto"/>
          </w:tcPr>
          <w:p w:rsidR="00B11839" w:rsidRPr="00540083" w:rsidRDefault="00B11839" w:rsidP="00B11839">
            <w:pPr>
              <w:jc w:val="center"/>
              <w:rPr>
                <w:kern w:val="0"/>
                <w:sz w:val="20"/>
                <w:szCs w:val="20"/>
              </w:rPr>
            </w:pPr>
            <w:r w:rsidRPr="00540083">
              <w:rPr>
                <w:kern w:val="0"/>
                <w:sz w:val="20"/>
                <w:szCs w:val="20"/>
              </w:rPr>
              <w:t>0.94</w:t>
            </w:r>
          </w:p>
        </w:tc>
        <w:tc>
          <w:tcPr>
            <w:tcW w:w="947" w:type="dxa"/>
            <w:shd w:val="clear" w:color="auto" w:fill="auto"/>
          </w:tcPr>
          <w:p w:rsidR="00B11839" w:rsidRDefault="00B11839" w:rsidP="00B11839">
            <w:pPr>
              <w:jc w:val="center"/>
            </w:pPr>
            <w:r w:rsidRPr="00540083">
              <w:rPr>
                <w:kern w:val="0"/>
                <w:sz w:val="20"/>
                <w:szCs w:val="20"/>
              </w:rPr>
              <w:t>0.65</w:t>
            </w:r>
          </w:p>
        </w:tc>
        <w:tc>
          <w:tcPr>
            <w:tcW w:w="1420" w:type="dxa"/>
            <w:shd w:val="clear" w:color="auto" w:fill="auto"/>
          </w:tcPr>
          <w:p w:rsidR="00B11839" w:rsidRPr="00603C5D" w:rsidRDefault="00B11839" w:rsidP="00B11839">
            <w:pPr>
              <w:jc w:val="center"/>
              <w:rPr>
                <w:kern w:val="0"/>
                <w:sz w:val="20"/>
                <w:szCs w:val="20"/>
              </w:rPr>
            </w:pPr>
            <w:r w:rsidRPr="00603C5D">
              <w:rPr>
                <w:kern w:val="0"/>
                <w:sz w:val="20"/>
                <w:szCs w:val="20"/>
              </w:rPr>
              <w:t>0.01</w:t>
            </w:r>
          </w:p>
        </w:tc>
        <w:tc>
          <w:tcPr>
            <w:tcW w:w="1421" w:type="dxa"/>
            <w:shd w:val="clear" w:color="auto" w:fill="auto"/>
          </w:tcPr>
          <w:p w:rsidR="00B11839" w:rsidRDefault="00B11839" w:rsidP="00B11839">
            <w:pPr>
              <w:jc w:val="center"/>
            </w:pPr>
            <w:r w:rsidRPr="00603C5D">
              <w:rPr>
                <w:kern w:val="0"/>
                <w:sz w:val="20"/>
                <w:szCs w:val="20"/>
              </w:rPr>
              <w:t>0.08</w:t>
            </w:r>
          </w:p>
        </w:tc>
      </w:tr>
    </w:tbl>
    <w:p w:rsidR="000A12EC" w:rsidRPr="00FE0F0C" w:rsidRDefault="000A12EC" w:rsidP="00E46B3C">
      <w:pPr>
        <w:autoSpaceDE w:val="0"/>
        <w:autoSpaceDN w:val="0"/>
        <w:adjustRightInd w:val="0"/>
        <w:ind w:firstLineChars="200" w:firstLine="420"/>
        <w:jc w:val="left"/>
        <w:rPr>
          <w:rFonts w:ascii="宋体" w:cs="宋体"/>
          <w:kern w:val="0"/>
          <w:szCs w:val="21"/>
        </w:rPr>
      </w:pPr>
      <w:r w:rsidRPr="00FE0F0C">
        <w:rPr>
          <w:rFonts w:ascii="宋体" w:cs="宋体" w:hint="eastAsia"/>
          <w:kern w:val="0"/>
          <w:szCs w:val="21"/>
        </w:rPr>
        <w:t>由表</w:t>
      </w:r>
      <w:r>
        <w:rPr>
          <w:rFonts w:hint="eastAsia"/>
          <w:kern w:val="0"/>
          <w:szCs w:val="21"/>
        </w:rPr>
        <w:t>9</w:t>
      </w:r>
      <w:r w:rsidRPr="00FE0F0C">
        <w:rPr>
          <w:rFonts w:ascii="宋体" w:cs="宋体" w:hint="eastAsia"/>
          <w:kern w:val="0"/>
          <w:szCs w:val="21"/>
        </w:rPr>
        <w:t>可见，青岛海尔的各项流动性比率指标均远远高于竞争对手，显示出青岛海尔具有较强的短期偿债能力，这是由于青岛海尔的流动负债规模极小</w:t>
      </w:r>
      <w:r w:rsidRPr="00FE0F0C">
        <w:rPr>
          <w:kern w:val="0"/>
          <w:szCs w:val="21"/>
        </w:rPr>
        <w:t>,2005</w:t>
      </w:r>
      <w:r w:rsidRPr="00FE0F0C">
        <w:rPr>
          <w:rFonts w:ascii="宋体" w:cs="宋体" w:hint="eastAsia"/>
          <w:kern w:val="0"/>
          <w:szCs w:val="21"/>
        </w:rPr>
        <w:t>年末青岛海尔的流动负债分别仅为美的电器和格力电器的</w:t>
      </w:r>
      <w:r w:rsidRPr="00FE0F0C">
        <w:rPr>
          <w:kern w:val="0"/>
          <w:szCs w:val="21"/>
        </w:rPr>
        <w:t>12.7%</w:t>
      </w:r>
      <w:r w:rsidRPr="00FE0F0C">
        <w:rPr>
          <w:rFonts w:ascii="宋体" w:cs="宋体" w:hint="eastAsia"/>
          <w:kern w:val="0"/>
          <w:szCs w:val="21"/>
        </w:rPr>
        <w:t>和</w:t>
      </w:r>
      <w:r w:rsidRPr="00FE0F0C">
        <w:rPr>
          <w:kern w:val="0"/>
          <w:szCs w:val="21"/>
        </w:rPr>
        <w:t>7.3</w:t>
      </w:r>
      <w:r w:rsidRPr="00FE0F0C">
        <w:rPr>
          <w:rFonts w:ascii="宋体" w:cs="宋体"/>
          <w:kern w:val="0"/>
          <w:szCs w:val="21"/>
        </w:rPr>
        <w:t xml:space="preserve">% </w:t>
      </w:r>
      <w:r w:rsidRPr="00FE0F0C">
        <w:rPr>
          <w:rFonts w:ascii="宋体" w:cs="宋体" w:hint="eastAsia"/>
          <w:kern w:val="0"/>
          <w:szCs w:val="21"/>
        </w:rPr>
        <w:t>。此外，我们注意到青岛海尔</w:t>
      </w:r>
      <w:r w:rsidRPr="00FE0F0C">
        <w:rPr>
          <w:kern w:val="0"/>
          <w:szCs w:val="21"/>
        </w:rPr>
        <w:t>2005</w:t>
      </w:r>
      <w:r w:rsidRPr="00FE0F0C">
        <w:rPr>
          <w:rFonts w:ascii="宋体" w:cs="宋体" w:hint="eastAsia"/>
          <w:kern w:val="0"/>
          <w:szCs w:val="21"/>
        </w:rPr>
        <w:t>年的流动性指标比</w:t>
      </w:r>
      <w:r w:rsidRPr="00FE0F0C">
        <w:rPr>
          <w:kern w:val="0"/>
          <w:szCs w:val="21"/>
        </w:rPr>
        <w:t>2003</w:t>
      </w:r>
      <w:r w:rsidRPr="00FE0F0C">
        <w:rPr>
          <w:rFonts w:ascii="宋体" w:cs="宋体" w:hint="eastAsia"/>
          <w:kern w:val="0"/>
          <w:szCs w:val="21"/>
        </w:rPr>
        <w:t>年提高了许多，其主要原因是</w:t>
      </w:r>
      <w:r w:rsidRPr="00FE0F0C">
        <w:rPr>
          <w:kern w:val="0"/>
          <w:szCs w:val="21"/>
        </w:rPr>
        <w:t>2003</w:t>
      </w:r>
      <w:r w:rsidRPr="00FE0F0C">
        <w:rPr>
          <w:rFonts w:ascii="宋体" w:cs="宋体" w:hint="eastAsia"/>
          <w:kern w:val="0"/>
          <w:szCs w:val="21"/>
        </w:rPr>
        <w:t>年后青岛海尔的流动负债持续下降，</w:t>
      </w:r>
      <w:r w:rsidRPr="00FE0F0C">
        <w:rPr>
          <w:kern w:val="0"/>
          <w:szCs w:val="21"/>
        </w:rPr>
        <w:t>2005</w:t>
      </w:r>
      <w:r w:rsidRPr="00FE0F0C">
        <w:rPr>
          <w:rFonts w:ascii="宋体" w:cs="宋体" w:hint="eastAsia"/>
          <w:kern w:val="0"/>
          <w:szCs w:val="21"/>
        </w:rPr>
        <w:t>年末流动负债仅约</w:t>
      </w:r>
      <w:r w:rsidRPr="00FE0F0C">
        <w:rPr>
          <w:kern w:val="0"/>
          <w:szCs w:val="21"/>
        </w:rPr>
        <w:t>2003</w:t>
      </w:r>
      <w:r w:rsidRPr="00FE0F0C">
        <w:rPr>
          <w:rFonts w:ascii="宋体" w:cs="宋体" w:hint="eastAsia"/>
          <w:kern w:val="0"/>
          <w:szCs w:val="21"/>
        </w:rPr>
        <w:t>年的一半左右，从将近</w:t>
      </w:r>
      <w:r w:rsidRPr="00FE0F0C">
        <w:rPr>
          <w:kern w:val="0"/>
          <w:szCs w:val="21"/>
        </w:rPr>
        <w:t>14</w:t>
      </w:r>
      <w:r w:rsidRPr="00FE0F0C">
        <w:rPr>
          <w:rFonts w:ascii="宋体" w:cs="宋体" w:hint="eastAsia"/>
          <w:kern w:val="0"/>
          <w:szCs w:val="21"/>
        </w:rPr>
        <w:t>亿下降到了</w:t>
      </w:r>
      <w:r w:rsidRPr="00FE0F0C">
        <w:rPr>
          <w:rFonts w:ascii="宋体" w:cs="宋体"/>
          <w:kern w:val="0"/>
          <w:szCs w:val="21"/>
        </w:rPr>
        <w:t xml:space="preserve"> </w:t>
      </w:r>
      <w:r w:rsidRPr="00FE0F0C">
        <w:rPr>
          <w:kern w:val="0"/>
          <w:szCs w:val="21"/>
        </w:rPr>
        <w:t>7 .2</w:t>
      </w:r>
      <w:r w:rsidRPr="00FE0F0C">
        <w:rPr>
          <w:rFonts w:ascii="宋体" w:cs="宋体" w:hint="eastAsia"/>
          <w:kern w:val="0"/>
          <w:szCs w:val="21"/>
        </w:rPr>
        <w:t>亿。导致流动负债大幅缩水的主要原因是短期借款突然间从</w:t>
      </w:r>
      <w:r w:rsidRPr="00FE0F0C">
        <w:rPr>
          <w:kern w:val="0"/>
          <w:szCs w:val="21"/>
        </w:rPr>
        <w:t>6.45</w:t>
      </w:r>
      <w:r w:rsidRPr="00FE0F0C">
        <w:rPr>
          <w:rFonts w:ascii="宋体" w:cs="宋体" w:hint="eastAsia"/>
          <w:kern w:val="0"/>
          <w:szCs w:val="21"/>
        </w:rPr>
        <w:t>亿元下降到了</w:t>
      </w:r>
      <w:r w:rsidRPr="00FE0F0C">
        <w:rPr>
          <w:kern w:val="0"/>
          <w:szCs w:val="21"/>
        </w:rPr>
        <w:t>2004</w:t>
      </w:r>
      <w:r w:rsidRPr="00FE0F0C">
        <w:rPr>
          <w:rFonts w:ascii="宋体" w:cs="宋体" w:hint="eastAsia"/>
          <w:kern w:val="0"/>
          <w:szCs w:val="21"/>
        </w:rPr>
        <w:t>年的</w:t>
      </w:r>
      <w:r w:rsidRPr="00FE0F0C">
        <w:rPr>
          <w:kern w:val="0"/>
          <w:szCs w:val="21"/>
        </w:rPr>
        <w:t xml:space="preserve">0 </w:t>
      </w:r>
      <w:r w:rsidRPr="00FE0F0C">
        <w:rPr>
          <w:rFonts w:ascii="宋体" w:cs="宋体" w:hint="eastAsia"/>
          <w:kern w:val="0"/>
          <w:szCs w:val="21"/>
        </w:rPr>
        <w:t>元和</w:t>
      </w:r>
      <w:r w:rsidRPr="00FE0F0C">
        <w:rPr>
          <w:kern w:val="0"/>
          <w:szCs w:val="21"/>
        </w:rPr>
        <w:t>2005</w:t>
      </w:r>
      <w:r w:rsidRPr="00FE0F0C">
        <w:rPr>
          <w:rFonts w:ascii="宋体" w:cs="宋体" w:hint="eastAsia"/>
          <w:kern w:val="0"/>
          <w:szCs w:val="21"/>
        </w:rPr>
        <w:t>年的</w:t>
      </w:r>
      <w:r w:rsidRPr="00FE0F0C">
        <w:rPr>
          <w:kern w:val="0"/>
          <w:szCs w:val="21"/>
        </w:rPr>
        <w:t>0.07</w:t>
      </w:r>
      <w:r w:rsidRPr="00FE0F0C">
        <w:rPr>
          <w:rFonts w:ascii="宋体" w:cs="宋体" w:hint="eastAsia"/>
          <w:kern w:val="0"/>
          <w:szCs w:val="21"/>
        </w:rPr>
        <w:t>亿元。青岛海尔</w:t>
      </w:r>
      <w:r w:rsidRPr="00FE0F0C">
        <w:rPr>
          <w:kern w:val="0"/>
          <w:szCs w:val="21"/>
        </w:rPr>
        <w:t>2001 —2003</w:t>
      </w:r>
      <w:r w:rsidRPr="00FE0F0C">
        <w:rPr>
          <w:rFonts w:ascii="宋体" w:cs="宋体" w:hint="eastAsia"/>
          <w:kern w:val="0"/>
          <w:szCs w:val="21"/>
        </w:rPr>
        <w:t>年的平均短期借款为</w:t>
      </w:r>
      <w:r w:rsidRPr="00FE0F0C">
        <w:rPr>
          <w:kern w:val="0"/>
          <w:szCs w:val="21"/>
        </w:rPr>
        <w:t>6 .6</w:t>
      </w:r>
      <w:r w:rsidRPr="00FE0F0C">
        <w:rPr>
          <w:rFonts w:ascii="宋体" w:cs="宋体" w:hint="eastAsia"/>
          <w:kern w:val="0"/>
          <w:szCs w:val="21"/>
        </w:rPr>
        <w:t>个亿，为什么</w:t>
      </w:r>
      <w:r w:rsidRPr="00FE0F0C">
        <w:rPr>
          <w:kern w:val="0"/>
          <w:szCs w:val="21"/>
        </w:rPr>
        <w:t>2</w:t>
      </w:r>
      <w:r w:rsidRPr="00FE0F0C">
        <w:rPr>
          <w:rFonts w:ascii="宋体" w:cs="宋体"/>
          <w:kern w:val="0"/>
          <w:szCs w:val="21"/>
        </w:rPr>
        <w:t>_</w:t>
      </w:r>
      <w:r w:rsidRPr="00FE0F0C">
        <w:rPr>
          <w:rFonts w:ascii="宋体" w:cs="宋体" w:hint="eastAsia"/>
          <w:kern w:val="0"/>
          <w:szCs w:val="21"/>
        </w:rPr>
        <w:t>年会出现无短期借款的现象？遗憾的是，青岛海尔的年报中对此没有做出任何的解释，这再次显示出青岛海尔信息披露的不够充分。</w:t>
      </w:r>
    </w:p>
    <w:p w:rsidR="000E205B" w:rsidRDefault="000E205B" w:rsidP="000E205B">
      <w:pPr>
        <w:tabs>
          <w:tab w:val="left" w:pos="810"/>
        </w:tabs>
        <w:jc w:val="center"/>
        <w:rPr>
          <w:b/>
          <w:szCs w:val="21"/>
        </w:rPr>
      </w:pPr>
      <w:r w:rsidRPr="005A6858">
        <w:rPr>
          <w:rFonts w:hint="eastAsia"/>
          <w:b/>
          <w:szCs w:val="21"/>
        </w:rPr>
        <w:t>表</w:t>
      </w:r>
      <w:r>
        <w:rPr>
          <w:rFonts w:hint="eastAsia"/>
          <w:b/>
          <w:szCs w:val="21"/>
        </w:rPr>
        <w:t>10</w:t>
      </w:r>
      <w:r w:rsidRPr="005A6858">
        <w:rPr>
          <w:rFonts w:hint="eastAsia"/>
          <w:b/>
          <w:szCs w:val="21"/>
        </w:rPr>
        <w:t>青岛海尔和格力电器</w:t>
      </w:r>
      <w:r>
        <w:rPr>
          <w:rFonts w:hint="eastAsia"/>
          <w:b/>
          <w:szCs w:val="21"/>
        </w:rPr>
        <w:t>长期偿债</w:t>
      </w:r>
      <w:r w:rsidRPr="005A6858">
        <w:rPr>
          <w:rFonts w:hint="eastAsia"/>
          <w:b/>
          <w:szCs w:val="21"/>
        </w:rPr>
        <w:t>比率比较</w:t>
      </w:r>
    </w:p>
    <w:tbl>
      <w:tblPr>
        <w:tblStyle w:val="a3"/>
        <w:tblW w:w="0" w:type="auto"/>
        <w:jc w:val="center"/>
        <w:tblLook w:val="01E0" w:firstRow="1" w:lastRow="1" w:firstColumn="1" w:lastColumn="1" w:noHBand="0" w:noVBand="0"/>
      </w:tblPr>
      <w:tblGrid>
        <w:gridCol w:w="1832"/>
        <w:gridCol w:w="947"/>
        <w:gridCol w:w="947"/>
        <w:gridCol w:w="947"/>
        <w:gridCol w:w="1627"/>
      </w:tblGrid>
      <w:tr w:rsidR="000C42B3">
        <w:trPr>
          <w:trHeight w:val="158"/>
          <w:jc w:val="center"/>
        </w:trPr>
        <w:tc>
          <w:tcPr>
            <w:tcW w:w="1832" w:type="dxa"/>
            <w:vMerge w:val="restart"/>
          </w:tcPr>
          <w:p w:rsidR="000C42B3" w:rsidRDefault="000C42B3" w:rsidP="00FD67D7">
            <w:pPr>
              <w:tabs>
                <w:tab w:val="left" w:pos="810"/>
              </w:tabs>
              <w:jc w:val="center"/>
              <w:rPr>
                <w:b/>
                <w:szCs w:val="21"/>
              </w:rPr>
            </w:pPr>
            <w:r>
              <w:rPr>
                <w:rFonts w:hint="eastAsia"/>
                <w:b/>
                <w:szCs w:val="21"/>
              </w:rPr>
              <w:t>项目</w:t>
            </w:r>
          </w:p>
        </w:tc>
        <w:tc>
          <w:tcPr>
            <w:tcW w:w="2841" w:type="dxa"/>
            <w:gridSpan w:val="3"/>
          </w:tcPr>
          <w:p w:rsidR="000C42B3" w:rsidRDefault="000C42B3" w:rsidP="00FD67D7">
            <w:pPr>
              <w:tabs>
                <w:tab w:val="left" w:pos="810"/>
              </w:tabs>
              <w:jc w:val="center"/>
              <w:rPr>
                <w:b/>
                <w:szCs w:val="21"/>
              </w:rPr>
            </w:pPr>
            <w:r>
              <w:rPr>
                <w:rFonts w:hint="eastAsia"/>
                <w:b/>
                <w:szCs w:val="21"/>
              </w:rPr>
              <w:t>青岛海尔</w:t>
            </w:r>
          </w:p>
        </w:tc>
        <w:tc>
          <w:tcPr>
            <w:tcW w:w="1627" w:type="dxa"/>
            <w:shd w:val="clear" w:color="auto" w:fill="auto"/>
          </w:tcPr>
          <w:p w:rsidR="000C42B3" w:rsidRDefault="000C42B3" w:rsidP="00FD67D7">
            <w:pPr>
              <w:tabs>
                <w:tab w:val="left" w:pos="810"/>
              </w:tabs>
              <w:jc w:val="center"/>
              <w:rPr>
                <w:b/>
                <w:szCs w:val="21"/>
              </w:rPr>
            </w:pPr>
            <w:r>
              <w:rPr>
                <w:rFonts w:hint="eastAsia"/>
                <w:b/>
                <w:szCs w:val="21"/>
              </w:rPr>
              <w:t>格力电器</w:t>
            </w:r>
          </w:p>
        </w:tc>
      </w:tr>
      <w:tr w:rsidR="000C42B3">
        <w:trPr>
          <w:trHeight w:val="312"/>
          <w:jc w:val="center"/>
        </w:trPr>
        <w:tc>
          <w:tcPr>
            <w:tcW w:w="1832" w:type="dxa"/>
            <w:vMerge/>
          </w:tcPr>
          <w:p w:rsidR="000C42B3" w:rsidRDefault="000C42B3" w:rsidP="00FD67D7">
            <w:pPr>
              <w:tabs>
                <w:tab w:val="left" w:pos="810"/>
              </w:tabs>
              <w:jc w:val="center"/>
              <w:rPr>
                <w:b/>
                <w:szCs w:val="21"/>
              </w:rPr>
            </w:pPr>
          </w:p>
        </w:tc>
        <w:tc>
          <w:tcPr>
            <w:tcW w:w="947" w:type="dxa"/>
            <w:shd w:val="clear" w:color="auto" w:fill="auto"/>
          </w:tcPr>
          <w:p w:rsidR="000C42B3" w:rsidRDefault="00724354" w:rsidP="00FD67D7">
            <w:pPr>
              <w:tabs>
                <w:tab w:val="left" w:pos="810"/>
              </w:tabs>
              <w:jc w:val="center"/>
              <w:rPr>
                <w:b/>
                <w:szCs w:val="21"/>
              </w:rPr>
            </w:pPr>
            <w:r>
              <w:rPr>
                <w:rFonts w:hint="eastAsia"/>
                <w:b/>
                <w:szCs w:val="21"/>
              </w:rPr>
              <w:t>2003</w:t>
            </w:r>
            <w:r>
              <w:rPr>
                <w:rFonts w:hint="eastAsia"/>
                <w:b/>
                <w:szCs w:val="21"/>
              </w:rPr>
              <w:t>年</w:t>
            </w:r>
          </w:p>
        </w:tc>
        <w:tc>
          <w:tcPr>
            <w:tcW w:w="947" w:type="dxa"/>
            <w:shd w:val="clear" w:color="auto" w:fill="auto"/>
          </w:tcPr>
          <w:p w:rsidR="000C42B3" w:rsidRDefault="00724354" w:rsidP="00FD67D7">
            <w:pPr>
              <w:tabs>
                <w:tab w:val="left" w:pos="810"/>
              </w:tabs>
              <w:jc w:val="center"/>
              <w:rPr>
                <w:b/>
                <w:szCs w:val="21"/>
              </w:rPr>
            </w:pPr>
            <w:r>
              <w:rPr>
                <w:rFonts w:hint="eastAsia"/>
                <w:b/>
                <w:szCs w:val="21"/>
              </w:rPr>
              <w:t>2004</w:t>
            </w:r>
            <w:r>
              <w:rPr>
                <w:rFonts w:hint="eastAsia"/>
                <w:b/>
                <w:szCs w:val="21"/>
              </w:rPr>
              <w:t>年</w:t>
            </w:r>
          </w:p>
        </w:tc>
        <w:tc>
          <w:tcPr>
            <w:tcW w:w="947" w:type="dxa"/>
            <w:shd w:val="clear" w:color="auto" w:fill="auto"/>
          </w:tcPr>
          <w:p w:rsidR="000C42B3" w:rsidRDefault="00724354" w:rsidP="00FD67D7">
            <w:pPr>
              <w:tabs>
                <w:tab w:val="left" w:pos="810"/>
              </w:tabs>
              <w:jc w:val="center"/>
              <w:rPr>
                <w:b/>
                <w:szCs w:val="21"/>
              </w:rPr>
            </w:pPr>
            <w:r>
              <w:rPr>
                <w:rFonts w:hint="eastAsia"/>
                <w:b/>
                <w:szCs w:val="21"/>
              </w:rPr>
              <w:t>2005</w:t>
            </w:r>
            <w:r>
              <w:rPr>
                <w:rFonts w:hint="eastAsia"/>
                <w:b/>
                <w:szCs w:val="21"/>
              </w:rPr>
              <w:t>年</w:t>
            </w:r>
          </w:p>
        </w:tc>
        <w:tc>
          <w:tcPr>
            <w:tcW w:w="1627" w:type="dxa"/>
            <w:shd w:val="clear" w:color="auto" w:fill="auto"/>
          </w:tcPr>
          <w:p w:rsidR="000C42B3" w:rsidRDefault="00724354" w:rsidP="00FD67D7">
            <w:pPr>
              <w:tabs>
                <w:tab w:val="left" w:pos="810"/>
              </w:tabs>
              <w:jc w:val="center"/>
              <w:rPr>
                <w:b/>
                <w:szCs w:val="21"/>
              </w:rPr>
            </w:pPr>
            <w:r>
              <w:rPr>
                <w:rFonts w:hint="eastAsia"/>
                <w:b/>
                <w:szCs w:val="21"/>
              </w:rPr>
              <w:t>2005</w:t>
            </w:r>
            <w:r>
              <w:rPr>
                <w:rFonts w:hint="eastAsia"/>
                <w:b/>
                <w:szCs w:val="21"/>
              </w:rPr>
              <w:t>年</w:t>
            </w:r>
          </w:p>
        </w:tc>
      </w:tr>
      <w:tr w:rsidR="00E45B5B">
        <w:trPr>
          <w:jc w:val="center"/>
        </w:trPr>
        <w:tc>
          <w:tcPr>
            <w:tcW w:w="1832" w:type="dxa"/>
          </w:tcPr>
          <w:p w:rsidR="00E45B5B" w:rsidRDefault="00E45B5B" w:rsidP="00FD67D7">
            <w:pPr>
              <w:tabs>
                <w:tab w:val="left" w:pos="810"/>
              </w:tabs>
              <w:jc w:val="center"/>
              <w:rPr>
                <w:b/>
                <w:szCs w:val="21"/>
              </w:rPr>
            </w:pPr>
            <w:r>
              <w:rPr>
                <w:rFonts w:hint="eastAsia"/>
                <w:b/>
                <w:szCs w:val="21"/>
              </w:rPr>
              <w:t>资产负债率</w:t>
            </w:r>
          </w:p>
        </w:tc>
        <w:tc>
          <w:tcPr>
            <w:tcW w:w="947" w:type="dxa"/>
            <w:shd w:val="clear" w:color="auto" w:fill="auto"/>
          </w:tcPr>
          <w:p w:rsidR="00E45B5B" w:rsidRPr="00880173" w:rsidRDefault="00E45B5B" w:rsidP="00FD67D7">
            <w:pPr>
              <w:jc w:val="center"/>
              <w:rPr>
                <w:kern w:val="0"/>
                <w:sz w:val="20"/>
                <w:szCs w:val="20"/>
              </w:rPr>
            </w:pPr>
            <w:r w:rsidRPr="00880173">
              <w:rPr>
                <w:kern w:val="0"/>
                <w:sz w:val="20"/>
                <w:szCs w:val="20"/>
              </w:rPr>
              <w:t>20.85%</w:t>
            </w:r>
          </w:p>
        </w:tc>
        <w:tc>
          <w:tcPr>
            <w:tcW w:w="947" w:type="dxa"/>
            <w:shd w:val="clear" w:color="auto" w:fill="auto"/>
          </w:tcPr>
          <w:p w:rsidR="00E45B5B" w:rsidRPr="00880173" w:rsidRDefault="00E45B5B" w:rsidP="00FD67D7">
            <w:pPr>
              <w:jc w:val="center"/>
              <w:rPr>
                <w:kern w:val="0"/>
                <w:sz w:val="20"/>
                <w:szCs w:val="20"/>
              </w:rPr>
            </w:pPr>
            <w:r w:rsidRPr="00880173">
              <w:rPr>
                <w:kern w:val="0"/>
                <w:sz w:val="20"/>
                <w:szCs w:val="20"/>
              </w:rPr>
              <w:t>13.09%</w:t>
            </w:r>
          </w:p>
        </w:tc>
        <w:tc>
          <w:tcPr>
            <w:tcW w:w="947" w:type="dxa"/>
            <w:shd w:val="clear" w:color="auto" w:fill="auto"/>
          </w:tcPr>
          <w:p w:rsidR="00E45B5B" w:rsidRDefault="00E45B5B" w:rsidP="00FD67D7">
            <w:pPr>
              <w:jc w:val="center"/>
            </w:pPr>
            <w:r w:rsidRPr="00880173">
              <w:rPr>
                <w:kern w:val="0"/>
                <w:sz w:val="20"/>
                <w:szCs w:val="20"/>
              </w:rPr>
              <w:t>10.67%</w:t>
            </w:r>
          </w:p>
        </w:tc>
        <w:tc>
          <w:tcPr>
            <w:tcW w:w="1627" w:type="dxa"/>
            <w:shd w:val="clear" w:color="auto" w:fill="auto"/>
          </w:tcPr>
          <w:p w:rsidR="00E45B5B" w:rsidRDefault="00E45B5B" w:rsidP="00FD67D7">
            <w:pPr>
              <w:tabs>
                <w:tab w:val="left" w:pos="810"/>
              </w:tabs>
              <w:jc w:val="center"/>
              <w:rPr>
                <w:b/>
                <w:szCs w:val="21"/>
              </w:rPr>
            </w:pPr>
            <w:r>
              <w:rPr>
                <w:kern w:val="0"/>
                <w:sz w:val="20"/>
                <w:szCs w:val="20"/>
              </w:rPr>
              <w:t>77.84%</w:t>
            </w:r>
          </w:p>
        </w:tc>
      </w:tr>
      <w:tr w:rsidR="00E45B5B">
        <w:trPr>
          <w:jc w:val="center"/>
        </w:trPr>
        <w:tc>
          <w:tcPr>
            <w:tcW w:w="1832" w:type="dxa"/>
          </w:tcPr>
          <w:p w:rsidR="00E45B5B" w:rsidRDefault="00E45B5B" w:rsidP="00FD67D7">
            <w:pPr>
              <w:tabs>
                <w:tab w:val="left" w:pos="810"/>
              </w:tabs>
              <w:jc w:val="center"/>
              <w:rPr>
                <w:b/>
                <w:szCs w:val="21"/>
              </w:rPr>
            </w:pPr>
            <w:r>
              <w:rPr>
                <w:rFonts w:hint="eastAsia"/>
                <w:b/>
                <w:szCs w:val="21"/>
              </w:rPr>
              <w:t>有形净值债务率</w:t>
            </w:r>
          </w:p>
        </w:tc>
        <w:tc>
          <w:tcPr>
            <w:tcW w:w="947" w:type="dxa"/>
            <w:shd w:val="clear" w:color="auto" w:fill="auto"/>
          </w:tcPr>
          <w:p w:rsidR="00E45B5B" w:rsidRPr="00D928C6" w:rsidRDefault="00E45B5B" w:rsidP="00FD67D7">
            <w:pPr>
              <w:jc w:val="center"/>
              <w:rPr>
                <w:kern w:val="0"/>
                <w:sz w:val="20"/>
                <w:szCs w:val="20"/>
              </w:rPr>
            </w:pPr>
            <w:r w:rsidRPr="00D928C6">
              <w:rPr>
                <w:kern w:val="0"/>
                <w:sz w:val="20"/>
                <w:szCs w:val="20"/>
              </w:rPr>
              <w:t>0.29</w:t>
            </w:r>
          </w:p>
        </w:tc>
        <w:tc>
          <w:tcPr>
            <w:tcW w:w="947" w:type="dxa"/>
            <w:shd w:val="clear" w:color="auto" w:fill="auto"/>
          </w:tcPr>
          <w:p w:rsidR="00E45B5B" w:rsidRPr="00D928C6" w:rsidRDefault="00E45B5B" w:rsidP="00FD67D7">
            <w:pPr>
              <w:jc w:val="center"/>
              <w:rPr>
                <w:kern w:val="0"/>
                <w:sz w:val="20"/>
                <w:szCs w:val="20"/>
              </w:rPr>
            </w:pPr>
            <w:r w:rsidRPr="00D928C6">
              <w:rPr>
                <w:kern w:val="0"/>
                <w:sz w:val="20"/>
                <w:szCs w:val="20"/>
              </w:rPr>
              <w:t>0.16</w:t>
            </w:r>
          </w:p>
        </w:tc>
        <w:tc>
          <w:tcPr>
            <w:tcW w:w="947" w:type="dxa"/>
            <w:shd w:val="clear" w:color="auto" w:fill="auto"/>
          </w:tcPr>
          <w:p w:rsidR="00E45B5B" w:rsidRDefault="00E45B5B" w:rsidP="00FD67D7">
            <w:pPr>
              <w:jc w:val="center"/>
            </w:pPr>
            <w:r w:rsidRPr="00D928C6">
              <w:rPr>
                <w:kern w:val="0"/>
                <w:sz w:val="20"/>
                <w:szCs w:val="20"/>
              </w:rPr>
              <w:t>0.11</w:t>
            </w:r>
          </w:p>
        </w:tc>
        <w:tc>
          <w:tcPr>
            <w:tcW w:w="1627" w:type="dxa"/>
            <w:shd w:val="clear" w:color="auto" w:fill="auto"/>
          </w:tcPr>
          <w:p w:rsidR="00E45B5B" w:rsidRDefault="00FD67D7" w:rsidP="00FD67D7">
            <w:pPr>
              <w:tabs>
                <w:tab w:val="left" w:pos="810"/>
              </w:tabs>
              <w:jc w:val="center"/>
              <w:rPr>
                <w:b/>
                <w:szCs w:val="21"/>
              </w:rPr>
            </w:pPr>
            <w:r>
              <w:rPr>
                <w:kern w:val="0"/>
                <w:sz w:val="20"/>
                <w:szCs w:val="20"/>
              </w:rPr>
              <w:t>3.72</w:t>
            </w:r>
          </w:p>
        </w:tc>
      </w:tr>
      <w:tr w:rsidR="000C42B3">
        <w:trPr>
          <w:jc w:val="center"/>
        </w:trPr>
        <w:tc>
          <w:tcPr>
            <w:tcW w:w="1832" w:type="dxa"/>
          </w:tcPr>
          <w:p w:rsidR="000C42B3" w:rsidRDefault="000C42B3" w:rsidP="00FD67D7">
            <w:pPr>
              <w:tabs>
                <w:tab w:val="left" w:pos="810"/>
              </w:tabs>
              <w:jc w:val="center"/>
              <w:rPr>
                <w:b/>
                <w:szCs w:val="21"/>
              </w:rPr>
            </w:pPr>
            <w:r>
              <w:rPr>
                <w:rFonts w:hint="eastAsia"/>
                <w:b/>
                <w:szCs w:val="21"/>
              </w:rPr>
              <w:t>利息保障倍数</w:t>
            </w:r>
          </w:p>
        </w:tc>
        <w:tc>
          <w:tcPr>
            <w:tcW w:w="947" w:type="dxa"/>
            <w:shd w:val="clear" w:color="auto" w:fill="auto"/>
          </w:tcPr>
          <w:p w:rsidR="000C42B3" w:rsidRDefault="00E45B5B" w:rsidP="00FD67D7">
            <w:pPr>
              <w:tabs>
                <w:tab w:val="left" w:pos="810"/>
              </w:tabs>
              <w:jc w:val="center"/>
              <w:rPr>
                <w:b/>
                <w:szCs w:val="21"/>
              </w:rPr>
            </w:pPr>
            <w:r>
              <w:rPr>
                <w:kern w:val="0"/>
                <w:sz w:val="20"/>
                <w:szCs w:val="20"/>
              </w:rPr>
              <w:t>25.23</w:t>
            </w:r>
          </w:p>
        </w:tc>
        <w:tc>
          <w:tcPr>
            <w:tcW w:w="947" w:type="dxa"/>
            <w:shd w:val="clear" w:color="auto" w:fill="auto"/>
          </w:tcPr>
          <w:p w:rsidR="000C42B3" w:rsidRDefault="00E45B5B" w:rsidP="00FD67D7">
            <w:pPr>
              <w:tabs>
                <w:tab w:val="left" w:pos="810"/>
              </w:tabs>
              <w:jc w:val="center"/>
              <w:rPr>
                <w:b/>
                <w:szCs w:val="21"/>
              </w:rPr>
            </w:pPr>
            <w:r>
              <w:rPr>
                <w:kern w:val="0"/>
                <w:sz w:val="20"/>
                <w:szCs w:val="20"/>
              </w:rPr>
              <w:t>70.96</w:t>
            </w:r>
          </w:p>
        </w:tc>
        <w:tc>
          <w:tcPr>
            <w:tcW w:w="947" w:type="dxa"/>
            <w:shd w:val="clear" w:color="auto" w:fill="auto"/>
          </w:tcPr>
          <w:p w:rsidR="000C42B3" w:rsidRDefault="00E45B5B" w:rsidP="00FD67D7">
            <w:pPr>
              <w:tabs>
                <w:tab w:val="left" w:pos="810"/>
              </w:tabs>
              <w:jc w:val="center"/>
              <w:rPr>
                <w:b/>
                <w:szCs w:val="21"/>
              </w:rPr>
            </w:pPr>
            <w:r>
              <w:rPr>
                <w:rFonts w:hint="eastAsia"/>
                <w:b/>
                <w:szCs w:val="21"/>
              </w:rPr>
              <w:t>-159.08</w:t>
            </w:r>
          </w:p>
        </w:tc>
        <w:tc>
          <w:tcPr>
            <w:tcW w:w="1627" w:type="dxa"/>
            <w:shd w:val="clear" w:color="auto" w:fill="auto"/>
          </w:tcPr>
          <w:p w:rsidR="000C42B3" w:rsidRDefault="00FD67D7" w:rsidP="00FD67D7">
            <w:pPr>
              <w:tabs>
                <w:tab w:val="left" w:pos="810"/>
              </w:tabs>
              <w:jc w:val="center"/>
              <w:rPr>
                <w:b/>
                <w:szCs w:val="21"/>
              </w:rPr>
            </w:pPr>
            <w:r>
              <w:rPr>
                <w:kern w:val="0"/>
                <w:sz w:val="20"/>
                <w:szCs w:val="20"/>
              </w:rPr>
              <w:t>7.91</w:t>
            </w:r>
          </w:p>
        </w:tc>
      </w:tr>
    </w:tbl>
    <w:p w:rsidR="00FD67D7" w:rsidRDefault="00FD67D7" w:rsidP="00FD67D7">
      <w:pPr>
        <w:autoSpaceDE w:val="0"/>
        <w:autoSpaceDN w:val="0"/>
        <w:adjustRightInd w:val="0"/>
        <w:ind w:firstLineChars="100" w:firstLine="210"/>
        <w:jc w:val="left"/>
        <w:rPr>
          <w:rFonts w:ascii="宋体" w:cs="宋体"/>
          <w:kern w:val="0"/>
          <w:szCs w:val="21"/>
        </w:rPr>
      </w:pPr>
      <w:r w:rsidRPr="00FE0F0C">
        <w:rPr>
          <w:rFonts w:ascii="宋体" w:cs="宋体" w:hint="eastAsia"/>
          <w:kern w:val="0"/>
          <w:szCs w:val="21"/>
        </w:rPr>
        <w:t>由表</w:t>
      </w:r>
      <w:r>
        <w:rPr>
          <w:rFonts w:hint="eastAsia"/>
          <w:kern w:val="0"/>
          <w:szCs w:val="21"/>
        </w:rPr>
        <w:t>10</w:t>
      </w:r>
      <w:r w:rsidRPr="00FE0F0C">
        <w:rPr>
          <w:rFonts w:ascii="宋体" w:cs="宋体" w:hint="eastAsia"/>
          <w:kern w:val="0"/>
          <w:szCs w:val="21"/>
        </w:rPr>
        <w:t>可见，青岛海尔的资产负债率和有形净值债务率均远远低于</w:t>
      </w:r>
      <w:r w:rsidR="001A2D77">
        <w:rPr>
          <w:rFonts w:ascii="宋体" w:cs="宋体" w:hint="eastAsia"/>
          <w:kern w:val="0"/>
          <w:szCs w:val="21"/>
        </w:rPr>
        <w:t>格力电器</w:t>
      </w:r>
      <w:r w:rsidRPr="00FE0F0C">
        <w:rPr>
          <w:rFonts w:ascii="宋体" w:cs="宋体" w:hint="eastAsia"/>
          <w:kern w:val="0"/>
          <w:szCs w:val="21"/>
        </w:rPr>
        <w:t>，可见青岛</w:t>
      </w:r>
      <w:r w:rsidRPr="00FE0F0C">
        <w:rPr>
          <w:rFonts w:ascii="宋体" w:cs="宋体" w:hint="eastAsia"/>
          <w:kern w:val="0"/>
          <w:szCs w:val="21"/>
        </w:rPr>
        <w:lastRenderedPageBreak/>
        <w:t>海尔主要是依靠权益融资，这虽然有助于降低财务风险，但由于权益融资资本成本要髙于债务资本成本，因此青岛海尔的加权平均资本成本显然较髙，这将影响其创造经济增加值。从利息保障倍数来看，由于青岛海尔的负</w:t>
      </w:r>
      <w:r>
        <w:rPr>
          <w:rFonts w:ascii="宋体" w:cs="宋体" w:hint="eastAsia"/>
          <w:kern w:val="0"/>
          <w:szCs w:val="21"/>
        </w:rPr>
        <w:t>债</w:t>
      </w:r>
      <w:r w:rsidRPr="00FE0F0C">
        <w:rPr>
          <w:rFonts w:ascii="宋体" w:cs="宋体" w:hint="eastAsia"/>
          <w:kern w:val="0"/>
          <w:szCs w:val="21"/>
        </w:rPr>
        <w:t>极少，</w:t>
      </w:r>
      <w:r w:rsidRPr="00FE0F0C">
        <w:rPr>
          <w:kern w:val="0"/>
          <w:szCs w:val="21"/>
        </w:rPr>
        <w:t>2005</w:t>
      </w:r>
      <w:r w:rsidRPr="00FE0F0C">
        <w:rPr>
          <w:rFonts w:ascii="宋体" w:cs="宋体" w:hint="eastAsia"/>
          <w:kern w:val="0"/>
          <w:szCs w:val="21"/>
        </w:rPr>
        <w:t>年的实际利息支出仅为</w:t>
      </w:r>
      <w:r w:rsidRPr="00FE0F0C">
        <w:rPr>
          <w:kern w:val="0"/>
          <w:szCs w:val="21"/>
        </w:rPr>
        <w:t>6 7</w:t>
      </w:r>
      <w:r w:rsidRPr="00FE0F0C">
        <w:rPr>
          <w:rFonts w:ascii="宋体" w:cs="宋体" w:hint="eastAsia"/>
          <w:kern w:val="0"/>
          <w:szCs w:val="21"/>
        </w:rPr>
        <w:t>万，远低于利息收入，因此财务费用为负数。但我们发现美的电器和格力电器的利息保障倍数巳经足够高了，显示出了充分的利息支付能力。这说明虽然格力电器的负债比率较高，但其负债中很大部分为不计息的债务，因此融资成本很低，付息风险不大，是比较合理的资本结构，而青岛海尔的资本结构显然过于保守，几乎放弃了财务杠杆对净资产收益率的放大作用，同时也增加了公司的加权平均资本成本。</w:t>
      </w:r>
    </w:p>
    <w:p w:rsidR="000005EB" w:rsidRDefault="000005EB" w:rsidP="00FD67D7">
      <w:pPr>
        <w:autoSpaceDE w:val="0"/>
        <w:autoSpaceDN w:val="0"/>
        <w:adjustRightInd w:val="0"/>
        <w:ind w:firstLineChars="100" w:firstLine="210"/>
        <w:jc w:val="left"/>
        <w:rPr>
          <w:rFonts w:ascii="宋体" w:cs="宋体"/>
          <w:kern w:val="0"/>
          <w:szCs w:val="21"/>
        </w:rPr>
      </w:pPr>
    </w:p>
    <w:p w:rsidR="000005EB" w:rsidRDefault="000005EB" w:rsidP="00FD67D7">
      <w:pPr>
        <w:autoSpaceDE w:val="0"/>
        <w:autoSpaceDN w:val="0"/>
        <w:adjustRightInd w:val="0"/>
        <w:ind w:firstLineChars="100" w:firstLine="210"/>
        <w:jc w:val="left"/>
        <w:rPr>
          <w:rFonts w:ascii="宋体" w:cs="宋体"/>
          <w:kern w:val="0"/>
          <w:szCs w:val="21"/>
        </w:rPr>
      </w:pPr>
    </w:p>
    <w:p w:rsidR="000005EB" w:rsidRDefault="000005EB" w:rsidP="00FD67D7">
      <w:pPr>
        <w:autoSpaceDE w:val="0"/>
        <w:autoSpaceDN w:val="0"/>
        <w:adjustRightInd w:val="0"/>
        <w:ind w:firstLineChars="100" w:firstLine="210"/>
        <w:jc w:val="left"/>
        <w:rPr>
          <w:rFonts w:ascii="宋体" w:cs="宋体"/>
          <w:kern w:val="0"/>
          <w:szCs w:val="21"/>
        </w:rPr>
      </w:pPr>
    </w:p>
    <w:p w:rsidR="000005EB" w:rsidRDefault="000005EB" w:rsidP="0028615B">
      <w:pPr>
        <w:tabs>
          <w:tab w:val="left" w:pos="2310"/>
        </w:tabs>
        <w:autoSpaceDE w:val="0"/>
        <w:autoSpaceDN w:val="0"/>
        <w:adjustRightInd w:val="0"/>
        <w:ind w:firstLineChars="100" w:firstLine="211"/>
        <w:jc w:val="left"/>
        <w:rPr>
          <w:rFonts w:ascii="宋体" w:cs="宋体"/>
          <w:b/>
          <w:kern w:val="0"/>
          <w:szCs w:val="21"/>
        </w:rPr>
      </w:pPr>
      <w:r w:rsidRPr="000005EB">
        <w:rPr>
          <w:rFonts w:ascii="宋体" w:cs="宋体" w:hint="eastAsia"/>
          <w:b/>
          <w:kern w:val="0"/>
          <w:szCs w:val="21"/>
        </w:rPr>
        <w:t>四 现金流量分析</w:t>
      </w:r>
      <w:r w:rsidR="0028615B">
        <w:rPr>
          <w:rFonts w:ascii="宋体" w:cs="宋体"/>
          <w:b/>
          <w:kern w:val="0"/>
          <w:szCs w:val="21"/>
        </w:rPr>
        <w:tab/>
      </w:r>
    </w:p>
    <w:p w:rsidR="0028615B" w:rsidRDefault="0028615B" w:rsidP="00042BAD">
      <w:pPr>
        <w:tabs>
          <w:tab w:val="left" w:pos="2310"/>
        </w:tabs>
        <w:autoSpaceDE w:val="0"/>
        <w:autoSpaceDN w:val="0"/>
        <w:adjustRightInd w:val="0"/>
        <w:ind w:firstLineChars="198" w:firstLine="416"/>
        <w:jc w:val="left"/>
        <w:rPr>
          <w:rFonts w:ascii="宋体" w:cs="宋体"/>
          <w:b/>
          <w:kern w:val="0"/>
          <w:szCs w:val="21"/>
        </w:rPr>
      </w:pPr>
      <w:r w:rsidRPr="00042BAD">
        <w:rPr>
          <w:rFonts w:ascii="宋体" w:cs="宋体" w:hint="eastAsia"/>
          <w:kern w:val="0"/>
          <w:szCs w:val="21"/>
        </w:rPr>
        <w:t>在现代企业经营过程中，能否能否产生持久的现金流成为衡量企业应付风险和可持续发展的重要能力指标。</w:t>
      </w:r>
      <w:r w:rsidRPr="0028615B">
        <w:rPr>
          <w:rFonts w:ascii="宋体" w:cs="宋体" w:hint="eastAsia"/>
          <w:kern w:val="0"/>
          <w:szCs w:val="21"/>
        </w:rPr>
        <w:t>投资者之所以愿意为企业的高盈利能力支付高股价是预期这类企业能够产生持续，甚至是持续增长的现金流童。即使企业短期内不支付现金股利，投资者也相信企业创造的现金流量迟早会以现金股利的方式回报给他们。投资者正是通过对企业现金流童的金额</w:t>
      </w:r>
      <w:r>
        <w:rPr>
          <w:rFonts w:hint="eastAsia"/>
          <w:kern w:val="0"/>
          <w:szCs w:val="21"/>
        </w:rPr>
        <w:t>、</w:t>
      </w:r>
      <w:r w:rsidRPr="0028615B">
        <w:rPr>
          <w:rFonts w:ascii="宋体" w:cs="宋体" w:hint="eastAsia"/>
          <w:kern w:val="0"/>
          <w:szCs w:val="21"/>
        </w:rPr>
        <w:t>时间分布和不确定性（进行评估和折现，对所持股票进行估值的。对债权人来说，持续、稳定的现金流量是企业按时还本付息的根本保证，其重要性远高于担保、抵押和质押。</w:t>
      </w:r>
    </w:p>
    <w:p w:rsidR="00042BAD" w:rsidRPr="00042BAD" w:rsidRDefault="00042BAD" w:rsidP="00550915">
      <w:pPr>
        <w:tabs>
          <w:tab w:val="left" w:pos="2310"/>
        </w:tabs>
        <w:autoSpaceDE w:val="0"/>
        <w:autoSpaceDN w:val="0"/>
        <w:adjustRightInd w:val="0"/>
        <w:ind w:firstLineChars="198" w:firstLine="417"/>
        <w:jc w:val="left"/>
        <w:rPr>
          <w:rFonts w:ascii="宋体" w:cs="宋体"/>
          <w:b/>
          <w:kern w:val="0"/>
          <w:szCs w:val="21"/>
        </w:rPr>
      </w:pPr>
      <w:r>
        <w:rPr>
          <w:rFonts w:ascii="宋体" w:cs="宋体" w:hint="eastAsia"/>
          <w:b/>
          <w:kern w:val="0"/>
          <w:szCs w:val="21"/>
        </w:rPr>
        <w:t>因此，在前述分析的基础上，我们继续分析青岛海尔的的现金流量状况。在现金流分析中，我们将重点聚焦在下面几个问题上：（1）青岛海尔的经营性净现金的充裕程度能否反映其营业质量？（2）青岛海尔的经营性净现金的充裕程度能否为其持续增长提供足够资金支持？（3）青岛海尔的现金能否为其偿债能力提供稳定保障？（4）青岛海尔的总体现金流的状况是否体现了其投融资渠道的畅通。</w:t>
      </w:r>
    </w:p>
    <w:p w:rsidR="00550915" w:rsidRDefault="000005EB" w:rsidP="00550915">
      <w:pPr>
        <w:numPr>
          <w:ilvl w:val="0"/>
          <w:numId w:val="2"/>
        </w:numPr>
        <w:autoSpaceDE w:val="0"/>
        <w:autoSpaceDN w:val="0"/>
        <w:adjustRightInd w:val="0"/>
        <w:jc w:val="left"/>
        <w:rPr>
          <w:rFonts w:ascii="宋体" w:cs="宋体"/>
          <w:b/>
          <w:kern w:val="0"/>
          <w:szCs w:val="21"/>
        </w:rPr>
      </w:pPr>
      <w:r>
        <w:rPr>
          <w:rFonts w:ascii="宋体" w:cs="宋体" w:hint="eastAsia"/>
          <w:b/>
          <w:kern w:val="0"/>
          <w:szCs w:val="21"/>
        </w:rPr>
        <w:t>现金流量总体分析</w:t>
      </w:r>
    </w:p>
    <w:p w:rsidR="00550915" w:rsidRDefault="00550915" w:rsidP="00550915">
      <w:pPr>
        <w:autoSpaceDE w:val="0"/>
        <w:autoSpaceDN w:val="0"/>
        <w:adjustRightInd w:val="0"/>
        <w:jc w:val="center"/>
        <w:rPr>
          <w:rFonts w:ascii="宋体" w:cs="宋体"/>
          <w:b/>
          <w:kern w:val="0"/>
          <w:szCs w:val="21"/>
        </w:rPr>
      </w:pPr>
      <w:r>
        <w:rPr>
          <w:rFonts w:ascii="宋体" w:cs="宋体" w:hint="eastAsia"/>
          <w:b/>
          <w:kern w:val="0"/>
          <w:szCs w:val="21"/>
        </w:rPr>
        <w:t>表11 青岛海尔现金流量变化趋势</w:t>
      </w:r>
    </w:p>
    <w:tbl>
      <w:tblPr>
        <w:tblStyle w:val="a3"/>
        <w:tblW w:w="0" w:type="auto"/>
        <w:tblLook w:val="01E0" w:firstRow="1" w:lastRow="1" w:firstColumn="1" w:lastColumn="1" w:noHBand="0" w:noVBand="0"/>
      </w:tblPr>
      <w:tblGrid>
        <w:gridCol w:w="1876"/>
        <w:gridCol w:w="1475"/>
        <w:gridCol w:w="873"/>
        <w:gridCol w:w="1069"/>
        <w:gridCol w:w="1007"/>
        <w:gridCol w:w="969"/>
        <w:gridCol w:w="1027"/>
      </w:tblGrid>
      <w:tr w:rsidR="00143227">
        <w:tc>
          <w:tcPr>
            <w:tcW w:w="2042" w:type="dxa"/>
          </w:tcPr>
          <w:p w:rsidR="000005EB" w:rsidRDefault="000005EB" w:rsidP="00143227">
            <w:pPr>
              <w:autoSpaceDE w:val="0"/>
              <w:autoSpaceDN w:val="0"/>
              <w:adjustRightInd w:val="0"/>
              <w:jc w:val="center"/>
              <w:rPr>
                <w:rFonts w:ascii="宋体" w:cs="宋体"/>
                <w:b/>
                <w:kern w:val="0"/>
                <w:szCs w:val="21"/>
              </w:rPr>
            </w:pPr>
            <w:r>
              <w:rPr>
                <w:rFonts w:ascii="宋体" w:cs="宋体" w:hint="eastAsia"/>
                <w:b/>
                <w:kern w:val="0"/>
                <w:szCs w:val="21"/>
              </w:rPr>
              <w:t>项目</w:t>
            </w:r>
          </w:p>
        </w:tc>
        <w:tc>
          <w:tcPr>
            <w:tcW w:w="1486" w:type="dxa"/>
          </w:tcPr>
          <w:p w:rsidR="000005EB" w:rsidRDefault="000005EB" w:rsidP="00143227">
            <w:pPr>
              <w:autoSpaceDE w:val="0"/>
              <w:autoSpaceDN w:val="0"/>
              <w:adjustRightInd w:val="0"/>
              <w:jc w:val="center"/>
              <w:rPr>
                <w:rFonts w:ascii="宋体" w:cs="宋体"/>
                <w:b/>
                <w:kern w:val="0"/>
                <w:szCs w:val="21"/>
              </w:rPr>
            </w:pPr>
            <w:r>
              <w:rPr>
                <w:rFonts w:ascii="宋体" w:cs="宋体" w:hint="eastAsia"/>
                <w:b/>
                <w:kern w:val="0"/>
                <w:szCs w:val="21"/>
              </w:rPr>
              <w:t>2008年</w:t>
            </w:r>
            <w:r w:rsidR="00143227">
              <w:rPr>
                <w:rFonts w:ascii="宋体" w:cs="宋体" w:hint="eastAsia"/>
                <w:b/>
                <w:kern w:val="0"/>
                <w:szCs w:val="21"/>
              </w:rPr>
              <w:t>金</w:t>
            </w:r>
            <w:r>
              <w:rPr>
                <w:rFonts w:ascii="宋体" w:cs="宋体" w:hint="eastAsia"/>
                <w:b/>
                <w:kern w:val="0"/>
                <w:szCs w:val="21"/>
              </w:rPr>
              <w:t>额</w:t>
            </w:r>
          </w:p>
        </w:tc>
        <w:tc>
          <w:tcPr>
            <w:tcW w:w="900" w:type="dxa"/>
          </w:tcPr>
          <w:p w:rsidR="000005EB" w:rsidRDefault="000005EB" w:rsidP="00143227">
            <w:pPr>
              <w:autoSpaceDE w:val="0"/>
              <w:autoSpaceDN w:val="0"/>
              <w:adjustRightInd w:val="0"/>
              <w:jc w:val="center"/>
              <w:rPr>
                <w:rFonts w:ascii="宋体" w:cs="宋体"/>
                <w:b/>
                <w:kern w:val="0"/>
                <w:szCs w:val="21"/>
              </w:rPr>
            </w:pPr>
            <w:r>
              <w:rPr>
                <w:rFonts w:ascii="宋体" w:cs="宋体" w:hint="eastAsia"/>
                <w:b/>
                <w:kern w:val="0"/>
                <w:szCs w:val="21"/>
              </w:rPr>
              <w:t>200</w:t>
            </w:r>
            <w:r w:rsidR="00390914">
              <w:rPr>
                <w:rFonts w:ascii="宋体" w:cs="宋体" w:hint="eastAsia"/>
                <w:b/>
                <w:kern w:val="0"/>
                <w:szCs w:val="21"/>
              </w:rPr>
              <w:t>8</w:t>
            </w:r>
            <w:r>
              <w:rPr>
                <w:rFonts w:ascii="宋体" w:cs="宋体" w:hint="eastAsia"/>
                <w:b/>
                <w:kern w:val="0"/>
                <w:szCs w:val="21"/>
              </w:rPr>
              <w:t>年</w:t>
            </w:r>
          </w:p>
        </w:tc>
        <w:tc>
          <w:tcPr>
            <w:tcW w:w="1080" w:type="dxa"/>
          </w:tcPr>
          <w:p w:rsidR="000005EB" w:rsidRDefault="000005EB" w:rsidP="00143227">
            <w:pPr>
              <w:autoSpaceDE w:val="0"/>
              <w:autoSpaceDN w:val="0"/>
              <w:adjustRightInd w:val="0"/>
              <w:jc w:val="center"/>
              <w:rPr>
                <w:rFonts w:ascii="宋体" w:cs="宋体"/>
                <w:b/>
                <w:kern w:val="0"/>
                <w:szCs w:val="21"/>
              </w:rPr>
            </w:pPr>
            <w:r>
              <w:rPr>
                <w:rFonts w:ascii="宋体" w:cs="宋体" w:hint="eastAsia"/>
                <w:b/>
                <w:kern w:val="0"/>
                <w:szCs w:val="21"/>
              </w:rPr>
              <w:t>20</w:t>
            </w:r>
            <w:r w:rsidR="00390914">
              <w:rPr>
                <w:rFonts w:ascii="宋体" w:cs="宋体" w:hint="eastAsia"/>
                <w:b/>
                <w:kern w:val="0"/>
                <w:szCs w:val="21"/>
              </w:rPr>
              <w:t>09</w:t>
            </w:r>
            <w:r>
              <w:rPr>
                <w:rFonts w:ascii="宋体" w:cs="宋体" w:hint="eastAsia"/>
                <w:b/>
                <w:kern w:val="0"/>
                <w:szCs w:val="21"/>
              </w:rPr>
              <w:t>年</w:t>
            </w:r>
          </w:p>
        </w:tc>
        <w:tc>
          <w:tcPr>
            <w:tcW w:w="1011" w:type="dxa"/>
          </w:tcPr>
          <w:p w:rsidR="000005EB" w:rsidRDefault="00390914" w:rsidP="00143227">
            <w:pPr>
              <w:autoSpaceDE w:val="0"/>
              <w:autoSpaceDN w:val="0"/>
              <w:adjustRightInd w:val="0"/>
              <w:jc w:val="center"/>
              <w:rPr>
                <w:rFonts w:ascii="宋体" w:cs="宋体"/>
                <w:b/>
                <w:kern w:val="0"/>
                <w:szCs w:val="21"/>
              </w:rPr>
            </w:pPr>
            <w:r>
              <w:rPr>
                <w:rFonts w:ascii="宋体" w:cs="宋体" w:hint="eastAsia"/>
                <w:b/>
                <w:kern w:val="0"/>
                <w:szCs w:val="21"/>
              </w:rPr>
              <w:t>2010年</w:t>
            </w:r>
          </w:p>
        </w:tc>
        <w:tc>
          <w:tcPr>
            <w:tcW w:w="969" w:type="dxa"/>
          </w:tcPr>
          <w:p w:rsidR="000005EB" w:rsidRDefault="00390914" w:rsidP="00143227">
            <w:pPr>
              <w:autoSpaceDE w:val="0"/>
              <w:autoSpaceDN w:val="0"/>
              <w:adjustRightInd w:val="0"/>
              <w:jc w:val="center"/>
              <w:rPr>
                <w:rFonts w:ascii="宋体" w:cs="宋体"/>
                <w:b/>
                <w:kern w:val="0"/>
                <w:szCs w:val="21"/>
              </w:rPr>
            </w:pPr>
            <w:r>
              <w:rPr>
                <w:rFonts w:ascii="宋体" w:cs="宋体" w:hint="eastAsia"/>
                <w:b/>
                <w:kern w:val="0"/>
                <w:szCs w:val="21"/>
              </w:rPr>
              <w:t>2011年</w:t>
            </w:r>
          </w:p>
        </w:tc>
        <w:tc>
          <w:tcPr>
            <w:tcW w:w="1034" w:type="dxa"/>
          </w:tcPr>
          <w:p w:rsidR="000005EB" w:rsidRDefault="00390914" w:rsidP="00143227">
            <w:pPr>
              <w:autoSpaceDE w:val="0"/>
              <w:autoSpaceDN w:val="0"/>
              <w:adjustRightInd w:val="0"/>
              <w:jc w:val="center"/>
              <w:rPr>
                <w:rFonts w:ascii="宋体" w:cs="宋体"/>
                <w:b/>
                <w:kern w:val="0"/>
                <w:szCs w:val="21"/>
              </w:rPr>
            </w:pPr>
            <w:r>
              <w:rPr>
                <w:rFonts w:ascii="宋体" w:cs="宋体" w:hint="eastAsia"/>
                <w:b/>
                <w:kern w:val="0"/>
                <w:szCs w:val="21"/>
              </w:rPr>
              <w:t>2012年</w:t>
            </w:r>
          </w:p>
        </w:tc>
      </w:tr>
      <w:tr w:rsidR="00143227">
        <w:tc>
          <w:tcPr>
            <w:tcW w:w="2042" w:type="dxa"/>
          </w:tcPr>
          <w:p w:rsidR="00523198" w:rsidRPr="00784ACE" w:rsidRDefault="00523198" w:rsidP="00143227">
            <w:pPr>
              <w:autoSpaceDE w:val="0"/>
              <w:autoSpaceDN w:val="0"/>
              <w:adjustRightInd w:val="0"/>
              <w:jc w:val="center"/>
              <w:rPr>
                <w:rFonts w:ascii="宋体" w:cs="宋体"/>
                <w:kern w:val="0"/>
                <w:sz w:val="22"/>
                <w:szCs w:val="22"/>
              </w:rPr>
            </w:pPr>
            <w:r>
              <w:rPr>
                <w:rFonts w:ascii="宋体" w:cs="宋体" w:hint="eastAsia"/>
                <w:kern w:val="0"/>
                <w:sz w:val="22"/>
                <w:szCs w:val="22"/>
              </w:rPr>
              <w:t>经</w:t>
            </w:r>
            <w:r w:rsidR="00143227">
              <w:rPr>
                <w:rFonts w:ascii="宋体" w:cs="宋体" w:hint="eastAsia"/>
                <w:kern w:val="0"/>
                <w:sz w:val="22"/>
                <w:szCs w:val="22"/>
              </w:rPr>
              <w:t>营现金净流量</w:t>
            </w:r>
          </w:p>
        </w:tc>
        <w:tc>
          <w:tcPr>
            <w:tcW w:w="1486" w:type="dxa"/>
          </w:tcPr>
          <w:p w:rsidR="00523198" w:rsidRPr="00021F9A" w:rsidRDefault="00523198" w:rsidP="00143227">
            <w:pPr>
              <w:autoSpaceDE w:val="0"/>
              <w:autoSpaceDN w:val="0"/>
              <w:adjustRightInd w:val="0"/>
              <w:jc w:val="center"/>
              <w:rPr>
                <w:rFonts w:ascii="宋体" w:cs="宋体"/>
                <w:b/>
                <w:kern w:val="0"/>
                <w:szCs w:val="21"/>
              </w:rPr>
            </w:pPr>
            <w:r w:rsidRPr="00021F9A">
              <w:rPr>
                <w:rFonts w:ascii="宋体" w:cs="宋体"/>
                <w:b/>
                <w:kern w:val="0"/>
                <w:szCs w:val="21"/>
              </w:rPr>
              <w:t>239,849,412</w:t>
            </w:r>
          </w:p>
        </w:tc>
        <w:tc>
          <w:tcPr>
            <w:tcW w:w="900" w:type="dxa"/>
          </w:tcPr>
          <w:p w:rsidR="00523198" w:rsidRDefault="00523198" w:rsidP="00143227">
            <w:pPr>
              <w:autoSpaceDE w:val="0"/>
              <w:autoSpaceDN w:val="0"/>
              <w:adjustRightInd w:val="0"/>
              <w:jc w:val="center"/>
              <w:rPr>
                <w:rFonts w:ascii="宋体" w:cs="宋体"/>
                <w:b/>
                <w:kern w:val="0"/>
                <w:szCs w:val="21"/>
              </w:rPr>
            </w:pPr>
            <w:r>
              <w:rPr>
                <w:rFonts w:ascii="宋体" w:cs="宋体" w:hint="eastAsia"/>
                <w:b/>
                <w:kern w:val="0"/>
                <w:szCs w:val="21"/>
              </w:rPr>
              <w:t>100%</w:t>
            </w:r>
          </w:p>
        </w:tc>
        <w:tc>
          <w:tcPr>
            <w:tcW w:w="1080" w:type="dxa"/>
            <w:vAlign w:val="bottom"/>
          </w:tcPr>
          <w:p w:rsidR="00523198" w:rsidRDefault="00523198" w:rsidP="00143227">
            <w:pPr>
              <w:jc w:val="center"/>
              <w:rPr>
                <w:rFonts w:ascii="宋体" w:hAnsi="宋体" w:cs="宋体"/>
                <w:sz w:val="24"/>
              </w:rPr>
            </w:pPr>
            <w:r>
              <w:rPr>
                <w:rFonts w:hint="eastAsia"/>
              </w:rPr>
              <w:t>326.85%</w:t>
            </w:r>
          </w:p>
        </w:tc>
        <w:tc>
          <w:tcPr>
            <w:tcW w:w="1011" w:type="dxa"/>
            <w:vAlign w:val="bottom"/>
          </w:tcPr>
          <w:p w:rsidR="00523198" w:rsidRDefault="00523198" w:rsidP="00143227">
            <w:pPr>
              <w:jc w:val="center"/>
              <w:rPr>
                <w:rFonts w:ascii="宋体" w:hAnsi="宋体" w:cs="宋体"/>
                <w:sz w:val="24"/>
              </w:rPr>
            </w:pPr>
            <w:r>
              <w:rPr>
                <w:rFonts w:hint="eastAsia"/>
              </w:rPr>
              <w:t>490.34%</w:t>
            </w:r>
          </w:p>
        </w:tc>
        <w:tc>
          <w:tcPr>
            <w:tcW w:w="969" w:type="dxa"/>
            <w:vAlign w:val="bottom"/>
          </w:tcPr>
          <w:p w:rsidR="00523198" w:rsidRDefault="00523198" w:rsidP="00143227">
            <w:pPr>
              <w:jc w:val="center"/>
              <w:rPr>
                <w:rFonts w:ascii="宋体" w:hAnsi="宋体" w:cs="宋体"/>
                <w:sz w:val="24"/>
              </w:rPr>
            </w:pPr>
            <w:r>
              <w:rPr>
                <w:rFonts w:hint="eastAsia"/>
              </w:rPr>
              <w:t>163.97%</w:t>
            </w:r>
          </w:p>
        </w:tc>
        <w:tc>
          <w:tcPr>
            <w:tcW w:w="1034" w:type="dxa"/>
            <w:vAlign w:val="bottom"/>
          </w:tcPr>
          <w:p w:rsidR="00523198" w:rsidRDefault="00523198" w:rsidP="00143227">
            <w:pPr>
              <w:jc w:val="center"/>
              <w:rPr>
                <w:rFonts w:ascii="宋体" w:hAnsi="宋体" w:cs="宋体"/>
                <w:sz w:val="24"/>
              </w:rPr>
            </w:pPr>
            <w:r>
              <w:rPr>
                <w:rFonts w:hint="eastAsia"/>
              </w:rPr>
              <w:t>165.85%</w:t>
            </w:r>
          </w:p>
        </w:tc>
      </w:tr>
      <w:tr w:rsidR="00143227">
        <w:tc>
          <w:tcPr>
            <w:tcW w:w="2042" w:type="dxa"/>
          </w:tcPr>
          <w:p w:rsidR="00523198" w:rsidRPr="00784ACE" w:rsidRDefault="00143227" w:rsidP="00143227">
            <w:pPr>
              <w:autoSpaceDE w:val="0"/>
              <w:autoSpaceDN w:val="0"/>
              <w:adjustRightInd w:val="0"/>
              <w:jc w:val="center"/>
              <w:rPr>
                <w:rFonts w:ascii="宋体" w:cs="宋体"/>
                <w:kern w:val="0"/>
                <w:sz w:val="22"/>
                <w:szCs w:val="22"/>
              </w:rPr>
            </w:pPr>
            <w:r>
              <w:rPr>
                <w:rFonts w:ascii="宋体" w:cs="宋体" w:hint="eastAsia"/>
                <w:kern w:val="0"/>
                <w:sz w:val="22"/>
                <w:szCs w:val="22"/>
              </w:rPr>
              <w:t>投资现金净流量</w:t>
            </w:r>
          </w:p>
        </w:tc>
        <w:tc>
          <w:tcPr>
            <w:tcW w:w="1486" w:type="dxa"/>
          </w:tcPr>
          <w:p w:rsidR="00523198" w:rsidRPr="00021F9A" w:rsidRDefault="00523198" w:rsidP="00143227">
            <w:pPr>
              <w:autoSpaceDE w:val="0"/>
              <w:autoSpaceDN w:val="0"/>
              <w:adjustRightInd w:val="0"/>
              <w:jc w:val="center"/>
              <w:rPr>
                <w:rFonts w:ascii="宋体" w:cs="宋体"/>
                <w:b/>
                <w:kern w:val="0"/>
                <w:szCs w:val="21"/>
              </w:rPr>
            </w:pPr>
            <w:r>
              <w:rPr>
                <w:rFonts w:ascii="宋体" w:cs="宋体"/>
                <w:b/>
                <w:kern w:val="0"/>
                <w:szCs w:val="21"/>
              </w:rPr>
              <w:t>-589,250,7</w:t>
            </w:r>
            <w:r>
              <w:rPr>
                <w:rFonts w:ascii="宋体" w:cs="宋体" w:hint="eastAsia"/>
                <w:b/>
                <w:kern w:val="0"/>
                <w:szCs w:val="21"/>
              </w:rPr>
              <w:t>3</w:t>
            </w:r>
            <w:r w:rsidRPr="00021F9A">
              <w:rPr>
                <w:rFonts w:ascii="宋体" w:cs="宋体"/>
                <w:b/>
                <w:kern w:val="0"/>
                <w:szCs w:val="21"/>
              </w:rPr>
              <w:t>1</w:t>
            </w:r>
          </w:p>
        </w:tc>
        <w:tc>
          <w:tcPr>
            <w:tcW w:w="900" w:type="dxa"/>
          </w:tcPr>
          <w:p w:rsidR="00523198" w:rsidRDefault="00143227" w:rsidP="00143227">
            <w:pPr>
              <w:autoSpaceDE w:val="0"/>
              <w:autoSpaceDN w:val="0"/>
              <w:adjustRightInd w:val="0"/>
              <w:jc w:val="center"/>
              <w:rPr>
                <w:rFonts w:ascii="宋体" w:cs="宋体"/>
                <w:b/>
                <w:kern w:val="0"/>
                <w:szCs w:val="21"/>
              </w:rPr>
            </w:pPr>
            <w:r>
              <w:rPr>
                <w:rFonts w:ascii="宋体" w:cs="宋体" w:hint="eastAsia"/>
                <w:b/>
                <w:kern w:val="0"/>
                <w:szCs w:val="21"/>
              </w:rPr>
              <w:t>100%</w:t>
            </w:r>
          </w:p>
        </w:tc>
        <w:tc>
          <w:tcPr>
            <w:tcW w:w="1080" w:type="dxa"/>
            <w:vAlign w:val="bottom"/>
          </w:tcPr>
          <w:p w:rsidR="00523198" w:rsidRDefault="00523198" w:rsidP="00143227">
            <w:pPr>
              <w:jc w:val="center"/>
              <w:rPr>
                <w:rFonts w:ascii="宋体" w:hAnsi="宋体" w:cs="宋体"/>
                <w:sz w:val="24"/>
              </w:rPr>
            </w:pPr>
            <w:r>
              <w:rPr>
                <w:rFonts w:hint="eastAsia"/>
              </w:rPr>
              <w:t>-26.37%</w:t>
            </w:r>
          </w:p>
        </w:tc>
        <w:tc>
          <w:tcPr>
            <w:tcW w:w="1011" w:type="dxa"/>
            <w:vAlign w:val="bottom"/>
          </w:tcPr>
          <w:p w:rsidR="00523198" w:rsidRDefault="00523198" w:rsidP="00143227">
            <w:pPr>
              <w:jc w:val="center"/>
              <w:rPr>
                <w:rFonts w:ascii="宋体" w:hAnsi="宋体" w:cs="宋体"/>
                <w:sz w:val="24"/>
              </w:rPr>
            </w:pPr>
            <w:r>
              <w:rPr>
                <w:rFonts w:hint="eastAsia"/>
              </w:rPr>
              <w:t>257.75%</w:t>
            </w:r>
          </w:p>
        </w:tc>
        <w:tc>
          <w:tcPr>
            <w:tcW w:w="969" w:type="dxa"/>
            <w:vAlign w:val="bottom"/>
          </w:tcPr>
          <w:p w:rsidR="00523198" w:rsidRDefault="00523198" w:rsidP="00143227">
            <w:pPr>
              <w:jc w:val="center"/>
              <w:rPr>
                <w:rFonts w:ascii="宋体" w:hAnsi="宋体" w:cs="宋体"/>
                <w:sz w:val="24"/>
              </w:rPr>
            </w:pPr>
            <w:r>
              <w:rPr>
                <w:rFonts w:hint="eastAsia"/>
              </w:rPr>
              <w:t>54.02%</w:t>
            </w:r>
          </w:p>
        </w:tc>
        <w:tc>
          <w:tcPr>
            <w:tcW w:w="1034" w:type="dxa"/>
            <w:vAlign w:val="bottom"/>
          </w:tcPr>
          <w:p w:rsidR="00523198" w:rsidRDefault="00523198" w:rsidP="00143227">
            <w:pPr>
              <w:jc w:val="center"/>
              <w:rPr>
                <w:rFonts w:ascii="宋体" w:hAnsi="宋体" w:cs="宋体"/>
                <w:sz w:val="24"/>
              </w:rPr>
            </w:pPr>
            <w:r>
              <w:rPr>
                <w:rFonts w:hint="eastAsia"/>
              </w:rPr>
              <w:t>-14.84%</w:t>
            </w:r>
          </w:p>
        </w:tc>
      </w:tr>
      <w:tr w:rsidR="00143227">
        <w:tc>
          <w:tcPr>
            <w:tcW w:w="2042" w:type="dxa"/>
          </w:tcPr>
          <w:p w:rsidR="00523198" w:rsidRPr="00784ACE" w:rsidRDefault="00143227" w:rsidP="00143227">
            <w:pPr>
              <w:autoSpaceDE w:val="0"/>
              <w:autoSpaceDN w:val="0"/>
              <w:adjustRightInd w:val="0"/>
              <w:jc w:val="center"/>
              <w:rPr>
                <w:rFonts w:ascii="宋体" w:cs="宋体"/>
                <w:kern w:val="0"/>
                <w:sz w:val="22"/>
                <w:szCs w:val="22"/>
              </w:rPr>
            </w:pPr>
            <w:r>
              <w:rPr>
                <w:rFonts w:ascii="宋体" w:cs="宋体" w:hint="eastAsia"/>
                <w:kern w:val="0"/>
                <w:sz w:val="22"/>
                <w:szCs w:val="22"/>
              </w:rPr>
              <w:t>筹资现金净流量</w:t>
            </w:r>
          </w:p>
        </w:tc>
        <w:tc>
          <w:tcPr>
            <w:tcW w:w="1486" w:type="dxa"/>
          </w:tcPr>
          <w:p w:rsidR="00523198" w:rsidRPr="00021F9A" w:rsidRDefault="00523198" w:rsidP="00143227">
            <w:pPr>
              <w:autoSpaceDE w:val="0"/>
              <w:autoSpaceDN w:val="0"/>
              <w:adjustRightInd w:val="0"/>
              <w:jc w:val="center"/>
              <w:rPr>
                <w:rFonts w:ascii="宋体" w:cs="宋体"/>
                <w:b/>
                <w:kern w:val="0"/>
                <w:szCs w:val="21"/>
              </w:rPr>
            </w:pPr>
            <w:r w:rsidRPr="00021F9A">
              <w:rPr>
                <w:rFonts w:ascii="宋体" w:cs="宋体"/>
                <w:b/>
                <w:kern w:val="0"/>
                <w:szCs w:val="21"/>
              </w:rPr>
              <w:t>-255,408,405</w:t>
            </w:r>
          </w:p>
        </w:tc>
        <w:tc>
          <w:tcPr>
            <w:tcW w:w="900" w:type="dxa"/>
          </w:tcPr>
          <w:p w:rsidR="00523198" w:rsidRDefault="00143227" w:rsidP="00143227">
            <w:pPr>
              <w:autoSpaceDE w:val="0"/>
              <w:autoSpaceDN w:val="0"/>
              <w:adjustRightInd w:val="0"/>
              <w:jc w:val="center"/>
              <w:rPr>
                <w:rFonts w:ascii="宋体" w:cs="宋体"/>
                <w:b/>
                <w:kern w:val="0"/>
                <w:szCs w:val="21"/>
              </w:rPr>
            </w:pPr>
            <w:r>
              <w:rPr>
                <w:rFonts w:ascii="宋体" w:cs="宋体" w:hint="eastAsia"/>
                <w:b/>
                <w:kern w:val="0"/>
                <w:szCs w:val="21"/>
              </w:rPr>
              <w:t>100%</w:t>
            </w:r>
          </w:p>
        </w:tc>
        <w:tc>
          <w:tcPr>
            <w:tcW w:w="1080" w:type="dxa"/>
            <w:vAlign w:val="bottom"/>
          </w:tcPr>
          <w:p w:rsidR="00523198" w:rsidRDefault="00523198" w:rsidP="00143227">
            <w:pPr>
              <w:jc w:val="center"/>
              <w:rPr>
                <w:rFonts w:ascii="宋体" w:hAnsi="宋体" w:cs="宋体"/>
                <w:sz w:val="24"/>
              </w:rPr>
            </w:pPr>
            <w:r>
              <w:rPr>
                <w:rFonts w:hint="eastAsia"/>
              </w:rPr>
              <w:t>78.61%</w:t>
            </w:r>
          </w:p>
        </w:tc>
        <w:tc>
          <w:tcPr>
            <w:tcW w:w="1011" w:type="dxa"/>
            <w:vAlign w:val="bottom"/>
          </w:tcPr>
          <w:p w:rsidR="00523198" w:rsidRDefault="00523198" w:rsidP="00143227">
            <w:pPr>
              <w:jc w:val="center"/>
              <w:rPr>
                <w:rFonts w:ascii="宋体" w:hAnsi="宋体" w:cs="宋体"/>
                <w:sz w:val="24"/>
              </w:rPr>
            </w:pPr>
            <w:r>
              <w:rPr>
                <w:rFonts w:hint="eastAsia"/>
              </w:rPr>
              <w:t>161.98%</w:t>
            </w:r>
          </w:p>
        </w:tc>
        <w:tc>
          <w:tcPr>
            <w:tcW w:w="969" w:type="dxa"/>
            <w:vAlign w:val="bottom"/>
          </w:tcPr>
          <w:p w:rsidR="00523198" w:rsidRDefault="00523198" w:rsidP="00143227">
            <w:pPr>
              <w:jc w:val="center"/>
              <w:rPr>
                <w:rFonts w:ascii="宋体" w:hAnsi="宋体" w:cs="宋体"/>
                <w:sz w:val="24"/>
              </w:rPr>
            </w:pPr>
            <w:r>
              <w:rPr>
                <w:rFonts w:hint="eastAsia"/>
              </w:rPr>
              <w:t>89.21%</w:t>
            </w:r>
          </w:p>
        </w:tc>
        <w:tc>
          <w:tcPr>
            <w:tcW w:w="1034" w:type="dxa"/>
            <w:vAlign w:val="bottom"/>
          </w:tcPr>
          <w:p w:rsidR="00523198" w:rsidRDefault="00523198" w:rsidP="00143227">
            <w:pPr>
              <w:jc w:val="center"/>
              <w:rPr>
                <w:rFonts w:ascii="宋体" w:hAnsi="宋体" w:cs="宋体"/>
                <w:sz w:val="24"/>
              </w:rPr>
            </w:pPr>
            <w:r>
              <w:rPr>
                <w:rFonts w:hint="eastAsia"/>
              </w:rPr>
              <w:t>95.43%</w:t>
            </w:r>
          </w:p>
        </w:tc>
      </w:tr>
      <w:tr w:rsidR="00143227">
        <w:tc>
          <w:tcPr>
            <w:tcW w:w="2042" w:type="dxa"/>
          </w:tcPr>
          <w:p w:rsidR="00523198" w:rsidRDefault="00143227" w:rsidP="00143227">
            <w:pPr>
              <w:autoSpaceDE w:val="0"/>
              <w:autoSpaceDN w:val="0"/>
              <w:adjustRightInd w:val="0"/>
              <w:jc w:val="center"/>
              <w:rPr>
                <w:rFonts w:ascii="宋体" w:cs="宋体"/>
                <w:b/>
                <w:kern w:val="0"/>
                <w:szCs w:val="21"/>
              </w:rPr>
            </w:pPr>
            <w:r>
              <w:rPr>
                <w:rFonts w:ascii="宋体" w:cs="宋体" w:hint="eastAsia"/>
                <w:b/>
                <w:kern w:val="0"/>
                <w:szCs w:val="21"/>
              </w:rPr>
              <w:t>现金期末余额</w:t>
            </w:r>
          </w:p>
        </w:tc>
        <w:tc>
          <w:tcPr>
            <w:tcW w:w="1486" w:type="dxa"/>
          </w:tcPr>
          <w:p w:rsidR="00523198" w:rsidRPr="00021F9A" w:rsidRDefault="00523198" w:rsidP="00143227">
            <w:pPr>
              <w:autoSpaceDE w:val="0"/>
              <w:autoSpaceDN w:val="0"/>
              <w:adjustRightInd w:val="0"/>
              <w:jc w:val="center"/>
              <w:rPr>
                <w:rFonts w:ascii="宋体" w:cs="宋体"/>
                <w:b/>
                <w:kern w:val="0"/>
                <w:szCs w:val="21"/>
              </w:rPr>
            </w:pPr>
            <w:r w:rsidRPr="00021F9A">
              <w:rPr>
                <w:rFonts w:ascii="宋体" w:cs="宋体"/>
                <w:b/>
                <w:kern w:val="0"/>
                <w:szCs w:val="21"/>
              </w:rPr>
              <w:t>242,295,670</w:t>
            </w:r>
          </w:p>
        </w:tc>
        <w:tc>
          <w:tcPr>
            <w:tcW w:w="900" w:type="dxa"/>
          </w:tcPr>
          <w:p w:rsidR="00523198" w:rsidRDefault="00143227" w:rsidP="00143227">
            <w:pPr>
              <w:autoSpaceDE w:val="0"/>
              <w:autoSpaceDN w:val="0"/>
              <w:adjustRightInd w:val="0"/>
              <w:jc w:val="center"/>
              <w:rPr>
                <w:rFonts w:ascii="宋体" w:cs="宋体"/>
                <w:b/>
                <w:kern w:val="0"/>
                <w:szCs w:val="21"/>
              </w:rPr>
            </w:pPr>
            <w:r>
              <w:rPr>
                <w:rFonts w:ascii="宋体" w:cs="宋体" w:hint="eastAsia"/>
                <w:b/>
                <w:kern w:val="0"/>
                <w:szCs w:val="21"/>
              </w:rPr>
              <w:t>100%</w:t>
            </w:r>
          </w:p>
        </w:tc>
        <w:tc>
          <w:tcPr>
            <w:tcW w:w="1080" w:type="dxa"/>
            <w:vAlign w:val="bottom"/>
          </w:tcPr>
          <w:p w:rsidR="00523198" w:rsidRDefault="00523198" w:rsidP="00143227">
            <w:pPr>
              <w:jc w:val="center"/>
              <w:rPr>
                <w:rFonts w:ascii="宋体" w:hAnsi="宋体" w:cs="宋体"/>
                <w:sz w:val="24"/>
              </w:rPr>
            </w:pPr>
            <w:r>
              <w:rPr>
                <w:rFonts w:hint="eastAsia"/>
              </w:rPr>
              <w:t>404.82%</w:t>
            </w:r>
          </w:p>
        </w:tc>
        <w:tc>
          <w:tcPr>
            <w:tcW w:w="1011" w:type="dxa"/>
            <w:vAlign w:val="bottom"/>
          </w:tcPr>
          <w:p w:rsidR="00523198" w:rsidRDefault="00523198" w:rsidP="00143227">
            <w:pPr>
              <w:jc w:val="center"/>
              <w:rPr>
                <w:rFonts w:ascii="宋体" w:hAnsi="宋体" w:cs="宋体"/>
                <w:sz w:val="24"/>
              </w:rPr>
            </w:pPr>
            <w:r>
              <w:rPr>
                <w:rFonts w:hint="eastAsia"/>
              </w:rPr>
              <w:t>92.50%</w:t>
            </w:r>
          </w:p>
        </w:tc>
        <w:tc>
          <w:tcPr>
            <w:tcW w:w="969" w:type="dxa"/>
            <w:vAlign w:val="bottom"/>
          </w:tcPr>
          <w:p w:rsidR="00523198" w:rsidRDefault="00523198" w:rsidP="00143227">
            <w:pPr>
              <w:jc w:val="center"/>
              <w:rPr>
                <w:rFonts w:ascii="宋体" w:hAnsi="宋体" w:cs="宋体"/>
                <w:sz w:val="24"/>
              </w:rPr>
            </w:pPr>
            <w:r>
              <w:rPr>
                <w:rFonts w:hint="eastAsia"/>
              </w:rPr>
              <w:t>29.41%</w:t>
            </w:r>
          </w:p>
        </w:tc>
        <w:tc>
          <w:tcPr>
            <w:tcW w:w="1034" w:type="dxa"/>
            <w:vAlign w:val="bottom"/>
          </w:tcPr>
          <w:p w:rsidR="00523198" w:rsidRDefault="00523198" w:rsidP="00143227">
            <w:pPr>
              <w:jc w:val="center"/>
              <w:rPr>
                <w:rFonts w:ascii="宋体" w:hAnsi="宋体" w:cs="宋体"/>
                <w:sz w:val="24"/>
              </w:rPr>
            </w:pPr>
            <w:r>
              <w:rPr>
                <w:rFonts w:hint="eastAsia"/>
              </w:rPr>
              <w:t>129.07%</w:t>
            </w:r>
          </w:p>
        </w:tc>
      </w:tr>
    </w:tbl>
    <w:p w:rsidR="00450D62" w:rsidRDefault="00450D62" w:rsidP="000C42B3">
      <w:pPr>
        <w:tabs>
          <w:tab w:val="left" w:pos="810"/>
        </w:tabs>
        <w:rPr>
          <w:b/>
          <w:szCs w:val="21"/>
        </w:rPr>
      </w:pPr>
    </w:p>
    <w:p w:rsidR="00550915" w:rsidRDefault="00A14000" w:rsidP="00550915">
      <w:pPr>
        <w:autoSpaceDE w:val="0"/>
        <w:autoSpaceDN w:val="0"/>
        <w:adjustRightInd w:val="0"/>
        <w:jc w:val="center"/>
        <w:rPr>
          <w:rFonts w:ascii="宋体" w:cs="宋体"/>
          <w:b/>
          <w:kern w:val="0"/>
          <w:szCs w:val="21"/>
        </w:rPr>
      </w:pPr>
      <w:r w:rsidRPr="00550915">
        <w:rPr>
          <w:rFonts w:hint="eastAsia"/>
          <w:b/>
          <w:noProof/>
          <w:szCs w:val="21"/>
        </w:rPr>
        <w:drawing>
          <wp:anchor distT="0" distB="0" distL="114300" distR="114300" simplePos="0" relativeHeight="251658752" behindDoc="0" locked="0" layoutInCell="1" allowOverlap="1">
            <wp:simplePos x="0" y="0"/>
            <wp:positionH relativeFrom="column">
              <wp:posOffset>457200</wp:posOffset>
            </wp:positionH>
            <wp:positionV relativeFrom="paragraph">
              <wp:posOffset>160020</wp:posOffset>
            </wp:positionV>
            <wp:extent cx="4629785" cy="1858010"/>
            <wp:effectExtent l="0" t="0" r="0" b="3175"/>
            <wp:wrapNone/>
            <wp:docPr id="8" name="对象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550915" w:rsidRPr="00550915">
        <w:rPr>
          <w:rFonts w:hint="eastAsia"/>
          <w:b/>
          <w:szCs w:val="21"/>
        </w:rPr>
        <w:t>图</w:t>
      </w:r>
      <w:r w:rsidR="00550915" w:rsidRPr="00550915">
        <w:rPr>
          <w:rFonts w:hint="eastAsia"/>
          <w:b/>
          <w:szCs w:val="21"/>
        </w:rPr>
        <w:t>5</w:t>
      </w:r>
      <w:r w:rsidR="00550915">
        <w:rPr>
          <w:rFonts w:ascii="宋体" w:cs="宋体" w:hint="eastAsia"/>
          <w:b/>
          <w:kern w:val="0"/>
          <w:szCs w:val="21"/>
        </w:rPr>
        <w:t>青岛海尔现金流量变化趋势</w:t>
      </w:r>
    </w:p>
    <w:p w:rsidR="00450D62" w:rsidRPr="00550915" w:rsidRDefault="00450D62" w:rsidP="00450D62">
      <w:pPr>
        <w:rPr>
          <w:szCs w:val="21"/>
        </w:rPr>
      </w:pPr>
    </w:p>
    <w:p w:rsidR="00450D62" w:rsidRPr="00450D62" w:rsidRDefault="00450D62" w:rsidP="00450D62">
      <w:pPr>
        <w:rPr>
          <w:szCs w:val="21"/>
        </w:rPr>
      </w:pPr>
    </w:p>
    <w:p w:rsidR="00450D62" w:rsidRPr="00450D62" w:rsidRDefault="00450D62" w:rsidP="00450D62">
      <w:pPr>
        <w:rPr>
          <w:szCs w:val="21"/>
        </w:rPr>
      </w:pPr>
    </w:p>
    <w:p w:rsidR="00450D62" w:rsidRPr="00450D62" w:rsidRDefault="00450D62" w:rsidP="00450D62">
      <w:pPr>
        <w:rPr>
          <w:szCs w:val="21"/>
        </w:rPr>
      </w:pPr>
    </w:p>
    <w:p w:rsidR="00450D62" w:rsidRPr="00450D62" w:rsidRDefault="00450D62" w:rsidP="00450D62">
      <w:pPr>
        <w:rPr>
          <w:szCs w:val="21"/>
        </w:rPr>
      </w:pPr>
    </w:p>
    <w:p w:rsidR="00450D62" w:rsidRPr="00450D62" w:rsidRDefault="00450D62" w:rsidP="00450D62">
      <w:pPr>
        <w:rPr>
          <w:szCs w:val="21"/>
        </w:rPr>
      </w:pPr>
    </w:p>
    <w:p w:rsidR="00450D62" w:rsidRPr="00450D62" w:rsidRDefault="00450D62" w:rsidP="00450D62">
      <w:pPr>
        <w:rPr>
          <w:szCs w:val="21"/>
        </w:rPr>
      </w:pPr>
    </w:p>
    <w:p w:rsidR="00450D62" w:rsidRPr="00450D62" w:rsidRDefault="00450D62" w:rsidP="00450D62">
      <w:pPr>
        <w:rPr>
          <w:szCs w:val="21"/>
        </w:rPr>
      </w:pPr>
    </w:p>
    <w:p w:rsidR="00450D62" w:rsidRPr="00450D62" w:rsidRDefault="00450D62" w:rsidP="00450D62">
      <w:pPr>
        <w:rPr>
          <w:szCs w:val="21"/>
        </w:rPr>
      </w:pPr>
    </w:p>
    <w:p w:rsidR="00450D62" w:rsidRDefault="00450D62" w:rsidP="00450D62">
      <w:pPr>
        <w:rPr>
          <w:szCs w:val="21"/>
        </w:rPr>
      </w:pPr>
    </w:p>
    <w:p w:rsidR="00EB309F" w:rsidRPr="00C04808" w:rsidRDefault="00550915" w:rsidP="00C04808">
      <w:pPr>
        <w:ind w:firstLineChars="200" w:firstLine="420"/>
        <w:rPr>
          <w:rFonts w:ascii="宋体" w:cs="宋体"/>
          <w:kern w:val="0"/>
          <w:szCs w:val="21"/>
        </w:rPr>
      </w:pPr>
      <w:r>
        <w:rPr>
          <w:rFonts w:hint="eastAsia"/>
          <w:szCs w:val="21"/>
        </w:rPr>
        <w:t>表</w:t>
      </w:r>
      <w:r>
        <w:rPr>
          <w:rFonts w:hint="eastAsia"/>
          <w:szCs w:val="21"/>
        </w:rPr>
        <w:t>11</w:t>
      </w:r>
      <w:r>
        <w:rPr>
          <w:rFonts w:hint="eastAsia"/>
          <w:szCs w:val="21"/>
        </w:rPr>
        <w:t>和图</w:t>
      </w:r>
      <w:r>
        <w:rPr>
          <w:rFonts w:hint="eastAsia"/>
          <w:szCs w:val="21"/>
        </w:rPr>
        <w:t>5</w:t>
      </w:r>
      <w:r>
        <w:rPr>
          <w:rFonts w:hint="eastAsia"/>
          <w:szCs w:val="21"/>
        </w:rPr>
        <w:t>列示了青岛海尔以</w:t>
      </w:r>
      <w:r>
        <w:rPr>
          <w:rFonts w:hint="eastAsia"/>
          <w:szCs w:val="21"/>
        </w:rPr>
        <w:t>2008</w:t>
      </w:r>
      <w:r>
        <w:rPr>
          <w:rFonts w:hint="eastAsia"/>
          <w:szCs w:val="21"/>
        </w:rPr>
        <w:t>年为基年的现金流量的变化趋势。</w:t>
      </w:r>
      <w:r w:rsidR="00FF147E">
        <w:rPr>
          <w:rFonts w:hint="eastAsia"/>
          <w:szCs w:val="21"/>
        </w:rPr>
        <w:t>从图表中我们可以看出，</w:t>
      </w:r>
      <w:r w:rsidRPr="00FE0F0C">
        <w:rPr>
          <w:rFonts w:ascii="宋体" w:cs="宋体" w:hint="eastAsia"/>
          <w:kern w:val="0"/>
          <w:szCs w:val="21"/>
        </w:rPr>
        <w:t>在主营业务活动现金流量方面，</w:t>
      </w:r>
      <w:r w:rsidR="00FF147E">
        <w:rPr>
          <w:rFonts w:ascii="宋体" w:cs="宋体" w:hint="eastAsia"/>
          <w:kern w:val="0"/>
          <w:szCs w:val="21"/>
        </w:rPr>
        <w:t>青岛海尔能够产生相当多的现金流，并且保持稳定增长态势。但是考虑到青岛海尔出于成熟期，市场容量日趋饱和，市场竞争趋于白热化，此时其市场占有率不断被其竞争对手蚕食，经营风险加大，投资回报率开始下降，这使得大部分经营活动产生的现金流量开始沉淀</w:t>
      </w:r>
      <w:r w:rsidR="00EB309F">
        <w:rPr>
          <w:rFonts w:ascii="宋体" w:cs="宋体" w:hint="eastAsia"/>
          <w:kern w:val="0"/>
          <w:szCs w:val="21"/>
        </w:rPr>
        <w:t>，因此但凭此项证据，我们还不能得出青岛海尔经营活动的现金流量自我适应能力较强</w:t>
      </w:r>
      <w:r w:rsidR="00FF147E">
        <w:rPr>
          <w:rFonts w:ascii="宋体" w:cs="宋体" w:hint="eastAsia"/>
          <w:kern w:val="0"/>
          <w:szCs w:val="21"/>
        </w:rPr>
        <w:t>。</w:t>
      </w:r>
      <w:r w:rsidR="00B8039E">
        <w:rPr>
          <w:rFonts w:ascii="宋体" w:cs="宋体" w:hint="eastAsia"/>
          <w:kern w:val="0"/>
          <w:szCs w:val="21"/>
        </w:rPr>
        <w:t>我们需要进一步分析其在成熟期能否保持经营现金流量的持久性，</w:t>
      </w:r>
      <w:r w:rsidRPr="00FE0F0C">
        <w:rPr>
          <w:rFonts w:ascii="宋体" w:cs="宋体" w:hint="eastAsia"/>
          <w:kern w:val="0"/>
          <w:szCs w:val="21"/>
        </w:rPr>
        <w:t>我们将在接下来的经营活动现金流量分析部分进一步探讨这个问题。</w:t>
      </w:r>
    </w:p>
    <w:p w:rsidR="009632AB" w:rsidRDefault="00550915" w:rsidP="009632AB">
      <w:pPr>
        <w:ind w:firstLineChars="200" w:firstLine="420"/>
        <w:rPr>
          <w:rFonts w:ascii="宋体" w:cs="宋体"/>
          <w:kern w:val="0"/>
          <w:szCs w:val="21"/>
        </w:rPr>
      </w:pPr>
      <w:r w:rsidRPr="00FE0F0C">
        <w:rPr>
          <w:rFonts w:ascii="宋体" w:cs="宋体" w:hint="eastAsia"/>
          <w:kern w:val="0"/>
          <w:szCs w:val="21"/>
        </w:rPr>
        <w:t>在投资活动现金流量方面，</w:t>
      </w:r>
      <w:r w:rsidR="00C04808">
        <w:rPr>
          <w:rFonts w:ascii="宋体" w:cs="宋体" w:hint="eastAsia"/>
          <w:kern w:val="0"/>
          <w:szCs w:val="21"/>
        </w:rPr>
        <w:t>我们从其现金流量中可以看出，青岛海尔投资活动的现金流入主要由于“收回投资所收到的现金、</w:t>
      </w:r>
      <w:r w:rsidR="00C04808" w:rsidRPr="00C04808">
        <w:rPr>
          <w:rFonts w:hint="eastAsia"/>
          <w:szCs w:val="21"/>
        </w:rPr>
        <w:t>取得投资收益收到的现金</w:t>
      </w:r>
      <w:r w:rsidR="00C04808">
        <w:rPr>
          <w:rFonts w:ascii="宋体" w:cs="宋体" w:hint="eastAsia"/>
          <w:kern w:val="0"/>
          <w:szCs w:val="21"/>
        </w:rPr>
        <w:t>”这个因素所致，而现金流出主要由“</w:t>
      </w:r>
      <w:r w:rsidR="00C04808" w:rsidRPr="00C04808">
        <w:rPr>
          <w:rFonts w:hint="eastAsia"/>
          <w:szCs w:val="21"/>
        </w:rPr>
        <w:t>购建固定资产、无形资产和其他长期资产支付的现金</w:t>
      </w:r>
      <w:r w:rsidR="00C04808" w:rsidRPr="00C04808">
        <w:rPr>
          <w:rFonts w:ascii="宋体" w:cs="宋体" w:hint="eastAsia"/>
          <w:kern w:val="0"/>
          <w:szCs w:val="21"/>
        </w:rPr>
        <w:t>”“</w:t>
      </w:r>
      <w:r w:rsidR="00C04808" w:rsidRPr="00C04808">
        <w:rPr>
          <w:rFonts w:hint="eastAsia"/>
          <w:szCs w:val="21"/>
        </w:rPr>
        <w:t xml:space="preserve"> </w:t>
      </w:r>
      <w:r w:rsidR="00C04808" w:rsidRPr="00C04808">
        <w:rPr>
          <w:rFonts w:hint="eastAsia"/>
          <w:szCs w:val="21"/>
        </w:rPr>
        <w:t>投资支付的现金</w:t>
      </w:r>
      <w:r w:rsidR="00C04808">
        <w:rPr>
          <w:rFonts w:ascii="宋体" w:cs="宋体" w:hint="eastAsia"/>
          <w:kern w:val="0"/>
          <w:szCs w:val="21"/>
        </w:rPr>
        <w:t>”这两个因素所致，其中后面因素是主要原因。</w:t>
      </w:r>
      <w:r w:rsidR="000F3BD4">
        <w:rPr>
          <w:rFonts w:ascii="宋体" w:cs="宋体" w:hint="eastAsia"/>
          <w:kern w:val="0"/>
          <w:szCs w:val="21"/>
        </w:rPr>
        <w:t>从流入角度来看，我们可以合理推测青岛海尔的投资效率和质量还是比较高的；从现金支出角度考虑，一方面由于长期有形资产资本支出稳定增长，我们可以合理推断，青岛海尔的扩大再生产能力比较强，不过这需要结合青岛海尔未来经营方向、经营方式、经营战略和获利能力综合考虑；</w:t>
      </w:r>
      <w:r w:rsidR="00EF400C">
        <w:rPr>
          <w:rFonts w:ascii="宋体" w:cs="宋体" w:hint="eastAsia"/>
          <w:kern w:val="0"/>
          <w:szCs w:val="21"/>
        </w:rPr>
        <w:t>一方面从长期股权投资支出不断大额增加，这合理反映出青岛海尔参与资本市场运作、整合业务能力的强大，但这也需要结合相关股权投资协议进一步研究，以分析投资方向与其战略目标是否一致。</w:t>
      </w:r>
      <w:r w:rsidR="009632AB">
        <w:rPr>
          <w:rFonts w:ascii="宋体" w:cs="宋体" w:hint="eastAsia"/>
          <w:kern w:val="0"/>
          <w:szCs w:val="21"/>
        </w:rPr>
        <w:t>主要注意的是，</w:t>
      </w:r>
    </w:p>
    <w:p w:rsidR="00C26E30" w:rsidRDefault="00550915" w:rsidP="009632AB">
      <w:pPr>
        <w:rPr>
          <w:rFonts w:ascii="宋体" w:cs="宋体"/>
          <w:kern w:val="0"/>
          <w:szCs w:val="21"/>
        </w:rPr>
      </w:pPr>
      <w:r w:rsidRPr="00FE0F0C">
        <w:rPr>
          <w:rFonts w:ascii="宋体" w:cs="宋体" w:hint="eastAsia"/>
          <w:kern w:val="0"/>
          <w:szCs w:val="21"/>
        </w:rPr>
        <w:t>正如我们在战略分析中所提及，青岛海尔与海尔集团一直在业务方面存在同业竞争的情况，而青岛海尔的年报中也多次提及要着手解决与控股股东的同业竞争问题，而解决这一问题最可能的方法就是向海尔集团购买相关资产。因此，不排除青岛海尔在未来仍可能出现较大的现金投资支出。此外，青岛海尔与海尔集团的另一香港上市公司海尔电器间的复杂关系也将影响青岛海尔未来的现金流动情况。</w:t>
      </w:r>
      <w:r w:rsidR="009632AB">
        <w:rPr>
          <w:rFonts w:ascii="宋体" w:cs="宋体" w:hint="eastAsia"/>
          <w:kern w:val="0"/>
          <w:szCs w:val="21"/>
        </w:rPr>
        <w:t>如果</w:t>
      </w:r>
      <w:r w:rsidRPr="00FE0F0C">
        <w:rPr>
          <w:rFonts w:ascii="宋体" w:cs="宋体" w:hint="eastAsia"/>
          <w:kern w:val="0"/>
          <w:szCs w:val="21"/>
        </w:rPr>
        <w:t>青岛海尔的许多业务将分拆注人海尔电器，那么青岛海尔可能获得较大的投资现金流入，但经营活动现金将进一步萎缩，因此青岛海尔可能需要投资新的项目来寻找新的业绩增长点。可以预计，海尔集团对青岛海尔的定位将对青岛海尔投资现金流动情况产生巨大影响。</w:t>
      </w:r>
    </w:p>
    <w:p w:rsidR="00550915" w:rsidRPr="009E5E34" w:rsidRDefault="00550915" w:rsidP="009E5E34">
      <w:pPr>
        <w:ind w:firstLineChars="200" w:firstLine="420"/>
        <w:rPr>
          <w:rFonts w:ascii="宋体" w:cs="宋体"/>
          <w:kern w:val="0"/>
          <w:szCs w:val="21"/>
        </w:rPr>
      </w:pPr>
      <w:r w:rsidRPr="00FE0F0C">
        <w:rPr>
          <w:rFonts w:ascii="宋体" w:cs="宋体" w:hint="eastAsia"/>
          <w:kern w:val="0"/>
          <w:szCs w:val="21"/>
        </w:rPr>
        <w:t>在筹资活动现金流量方面，由于</w:t>
      </w:r>
      <w:r w:rsidRPr="00FE0F0C">
        <w:rPr>
          <w:kern w:val="0"/>
          <w:szCs w:val="21"/>
        </w:rPr>
        <w:t>20</w:t>
      </w:r>
      <w:r w:rsidR="005E6314">
        <w:rPr>
          <w:rFonts w:hint="eastAsia"/>
          <w:kern w:val="0"/>
          <w:szCs w:val="21"/>
        </w:rPr>
        <w:t>10</w:t>
      </w:r>
      <w:r w:rsidRPr="00FE0F0C">
        <w:rPr>
          <w:rFonts w:ascii="宋体" w:cs="宋体" w:hint="eastAsia"/>
          <w:kern w:val="0"/>
          <w:szCs w:val="21"/>
        </w:rPr>
        <w:t>年青经营活动现金净流入远无法满足投资资金需求</w:t>
      </w:r>
      <w:r w:rsidR="005E6314">
        <w:rPr>
          <w:rFonts w:ascii="宋体" w:cs="宋体" w:hint="eastAsia"/>
          <w:kern w:val="0"/>
          <w:szCs w:val="21"/>
        </w:rPr>
        <w:t>以及发放现金股利的流动性需求</w:t>
      </w:r>
      <w:r w:rsidRPr="00FE0F0C">
        <w:rPr>
          <w:rFonts w:ascii="宋体" w:cs="宋体" w:hint="eastAsia"/>
          <w:kern w:val="0"/>
          <w:szCs w:val="21"/>
        </w:rPr>
        <w:t>，因此青岛海尔通过</w:t>
      </w:r>
      <w:r w:rsidR="005E6314">
        <w:rPr>
          <w:rFonts w:ascii="宋体" w:cs="宋体" w:hint="eastAsia"/>
          <w:kern w:val="0"/>
          <w:szCs w:val="21"/>
        </w:rPr>
        <w:t>向银行借款筹集</w:t>
      </w:r>
      <w:r w:rsidRPr="00FE0F0C">
        <w:rPr>
          <w:rFonts w:ascii="宋体" w:cs="宋体" w:hint="eastAsia"/>
          <w:kern w:val="0"/>
          <w:szCs w:val="21"/>
        </w:rPr>
        <w:t>了</w:t>
      </w:r>
      <w:r w:rsidR="005E6314">
        <w:rPr>
          <w:rFonts w:ascii="宋体" w:cs="宋体" w:hint="eastAsia"/>
          <w:kern w:val="0"/>
          <w:szCs w:val="21"/>
        </w:rPr>
        <w:t>大约9</w:t>
      </w:r>
      <w:r w:rsidRPr="00FE0F0C">
        <w:rPr>
          <w:rFonts w:ascii="宋体" w:cs="宋体" w:hint="eastAsia"/>
          <w:kern w:val="0"/>
          <w:szCs w:val="21"/>
        </w:rPr>
        <w:t>亿的现金。而其后年度青岛海尔并</w:t>
      </w:r>
      <w:r w:rsidR="005E6314">
        <w:rPr>
          <w:rFonts w:ascii="宋体" w:cs="宋体" w:hint="eastAsia"/>
          <w:kern w:val="0"/>
          <w:szCs w:val="21"/>
        </w:rPr>
        <w:t>无重大</w:t>
      </w:r>
      <w:r w:rsidRPr="00FE0F0C">
        <w:rPr>
          <w:rFonts w:ascii="宋体" w:cs="宋体" w:hint="eastAsia"/>
          <w:kern w:val="0"/>
          <w:szCs w:val="21"/>
        </w:rPr>
        <w:t>投资行动，因此无需筹资活动的资金支持</w:t>
      </w:r>
      <w:r w:rsidR="005E6314">
        <w:rPr>
          <w:rFonts w:ascii="宋体" w:cs="宋体" w:hint="eastAsia"/>
          <w:kern w:val="0"/>
          <w:szCs w:val="21"/>
        </w:rPr>
        <w:t>。从现金支出角度看，青岛海尔的现金股利一直是较大支出项目，因此合理猜测其可能采取了固定股利支付政策</w:t>
      </w:r>
      <w:r w:rsidR="004F4B9A">
        <w:rPr>
          <w:rFonts w:ascii="宋体" w:cs="宋体" w:hint="eastAsia"/>
          <w:kern w:val="0"/>
          <w:szCs w:val="21"/>
        </w:rPr>
        <w:t>，这可能会给其带来现金压力。</w:t>
      </w:r>
      <w:r w:rsidRPr="00FE0F0C">
        <w:rPr>
          <w:rFonts w:ascii="宋体" w:cs="宋体" w:hint="eastAsia"/>
          <w:kern w:val="0"/>
          <w:szCs w:val="21"/>
        </w:rPr>
        <w:t>值得注意的是，由于青岛海尔的净资产收益率从</w:t>
      </w:r>
      <w:r w:rsidRPr="00FE0F0C">
        <w:rPr>
          <w:kern w:val="0"/>
          <w:szCs w:val="21"/>
        </w:rPr>
        <w:t>20</w:t>
      </w:r>
      <w:r w:rsidR="004F4B9A">
        <w:rPr>
          <w:rFonts w:hint="eastAsia"/>
          <w:kern w:val="0"/>
          <w:szCs w:val="21"/>
        </w:rPr>
        <w:t>08</w:t>
      </w:r>
      <w:r w:rsidRPr="00FE0F0C">
        <w:rPr>
          <w:rFonts w:ascii="宋体" w:cs="宋体" w:hint="eastAsia"/>
          <w:kern w:val="0"/>
          <w:szCs w:val="21"/>
        </w:rPr>
        <w:t>年开始</w:t>
      </w:r>
      <w:r w:rsidR="004F4B9A">
        <w:rPr>
          <w:rFonts w:ascii="宋体" w:cs="宋体" w:hint="eastAsia"/>
          <w:kern w:val="0"/>
          <w:szCs w:val="21"/>
        </w:rPr>
        <w:t>呈现</w:t>
      </w:r>
      <w:r w:rsidRPr="00FE0F0C">
        <w:rPr>
          <w:rFonts w:ascii="宋体" w:cs="宋体" w:hint="eastAsia"/>
          <w:kern w:val="0"/>
          <w:szCs w:val="21"/>
        </w:rPr>
        <w:t>下滑</w:t>
      </w:r>
      <w:r w:rsidR="004F4B9A">
        <w:rPr>
          <w:rFonts w:ascii="宋体" w:cs="宋体" w:hint="eastAsia"/>
          <w:kern w:val="0"/>
          <w:szCs w:val="21"/>
        </w:rPr>
        <w:t>趋势</w:t>
      </w:r>
      <w:r w:rsidRPr="00FE0F0C">
        <w:rPr>
          <w:rFonts w:ascii="宋体" w:cs="宋体" w:hint="eastAsia"/>
          <w:kern w:val="0"/>
          <w:szCs w:val="21"/>
        </w:rPr>
        <w:t>，均在</w:t>
      </w:r>
      <w:r w:rsidRPr="00FE0F0C">
        <w:rPr>
          <w:kern w:val="0"/>
          <w:szCs w:val="21"/>
        </w:rPr>
        <w:t>10%</w:t>
      </w:r>
      <w:r w:rsidRPr="00FE0F0C">
        <w:rPr>
          <w:rFonts w:ascii="宋体" w:cs="宋体" w:hint="eastAsia"/>
          <w:kern w:val="0"/>
          <w:szCs w:val="21"/>
        </w:rPr>
        <w:t>以下，因此青岛海尔在短期内无法通过增发股票来进行权益融资，一旦未来有大的项目需要资金支持，只能依靠债务融资来解决。但是考虑到极低的资产负偾率和海尔集团这一</w:t>
      </w:r>
      <w:r w:rsidRPr="00FE0F0C">
        <w:rPr>
          <w:rFonts w:ascii="宋体" w:cs="宋体"/>
          <w:kern w:val="0"/>
          <w:szCs w:val="21"/>
        </w:rPr>
        <w:t xml:space="preserve"> </w:t>
      </w:r>
      <w:r w:rsidRPr="00FE0F0C">
        <w:rPr>
          <w:kern w:val="0"/>
          <w:szCs w:val="21"/>
        </w:rPr>
        <w:t>“</w:t>
      </w:r>
      <w:r w:rsidRPr="00FE0F0C">
        <w:rPr>
          <w:rFonts w:ascii="宋体" w:cs="宋体" w:hint="eastAsia"/>
          <w:kern w:val="0"/>
          <w:szCs w:val="21"/>
        </w:rPr>
        <w:t>大靠山”，我们认为青岛海尔的融资压力并不大。从现金的期末余额来看，青岛海尔的现金一直保持较高的水平。</w:t>
      </w:r>
      <w:r w:rsidRPr="00FE0F0C">
        <w:rPr>
          <w:kern w:val="0"/>
          <w:szCs w:val="21"/>
        </w:rPr>
        <w:t>20</w:t>
      </w:r>
      <w:r w:rsidR="004F4B9A">
        <w:rPr>
          <w:rFonts w:hint="eastAsia"/>
          <w:kern w:val="0"/>
          <w:szCs w:val="21"/>
        </w:rPr>
        <w:t>10</w:t>
      </w:r>
      <w:r w:rsidRPr="00FE0F0C">
        <w:rPr>
          <w:rFonts w:ascii="宋体" w:cs="宋体" w:hint="eastAsia"/>
          <w:kern w:val="0"/>
          <w:szCs w:val="21"/>
        </w:rPr>
        <w:t>年之后虽然大幅削减负债，但由于投资支出的减少，现金余额反而有所增加。</w:t>
      </w:r>
    </w:p>
    <w:p w:rsidR="000C42B3" w:rsidRPr="009E5E34" w:rsidRDefault="00450D62" w:rsidP="009E5E34">
      <w:pPr>
        <w:tabs>
          <w:tab w:val="left" w:pos="855"/>
        </w:tabs>
        <w:ind w:firstLineChars="150" w:firstLine="316"/>
        <w:rPr>
          <w:b/>
          <w:szCs w:val="21"/>
        </w:rPr>
      </w:pPr>
      <w:r w:rsidRPr="009E5E34">
        <w:rPr>
          <w:rFonts w:hint="eastAsia"/>
          <w:b/>
          <w:szCs w:val="21"/>
        </w:rPr>
        <w:t>（</w:t>
      </w:r>
      <w:r w:rsidR="00ED0E90" w:rsidRPr="009E5E34">
        <w:rPr>
          <w:rFonts w:hint="eastAsia"/>
          <w:b/>
          <w:szCs w:val="21"/>
        </w:rPr>
        <w:t>二</w:t>
      </w:r>
      <w:r w:rsidRPr="009E5E34">
        <w:rPr>
          <w:rFonts w:hint="eastAsia"/>
          <w:b/>
          <w:szCs w:val="21"/>
        </w:rPr>
        <w:t>）</w:t>
      </w:r>
      <w:r w:rsidR="00ED0E90" w:rsidRPr="009E5E34">
        <w:rPr>
          <w:rFonts w:hint="eastAsia"/>
          <w:b/>
          <w:szCs w:val="21"/>
        </w:rPr>
        <w:t>经营活动现金流量分析</w:t>
      </w:r>
    </w:p>
    <w:p w:rsidR="003A1B8A" w:rsidRDefault="003A1B8A" w:rsidP="003A1B8A">
      <w:pPr>
        <w:tabs>
          <w:tab w:val="left" w:pos="855"/>
        </w:tabs>
        <w:jc w:val="center"/>
        <w:rPr>
          <w:b/>
          <w:szCs w:val="21"/>
        </w:rPr>
      </w:pPr>
      <w:r w:rsidRPr="003A1B8A">
        <w:rPr>
          <w:rFonts w:hint="eastAsia"/>
          <w:b/>
          <w:szCs w:val="21"/>
        </w:rPr>
        <w:t>表</w:t>
      </w:r>
      <w:r w:rsidR="009E5E34">
        <w:rPr>
          <w:rFonts w:hint="eastAsia"/>
          <w:b/>
          <w:szCs w:val="21"/>
        </w:rPr>
        <w:t>12</w:t>
      </w:r>
      <w:r w:rsidRPr="003A1B8A">
        <w:rPr>
          <w:rFonts w:hint="eastAsia"/>
          <w:b/>
          <w:szCs w:val="21"/>
        </w:rPr>
        <w:t xml:space="preserve"> </w:t>
      </w:r>
      <w:r w:rsidRPr="003A1B8A">
        <w:rPr>
          <w:rFonts w:hint="eastAsia"/>
          <w:b/>
          <w:szCs w:val="21"/>
        </w:rPr>
        <w:t>青岛海尔经营活动现金流量主要项目</w:t>
      </w:r>
      <w:r>
        <w:rPr>
          <w:rFonts w:hint="eastAsia"/>
          <w:b/>
          <w:szCs w:val="21"/>
        </w:rPr>
        <w:t xml:space="preserve">   </w:t>
      </w:r>
      <w:r>
        <w:rPr>
          <w:rFonts w:hint="eastAsia"/>
          <w:b/>
          <w:szCs w:val="21"/>
        </w:rPr>
        <w:t>（单位：亿元）</w:t>
      </w:r>
    </w:p>
    <w:tbl>
      <w:tblPr>
        <w:tblStyle w:val="a3"/>
        <w:tblW w:w="0" w:type="auto"/>
        <w:tblLook w:val="01E0" w:firstRow="1" w:lastRow="1" w:firstColumn="1" w:lastColumn="1" w:noHBand="0" w:noVBand="0"/>
      </w:tblPr>
      <w:tblGrid>
        <w:gridCol w:w="3040"/>
        <w:gridCol w:w="1060"/>
        <w:gridCol w:w="1060"/>
        <w:gridCol w:w="1060"/>
        <w:gridCol w:w="1060"/>
        <w:gridCol w:w="1016"/>
      </w:tblGrid>
      <w:tr w:rsidR="003A1B8A">
        <w:tc>
          <w:tcPr>
            <w:tcW w:w="3168" w:type="dxa"/>
          </w:tcPr>
          <w:p w:rsidR="003A1B8A" w:rsidRDefault="003A1B8A" w:rsidP="00942AD3">
            <w:pPr>
              <w:tabs>
                <w:tab w:val="left" w:pos="855"/>
              </w:tabs>
              <w:jc w:val="center"/>
              <w:rPr>
                <w:b/>
                <w:szCs w:val="21"/>
              </w:rPr>
            </w:pPr>
            <w:r>
              <w:rPr>
                <w:rFonts w:hint="eastAsia"/>
                <w:b/>
                <w:szCs w:val="21"/>
              </w:rPr>
              <w:t>项目</w:t>
            </w:r>
          </w:p>
        </w:tc>
        <w:tc>
          <w:tcPr>
            <w:tcW w:w="1080" w:type="dxa"/>
          </w:tcPr>
          <w:p w:rsidR="003A1B8A" w:rsidRDefault="003A1B8A" w:rsidP="00942AD3">
            <w:pPr>
              <w:tabs>
                <w:tab w:val="left" w:pos="855"/>
              </w:tabs>
              <w:jc w:val="center"/>
              <w:rPr>
                <w:b/>
                <w:szCs w:val="21"/>
              </w:rPr>
            </w:pPr>
            <w:r>
              <w:rPr>
                <w:rFonts w:hint="eastAsia"/>
                <w:b/>
                <w:szCs w:val="21"/>
              </w:rPr>
              <w:t>2008</w:t>
            </w:r>
            <w:r>
              <w:rPr>
                <w:rFonts w:hint="eastAsia"/>
                <w:b/>
                <w:szCs w:val="21"/>
              </w:rPr>
              <w:t>年</w:t>
            </w:r>
          </w:p>
        </w:tc>
        <w:tc>
          <w:tcPr>
            <w:tcW w:w="1080" w:type="dxa"/>
          </w:tcPr>
          <w:p w:rsidR="003A1B8A" w:rsidRDefault="003A1B8A" w:rsidP="00942AD3">
            <w:pPr>
              <w:tabs>
                <w:tab w:val="left" w:pos="855"/>
              </w:tabs>
              <w:jc w:val="center"/>
              <w:rPr>
                <w:b/>
                <w:szCs w:val="21"/>
              </w:rPr>
            </w:pPr>
            <w:r>
              <w:rPr>
                <w:rFonts w:hint="eastAsia"/>
                <w:b/>
                <w:szCs w:val="21"/>
              </w:rPr>
              <w:t>2009</w:t>
            </w:r>
            <w:r>
              <w:rPr>
                <w:rFonts w:hint="eastAsia"/>
                <w:b/>
                <w:szCs w:val="21"/>
              </w:rPr>
              <w:t>年</w:t>
            </w:r>
          </w:p>
        </w:tc>
        <w:tc>
          <w:tcPr>
            <w:tcW w:w="1080" w:type="dxa"/>
          </w:tcPr>
          <w:p w:rsidR="003A1B8A" w:rsidRDefault="003A1B8A" w:rsidP="00942AD3">
            <w:pPr>
              <w:tabs>
                <w:tab w:val="left" w:pos="855"/>
              </w:tabs>
              <w:jc w:val="center"/>
              <w:rPr>
                <w:b/>
                <w:szCs w:val="21"/>
              </w:rPr>
            </w:pPr>
            <w:r>
              <w:rPr>
                <w:rFonts w:hint="eastAsia"/>
                <w:b/>
                <w:szCs w:val="21"/>
              </w:rPr>
              <w:t>2010</w:t>
            </w:r>
            <w:r>
              <w:rPr>
                <w:rFonts w:hint="eastAsia"/>
                <w:b/>
                <w:szCs w:val="21"/>
              </w:rPr>
              <w:t>年</w:t>
            </w:r>
          </w:p>
        </w:tc>
        <w:tc>
          <w:tcPr>
            <w:tcW w:w="1080" w:type="dxa"/>
          </w:tcPr>
          <w:p w:rsidR="003A1B8A" w:rsidRDefault="003A1B8A" w:rsidP="00942AD3">
            <w:pPr>
              <w:tabs>
                <w:tab w:val="left" w:pos="855"/>
              </w:tabs>
              <w:jc w:val="center"/>
              <w:rPr>
                <w:b/>
                <w:szCs w:val="21"/>
              </w:rPr>
            </w:pPr>
            <w:r>
              <w:rPr>
                <w:rFonts w:hint="eastAsia"/>
                <w:b/>
                <w:szCs w:val="21"/>
              </w:rPr>
              <w:t>2011</w:t>
            </w:r>
            <w:r>
              <w:rPr>
                <w:rFonts w:hint="eastAsia"/>
                <w:b/>
                <w:szCs w:val="21"/>
              </w:rPr>
              <w:t>年</w:t>
            </w:r>
          </w:p>
        </w:tc>
        <w:tc>
          <w:tcPr>
            <w:tcW w:w="1034" w:type="dxa"/>
          </w:tcPr>
          <w:p w:rsidR="003A1B8A" w:rsidRDefault="00942AD3" w:rsidP="00942AD3">
            <w:pPr>
              <w:tabs>
                <w:tab w:val="left" w:pos="855"/>
              </w:tabs>
              <w:jc w:val="center"/>
              <w:rPr>
                <w:b/>
                <w:szCs w:val="21"/>
              </w:rPr>
            </w:pPr>
            <w:r>
              <w:rPr>
                <w:rFonts w:hint="eastAsia"/>
                <w:b/>
                <w:szCs w:val="21"/>
              </w:rPr>
              <w:t>2012</w:t>
            </w:r>
            <w:r w:rsidR="003A1B8A">
              <w:rPr>
                <w:rFonts w:hint="eastAsia"/>
                <w:b/>
                <w:szCs w:val="21"/>
              </w:rPr>
              <w:t>年</w:t>
            </w:r>
          </w:p>
        </w:tc>
      </w:tr>
      <w:tr w:rsidR="003A1B8A">
        <w:tc>
          <w:tcPr>
            <w:tcW w:w="3168" w:type="dxa"/>
          </w:tcPr>
          <w:p w:rsidR="003A1B8A" w:rsidRDefault="003A1B8A" w:rsidP="00942AD3">
            <w:pPr>
              <w:tabs>
                <w:tab w:val="left" w:pos="855"/>
              </w:tabs>
              <w:jc w:val="center"/>
              <w:rPr>
                <w:b/>
                <w:szCs w:val="21"/>
              </w:rPr>
            </w:pPr>
            <w:r>
              <w:rPr>
                <w:rFonts w:hint="eastAsia"/>
                <w:b/>
                <w:szCs w:val="21"/>
              </w:rPr>
              <w:t>销售商品、提供劳务收到的现金</w:t>
            </w:r>
          </w:p>
        </w:tc>
        <w:tc>
          <w:tcPr>
            <w:tcW w:w="1080" w:type="dxa"/>
          </w:tcPr>
          <w:p w:rsidR="003A1B8A" w:rsidRPr="003A1B8A" w:rsidRDefault="00D1681B" w:rsidP="00942AD3">
            <w:pPr>
              <w:tabs>
                <w:tab w:val="left" w:pos="855"/>
              </w:tabs>
              <w:jc w:val="center"/>
              <w:rPr>
                <w:b/>
                <w:szCs w:val="21"/>
              </w:rPr>
            </w:pPr>
            <w:r>
              <w:rPr>
                <w:rFonts w:hint="eastAsia"/>
                <w:b/>
                <w:szCs w:val="21"/>
              </w:rPr>
              <w:t>11.64</w:t>
            </w:r>
          </w:p>
        </w:tc>
        <w:tc>
          <w:tcPr>
            <w:tcW w:w="1080" w:type="dxa"/>
          </w:tcPr>
          <w:p w:rsidR="003A1B8A" w:rsidRPr="003A1B8A" w:rsidRDefault="00D1681B" w:rsidP="00942AD3">
            <w:pPr>
              <w:tabs>
                <w:tab w:val="left" w:pos="855"/>
              </w:tabs>
              <w:jc w:val="center"/>
              <w:rPr>
                <w:b/>
                <w:szCs w:val="21"/>
              </w:rPr>
            </w:pPr>
            <w:r>
              <w:rPr>
                <w:rFonts w:hint="eastAsia"/>
                <w:b/>
                <w:szCs w:val="21"/>
              </w:rPr>
              <w:t>18.86</w:t>
            </w:r>
          </w:p>
        </w:tc>
        <w:tc>
          <w:tcPr>
            <w:tcW w:w="1080" w:type="dxa"/>
          </w:tcPr>
          <w:p w:rsidR="003A1B8A" w:rsidRPr="003A1B8A" w:rsidRDefault="00D1681B" w:rsidP="00942AD3">
            <w:pPr>
              <w:tabs>
                <w:tab w:val="left" w:pos="855"/>
              </w:tabs>
              <w:jc w:val="center"/>
              <w:rPr>
                <w:b/>
                <w:szCs w:val="21"/>
              </w:rPr>
            </w:pPr>
            <w:r>
              <w:rPr>
                <w:rFonts w:hint="eastAsia"/>
                <w:b/>
                <w:szCs w:val="21"/>
              </w:rPr>
              <w:t>28.52</w:t>
            </w:r>
          </w:p>
        </w:tc>
        <w:tc>
          <w:tcPr>
            <w:tcW w:w="1080" w:type="dxa"/>
          </w:tcPr>
          <w:p w:rsidR="003A1B8A" w:rsidRPr="00D1681B" w:rsidRDefault="00D1681B" w:rsidP="00942AD3">
            <w:pPr>
              <w:tabs>
                <w:tab w:val="left" w:pos="855"/>
              </w:tabs>
              <w:jc w:val="center"/>
              <w:rPr>
                <w:b/>
                <w:szCs w:val="21"/>
              </w:rPr>
            </w:pPr>
            <w:r>
              <w:rPr>
                <w:rFonts w:hint="eastAsia"/>
                <w:b/>
                <w:szCs w:val="21"/>
              </w:rPr>
              <w:t>17.60</w:t>
            </w:r>
          </w:p>
        </w:tc>
        <w:tc>
          <w:tcPr>
            <w:tcW w:w="1034" w:type="dxa"/>
          </w:tcPr>
          <w:p w:rsidR="003A1B8A" w:rsidRPr="00D1681B" w:rsidRDefault="00D1681B" w:rsidP="00942AD3">
            <w:pPr>
              <w:tabs>
                <w:tab w:val="left" w:pos="855"/>
              </w:tabs>
              <w:jc w:val="center"/>
              <w:rPr>
                <w:b/>
                <w:szCs w:val="21"/>
              </w:rPr>
            </w:pPr>
            <w:r>
              <w:rPr>
                <w:rFonts w:hint="eastAsia"/>
                <w:b/>
                <w:szCs w:val="21"/>
              </w:rPr>
              <w:t>17.64</w:t>
            </w:r>
          </w:p>
        </w:tc>
      </w:tr>
      <w:tr w:rsidR="003A1B8A">
        <w:tc>
          <w:tcPr>
            <w:tcW w:w="3168" w:type="dxa"/>
          </w:tcPr>
          <w:p w:rsidR="003A1B8A" w:rsidRPr="003A1B8A" w:rsidRDefault="003A1B8A" w:rsidP="00942AD3">
            <w:pPr>
              <w:tabs>
                <w:tab w:val="left" w:pos="855"/>
              </w:tabs>
              <w:jc w:val="center"/>
              <w:rPr>
                <w:b/>
                <w:szCs w:val="21"/>
              </w:rPr>
            </w:pPr>
            <w:r>
              <w:rPr>
                <w:rFonts w:hint="eastAsia"/>
                <w:b/>
                <w:szCs w:val="21"/>
              </w:rPr>
              <w:t>购买商品、接受劳务支付的现金</w:t>
            </w:r>
          </w:p>
        </w:tc>
        <w:tc>
          <w:tcPr>
            <w:tcW w:w="1080" w:type="dxa"/>
          </w:tcPr>
          <w:p w:rsidR="003A1B8A" w:rsidRPr="003A1B8A" w:rsidRDefault="00D1681B" w:rsidP="00942AD3">
            <w:pPr>
              <w:tabs>
                <w:tab w:val="left" w:pos="855"/>
              </w:tabs>
              <w:jc w:val="center"/>
              <w:rPr>
                <w:b/>
                <w:szCs w:val="21"/>
              </w:rPr>
            </w:pPr>
            <w:r>
              <w:rPr>
                <w:rFonts w:hint="eastAsia"/>
                <w:b/>
                <w:szCs w:val="21"/>
              </w:rPr>
              <w:t>3.59</w:t>
            </w:r>
          </w:p>
        </w:tc>
        <w:tc>
          <w:tcPr>
            <w:tcW w:w="1080" w:type="dxa"/>
          </w:tcPr>
          <w:p w:rsidR="003A1B8A" w:rsidRPr="003A1B8A" w:rsidRDefault="00942AD3" w:rsidP="00942AD3">
            <w:pPr>
              <w:tabs>
                <w:tab w:val="left" w:pos="855"/>
              </w:tabs>
              <w:jc w:val="center"/>
              <w:rPr>
                <w:b/>
                <w:szCs w:val="21"/>
              </w:rPr>
            </w:pPr>
            <w:r>
              <w:rPr>
                <w:rFonts w:hint="eastAsia"/>
                <w:b/>
                <w:szCs w:val="21"/>
              </w:rPr>
              <w:t>7.02</w:t>
            </w:r>
          </w:p>
        </w:tc>
        <w:tc>
          <w:tcPr>
            <w:tcW w:w="1080" w:type="dxa"/>
          </w:tcPr>
          <w:p w:rsidR="003A1B8A" w:rsidRPr="003A1B8A" w:rsidRDefault="00942AD3" w:rsidP="00942AD3">
            <w:pPr>
              <w:tabs>
                <w:tab w:val="left" w:pos="855"/>
              </w:tabs>
              <w:jc w:val="center"/>
              <w:rPr>
                <w:b/>
                <w:szCs w:val="21"/>
              </w:rPr>
            </w:pPr>
            <w:r>
              <w:rPr>
                <w:rFonts w:hint="eastAsia"/>
                <w:b/>
                <w:szCs w:val="21"/>
              </w:rPr>
              <w:t>11.22</w:t>
            </w:r>
          </w:p>
        </w:tc>
        <w:tc>
          <w:tcPr>
            <w:tcW w:w="1080" w:type="dxa"/>
          </w:tcPr>
          <w:p w:rsidR="003A1B8A" w:rsidRPr="00D1681B" w:rsidRDefault="00942AD3" w:rsidP="00942AD3">
            <w:pPr>
              <w:tabs>
                <w:tab w:val="left" w:pos="855"/>
              </w:tabs>
              <w:jc w:val="center"/>
              <w:rPr>
                <w:b/>
                <w:szCs w:val="21"/>
              </w:rPr>
            </w:pPr>
            <w:r>
              <w:rPr>
                <w:rFonts w:hint="eastAsia"/>
                <w:b/>
                <w:szCs w:val="21"/>
              </w:rPr>
              <w:t>9.40</w:t>
            </w:r>
          </w:p>
        </w:tc>
        <w:tc>
          <w:tcPr>
            <w:tcW w:w="1034" w:type="dxa"/>
          </w:tcPr>
          <w:p w:rsidR="003A1B8A" w:rsidRPr="00D1681B" w:rsidRDefault="00942AD3" w:rsidP="00942AD3">
            <w:pPr>
              <w:tabs>
                <w:tab w:val="left" w:pos="855"/>
              </w:tabs>
              <w:jc w:val="center"/>
              <w:rPr>
                <w:b/>
                <w:szCs w:val="21"/>
              </w:rPr>
            </w:pPr>
            <w:r>
              <w:rPr>
                <w:rFonts w:hint="eastAsia"/>
                <w:b/>
                <w:szCs w:val="21"/>
              </w:rPr>
              <w:t>7.51</w:t>
            </w:r>
          </w:p>
        </w:tc>
      </w:tr>
      <w:tr w:rsidR="003A1B8A">
        <w:tc>
          <w:tcPr>
            <w:tcW w:w="3168" w:type="dxa"/>
          </w:tcPr>
          <w:p w:rsidR="003A1B8A" w:rsidRPr="003A1B8A" w:rsidRDefault="003A1B8A" w:rsidP="00942AD3">
            <w:pPr>
              <w:tabs>
                <w:tab w:val="left" w:pos="855"/>
              </w:tabs>
              <w:jc w:val="center"/>
              <w:rPr>
                <w:b/>
                <w:szCs w:val="21"/>
              </w:rPr>
            </w:pPr>
            <w:r>
              <w:rPr>
                <w:rFonts w:hint="eastAsia"/>
                <w:b/>
                <w:szCs w:val="21"/>
              </w:rPr>
              <w:t>经营活动产生的现金净额</w:t>
            </w:r>
          </w:p>
        </w:tc>
        <w:tc>
          <w:tcPr>
            <w:tcW w:w="1080" w:type="dxa"/>
          </w:tcPr>
          <w:p w:rsidR="003A1B8A" w:rsidRPr="003A1B8A" w:rsidRDefault="00942AD3" w:rsidP="00942AD3">
            <w:pPr>
              <w:tabs>
                <w:tab w:val="left" w:pos="855"/>
              </w:tabs>
              <w:jc w:val="center"/>
              <w:rPr>
                <w:b/>
                <w:szCs w:val="21"/>
              </w:rPr>
            </w:pPr>
            <w:r>
              <w:rPr>
                <w:rFonts w:hint="eastAsia"/>
                <w:b/>
                <w:szCs w:val="21"/>
              </w:rPr>
              <w:t>2.40</w:t>
            </w:r>
          </w:p>
        </w:tc>
        <w:tc>
          <w:tcPr>
            <w:tcW w:w="1080" w:type="dxa"/>
          </w:tcPr>
          <w:p w:rsidR="003A1B8A" w:rsidRPr="003A1B8A" w:rsidRDefault="00942AD3" w:rsidP="00942AD3">
            <w:pPr>
              <w:tabs>
                <w:tab w:val="left" w:pos="855"/>
              </w:tabs>
              <w:jc w:val="center"/>
              <w:rPr>
                <w:b/>
                <w:szCs w:val="21"/>
              </w:rPr>
            </w:pPr>
            <w:r>
              <w:rPr>
                <w:rFonts w:hint="eastAsia"/>
                <w:b/>
                <w:szCs w:val="21"/>
              </w:rPr>
              <w:t>8.84</w:t>
            </w:r>
          </w:p>
        </w:tc>
        <w:tc>
          <w:tcPr>
            <w:tcW w:w="1080" w:type="dxa"/>
          </w:tcPr>
          <w:p w:rsidR="003A1B8A" w:rsidRPr="003A1B8A" w:rsidRDefault="00942AD3" w:rsidP="00942AD3">
            <w:pPr>
              <w:tabs>
                <w:tab w:val="left" w:pos="855"/>
              </w:tabs>
              <w:jc w:val="center"/>
              <w:rPr>
                <w:b/>
                <w:szCs w:val="21"/>
              </w:rPr>
            </w:pPr>
            <w:r>
              <w:rPr>
                <w:rFonts w:hint="eastAsia"/>
                <w:b/>
                <w:szCs w:val="21"/>
              </w:rPr>
              <w:t>11.76</w:t>
            </w:r>
          </w:p>
        </w:tc>
        <w:tc>
          <w:tcPr>
            <w:tcW w:w="1080" w:type="dxa"/>
          </w:tcPr>
          <w:p w:rsidR="003A1B8A" w:rsidRPr="00D1681B" w:rsidRDefault="00942AD3" w:rsidP="00942AD3">
            <w:pPr>
              <w:tabs>
                <w:tab w:val="left" w:pos="855"/>
              </w:tabs>
              <w:jc w:val="center"/>
              <w:rPr>
                <w:b/>
                <w:szCs w:val="21"/>
              </w:rPr>
            </w:pPr>
            <w:r>
              <w:rPr>
                <w:rFonts w:hint="eastAsia"/>
                <w:b/>
                <w:szCs w:val="21"/>
              </w:rPr>
              <w:t>3.93</w:t>
            </w:r>
          </w:p>
        </w:tc>
        <w:tc>
          <w:tcPr>
            <w:tcW w:w="1034" w:type="dxa"/>
          </w:tcPr>
          <w:p w:rsidR="00942AD3" w:rsidRPr="00D1681B" w:rsidRDefault="00942AD3" w:rsidP="00942AD3">
            <w:pPr>
              <w:tabs>
                <w:tab w:val="left" w:pos="855"/>
              </w:tabs>
              <w:jc w:val="center"/>
              <w:rPr>
                <w:b/>
                <w:szCs w:val="21"/>
              </w:rPr>
            </w:pPr>
            <w:r>
              <w:rPr>
                <w:rFonts w:hint="eastAsia"/>
                <w:b/>
                <w:szCs w:val="21"/>
              </w:rPr>
              <w:t>3.98</w:t>
            </w:r>
          </w:p>
        </w:tc>
      </w:tr>
    </w:tbl>
    <w:p w:rsidR="009E47D2" w:rsidRPr="00C62E06" w:rsidRDefault="009E47D2" w:rsidP="00C62E06">
      <w:pPr>
        <w:autoSpaceDE w:val="0"/>
        <w:autoSpaceDN w:val="0"/>
        <w:adjustRightInd w:val="0"/>
        <w:jc w:val="left"/>
        <w:rPr>
          <w:rFonts w:ascii="宋体" w:cs="宋体"/>
          <w:kern w:val="0"/>
          <w:szCs w:val="21"/>
        </w:rPr>
      </w:pPr>
      <w:r>
        <w:rPr>
          <w:rFonts w:hint="eastAsia"/>
          <w:szCs w:val="21"/>
        </w:rPr>
        <w:t>表</w:t>
      </w:r>
      <w:r>
        <w:rPr>
          <w:rFonts w:hint="eastAsia"/>
          <w:szCs w:val="21"/>
        </w:rPr>
        <w:t>12</w:t>
      </w:r>
      <w:r>
        <w:rPr>
          <w:rFonts w:hint="eastAsia"/>
          <w:szCs w:val="21"/>
        </w:rPr>
        <w:t>反映了青岛海尔</w:t>
      </w:r>
      <w:r>
        <w:rPr>
          <w:rFonts w:hint="eastAsia"/>
          <w:szCs w:val="21"/>
        </w:rPr>
        <w:t>2008</w:t>
      </w:r>
      <w:r>
        <w:rPr>
          <w:rFonts w:hint="eastAsia"/>
          <w:szCs w:val="21"/>
        </w:rPr>
        <w:t>—</w:t>
      </w:r>
      <w:r>
        <w:rPr>
          <w:rFonts w:hint="eastAsia"/>
          <w:szCs w:val="21"/>
        </w:rPr>
        <w:t>2012</w:t>
      </w:r>
      <w:r>
        <w:rPr>
          <w:rFonts w:hint="eastAsia"/>
          <w:szCs w:val="21"/>
        </w:rPr>
        <w:t>年经营活动现金流量主要项目。</w:t>
      </w:r>
      <w:r w:rsidRPr="00FE0F0C">
        <w:rPr>
          <w:rFonts w:ascii="宋体" w:cs="宋体" w:hint="eastAsia"/>
          <w:kern w:val="0"/>
          <w:szCs w:val="21"/>
        </w:rPr>
        <w:t>由上表可见，虽然青岛海</w:t>
      </w:r>
      <w:r w:rsidRPr="00FE0F0C">
        <w:rPr>
          <w:rFonts w:ascii="宋体" w:cs="宋体" w:hint="eastAsia"/>
          <w:kern w:val="0"/>
          <w:szCs w:val="21"/>
        </w:rPr>
        <w:lastRenderedPageBreak/>
        <w:t>尔自</w:t>
      </w:r>
      <w:r w:rsidRPr="00FE0F0C">
        <w:rPr>
          <w:kern w:val="0"/>
          <w:szCs w:val="21"/>
        </w:rPr>
        <w:t>20</w:t>
      </w:r>
      <w:r>
        <w:rPr>
          <w:rFonts w:hint="eastAsia"/>
          <w:kern w:val="0"/>
          <w:szCs w:val="21"/>
        </w:rPr>
        <w:t>08</w:t>
      </w:r>
      <w:r w:rsidRPr="00FE0F0C">
        <w:rPr>
          <w:rFonts w:ascii="宋体" w:cs="宋体" w:hint="eastAsia"/>
          <w:kern w:val="0"/>
          <w:szCs w:val="21"/>
        </w:rPr>
        <w:t>年起主营业务收人和主营业务成本均有所增长，但销售</w:t>
      </w:r>
      <w:r>
        <w:rPr>
          <w:rFonts w:ascii="宋体" w:cs="宋体" w:hint="eastAsia"/>
          <w:kern w:val="0"/>
          <w:szCs w:val="21"/>
        </w:rPr>
        <w:t>商品、提供劳务收到的现金和购买商品、接受劳务支付的现金</w:t>
      </w:r>
      <w:r w:rsidRPr="00FE0F0C">
        <w:rPr>
          <w:rFonts w:ascii="宋体" w:cs="宋体" w:hint="eastAsia"/>
          <w:kern w:val="0"/>
          <w:szCs w:val="21"/>
        </w:rPr>
        <w:t>逐年递</w:t>
      </w:r>
      <w:r>
        <w:rPr>
          <w:rFonts w:ascii="宋体" w:cs="宋体" w:hint="eastAsia"/>
          <w:kern w:val="0"/>
          <w:szCs w:val="21"/>
        </w:rPr>
        <w:t>增</w:t>
      </w:r>
      <w:r w:rsidRPr="00FE0F0C">
        <w:rPr>
          <w:rFonts w:ascii="宋体" w:cs="宋体" w:hint="eastAsia"/>
          <w:kern w:val="0"/>
          <w:szCs w:val="21"/>
        </w:rPr>
        <w:t>，</w:t>
      </w:r>
      <w:r w:rsidR="00771320">
        <w:rPr>
          <w:rFonts w:ascii="宋体" w:cs="宋体" w:hint="eastAsia"/>
          <w:kern w:val="0"/>
          <w:szCs w:val="21"/>
        </w:rPr>
        <w:t>但</w:t>
      </w:r>
      <w:r>
        <w:rPr>
          <w:rFonts w:ascii="宋体" w:cs="宋体" w:hint="eastAsia"/>
          <w:kern w:val="0"/>
          <w:szCs w:val="21"/>
        </w:rPr>
        <w:t>增速较</w:t>
      </w:r>
      <w:r w:rsidR="00771320">
        <w:rPr>
          <w:rFonts w:ascii="宋体" w:cs="宋体" w:hint="eastAsia"/>
          <w:kern w:val="0"/>
          <w:szCs w:val="21"/>
        </w:rPr>
        <w:t>低</w:t>
      </w:r>
      <w:r>
        <w:rPr>
          <w:rFonts w:ascii="宋体" w:cs="宋体" w:hint="eastAsia"/>
          <w:kern w:val="0"/>
          <w:szCs w:val="21"/>
        </w:rPr>
        <w:t>，</w:t>
      </w:r>
      <w:r w:rsidR="00771320">
        <w:rPr>
          <w:rFonts w:ascii="宋体" w:cs="宋体" w:hint="eastAsia"/>
          <w:kern w:val="0"/>
          <w:szCs w:val="21"/>
        </w:rPr>
        <w:t>低于</w:t>
      </w:r>
      <w:r>
        <w:rPr>
          <w:rFonts w:ascii="宋体" w:cs="宋体" w:hint="eastAsia"/>
          <w:kern w:val="0"/>
          <w:szCs w:val="21"/>
        </w:rPr>
        <w:t>收入和成本的增速。</w:t>
      </w:r>
      <w:r w:rsidRPr="00FE0F0C">
        <w:rPr>
          <w:rFonts w:ascii="宋体" w:cs="宋体" w:hint="eastAsia"/>
          <w:kern w:val="0"/>
          <w:szCs w:val="21"/>
        </w:rPr>
        <w:t>二者的变动趋势如图</w:t>
      </w:r>
      <w:r w:rsidR="00C62E06">
        <w:rPr>
          <w:rFonts w:hint="eastAsia"/>
          <w:kern w:val="0"/>
          <w:szCs w:val="21"/>
        </w:rPr>
        <w:t>6</w:t>
      </w:r>
      <w:r w:rsidRPr="00FE0F0C">
        <w:rPr>
          <w:rFonts w:ascii="宋体" w:cs="宋体" w:hint="eastAsia"/>
          <w:kern w:val="0"/>
          <w:szCs w:val="21"/>
        </w:rPr>
        <w:t>所示：</w:t>
      </w:r>
    </w:p>
    <w:p w:rsidR="009E5E34" w:rsidRDefault="009E5E34" w:rsidP="009E5E34">
      <w:pPr>
        <w:tabs>
          <w:tab w:val="left" w:pos="855"/>
        </w:tabs>
        <w:jc w:val="center"/>
        <w:rPr>
          <w:b/>
          <w:szCs w:val="21"/>
        </w:rPr>
      </w:pPr>
      <w:r>
        <w:rPr>
          <w:rFonts w:hint="eastAsia"/>
          <w:b/>
          <w:szCs w:val="21"/>
        </w:rPr>
        <w:t>图</w:t>
      </w:r>
      <w:r>
        <w:rPr>
          <w:rFonts w:hint="eastAsia"/>
          <w:b/>
          <w:szCs w:val="21"/>
        </w:rPr>
        <w:t xml:space="preserve">6 </w:t>
      </w:r>
      <w:r>
        <w:rPr>
          <w:rFonts w:hint="eastAsia"/>
          <w:b/>
          <w:szCs w:val="21"/>
        </w:rPr>
        <w:t>青岛海尔经营活动现金流量变化趋势图</w:t>
      </w:r>
    </w:p>
    <w:p w:rsidR="00F93A1A" w:rsidRDefault="00A14000" w:rsidP="003A1B8A">
      <w:pPr>
        <w:tabs>
          <w:tab w:val="left" w:pos="855"/>
        </w:tabs>
        <w:rPr>
          <w:b/>
          <w:szCs w:val="21"/>
        </w:rPr>
      </w:pPr>
      <w:r>
        <w:rPr>
          <w:rFonts w:hint="eastAsia"/>
          <w:b/>
          <w:noProof/>
          <w:szCs w:val="21"/>
        </w:rPr>
        <w:drawing>
          <wp:anchor distT="0" distB="0" distL="114300" distR="114300" simplePos="0" relativeHeight="251659776" behindDoc="0" locked="0" layoutInCell="1" allowOverlap="1">
            <wp:simplePos x="0" y="0"/>
            <wp:positionH relativeFrom="column">
              <wp:posOffset>342900</wp:posOffset>
            </wp:positionH>
            <wp:positionV relativeFrom="paragraph">
              <wp:posOffset>29210</wp:posOffset>
            </wp:positionV>
            <wp:extent cx="4629785" cy="1858010"/>
            <wp:effectExtent l="0" t="0" r="0" b="1270"/>
            <wp:wrapNone/>
            <wp:docPr id="10" name="对象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F93A1A" w:rsidRPr="00F93A1A" w:rsidRDefault="00F93A1A" w:rsidP="00F93A1A">
      <w:pPr>
        <w:rPr>
          <w:szCs w:val="21"/>
        </w:rPr>
      </w:pPr>
    </w:p>
    <w:p w:rsidR="00F93A1A" w:rsidRPr="00F93A1A" w:rsidRDefault="00F93A1A" w:rsidP="00F93A1A">
      <w:pPr>
        <w:rPr>
          <w:szCs w:val="21"/>
        </w:rPr>
      </w:pPr>
    </w:p>
    <w:p w:rsidR="00F93A1A" w:rsidRPr="00F93A1A" w:rsidRDefault="00F93A1A" w:rsidP="00F93A1A">
      <w:pPr>
        <w:rPr>
          <w:szCs w:val="21"/>
        </w:rPr>
      </w:pPr>
    </w:p>
    <w:p w:rsidR="00F93A1A" w:rsidRPr="00F93A1A" w:rsidRDefault="00F93A1A" w:rsidP="00F93A1A">
      <w:pPr>
        <w:rPr>
          <w:szCs w:val="21"/>
        </w:rPr>
      </w:pPr>
    </w:p>
    <w:p w:rsidR="00F93A1A" w:rsidRPr="00F93A1A" w:rsidRDefault="00F93A1A" w:rsidP="00F93A1A">
      <w:pPr>
        <w:rPr>
          <w:szCs w:val="21"/>
        </w:rPr>
      </w:pPr>
    </w:p>
    <w:p w:rsidR="00F93A1A" w:rsidRPr="00F93A1A" w:rsidRDefault="00F93A1A" w:rsidP="00F93A1A">
      <w:pPr>
        <w:rPr>
          <w:szCs w:val="21"/>
        </w:rPr>
      </w:pPr>
    </w:p>
    <w:p w:rsidR="00F93A1A" w:rsidRPr="00F93A1A" w:rsidRDefault="00F93A1A" w:rsidP="00F93A1A">
      <w:pPr>
        <w:rPr>
          <w:szCs w:val="21"/>
        </w:rPr>
      </w:pPr>
    </w:p>
    <w:p w:rsidR="00F93A1A" w:rsidRDefault="00F93A1A" w:rsidP="00F93A1A">
      <w:pPr>
        <w:rPr>
          <w:szCs w:val="21"/>
        </w:rPr>
      </w:pPr>
    </w:p>
    <w:p w:rsidR="007E12E3" w:rsidRDefault="007E12E3" w:rsidP="00F93A1A">
      <w:pPr>
        <w:ind w:firstLineChars="200" w:firstLine="420"/>
        <w:rPr>
          <w:szCs w:val="21"/>
        </w:rPr>
      </w:pPr>
    </w:p>
    <w:p w:rsidR="00771320" w:rsidRPr="00846ACD" w:rsidRDefault="00771320" w:rsidP="00846ACD">
      <w:pPr>
        <w:autoSpaceDE w:val="0"/>
        <w:autoSpaceDN w:val="0"/>
        <w:adjustRightInd w:val="0"/>
        <w:ind w:firstLineChars="200" w:firstLine="420"/>
        <w:jc w:val="left"/>
        <w:rPr>
          <w:rFonts w:ascii="宋体" w:cs="宋体"/>
          <w:kern w:val="0"/>
          <w:szCs w:val="21"/>
        </w:rPr>
      </w:pPr>
      <w:r w:rsidRPr="00FE0F0C">
        <w:rPr>
          <w:rFonts w:ascii="宋体" w:cs="宋体" w:hint="eastAsia"/>
          <w:kern w:val="0"/>
          <w:szCs w:val="21"/>
        </w:rPr>
        <w:t>一般而言，主营业务收</w:t>
      </w:r>
      <w:r>
        <w:rPr>
          <w:rFonts w:ascii="宋体" w:cs="宋体" w:hint="eastAsia"/>
          <w:kern w:val="0"/>
          <w:szCs w:val="21"/>
        </w:rPr>
        <w:t>入</w:t>
      </w:r>
      <w:r w:rsidRPr="00FE0F0C">
        <w:rPr>
          <w:rFonts w:ascii="宋体" w:cs="宋体" w:hint="eastAsia"/>
          <w:kern w:val="0"/>
          <w:szCs w:val="21"/>
        </w:rPr>
        <w:t>与销售现金流</w:t>
      </w:r>
      <w:r>
        <w:rPr>
          <w:rFonts w:ascii="宋体" w:cs="宋体" w:hint="eastAsia"/>
          <w:kern w:val="0"/>
          <w:szCs w:val="21"/>
        </w:rPr>
        <w:t>入</w:t>
      </w:r>
      <w:r w:rsidRPr="00FE0F0C">
        <w:rPr>
          <w:rFonts w:ascii="宋体" w:cs="宋体" w:hint="eastAsia"/>
          <w:kern w:val="0"/>
          <w:szCs w:val="21"/>
        </w:rPr>
        <w:t>变化趋势的背离往往是由于企业放松信贷销售条件所导致的，在这种情况下企业的应收款项往往会相应出现异常增长。通过前面的趋势分析我们发现，青岛海尔的应收账款自</w:t>
      </w:r>
      <w:r w:rsidRPr="00FE0F0C">
        <w:rPr>
          <w:kern w:val="0"/>
          <w:szCs w:val="21"/>
        </w:rPr>
        <w:t>20</w:t>
      </w:r>
      <w:r>
        <w:rPr>
          <w:rFonts w:hint="eastAsia"/>
          <w:kern w:val="0"/>
          <w:szCs w:val="21"/>
        </w:rPr>
        <w:t>08</w:t>
      </w:r>
      <w:r w:rsidRPr="00FE0F0C">
        <w:rPr>
          <w:rFonts w:ascii="宋体" w:cs="宋体" w:hint="eastAsia"/>
          <w:kern w:val="0"/>
          <w:szCs w:val="21"/>
        </w:rPr>
        <w:t>年起</w:t>
      </w:r>
      <w:r>
        <w:rPr>
          <w:rFonts w:ascii="宋体" w:cs="宋体" w:hint="eastAsia"/>
          <w:kern w:val="0"/>
          <w:szCs w:val="21"/>
        </w:rPr>
        <w:t>呈现异常增长趋势。</w:t>
      </w:r>
      <w:r w:rsidRPr="00FE0F0C">
        <w:rPr>
          <w:rFonts w:ascii="宋体" w:cs="宋体" w:hint="eastAsia"/>
          <w:kern w:val="0"/>
          <w:szCs w:val="21"/>
        </w:rPr>
        <w:t>导致销售收人与销售现金流入差距的另</w:t>
      </w:r>
      <w:r>
        <w:rPr>
          <w:rFonts w:hint="eastAsia"/>
          <w:kern w:val="0"/>
          <w:szCs w:val="21"/>
        </w:rPr>
        <w:t>一</w:t>
      </w:r>
      <w:r w:rsidRPr="00FE0F0C">
        <w:rPr>
          <w:rFonts w:ascii="宋体" w:cs="宋体" w:hint="eastAsia"/>
          <w:kern w:val="0"/>
          <w:szCs w:val="21"/>
        </w:rPr>
        <w:t>个原因在于应收票据的</w:t>
      </w:r>
      <w:r>
        <w:rPr>
          <w:rFonts w:ascii="宋体" w:cs="宋体" w:hint="eastAsia"/>
          <w:kern w:val="0"/>
          <w:szCs w:val="21"/>
        </w:rPr>
        <w:t>剧烈变化</w:t>
      </w:r>
      <w:r w:rsidRPr="00FE0F0C">
        <w:rPr>
          <w:rFonts w:ascii="宋体" w:cs="宋体" w:hint="eastAsia"/>
          <w:kern w:val="0"/>
          <w:szCs w:val="21"/>
        </w:rPr>
        <w:t>，应收票据</w:t>
      </w:r>
      <w:r>
        <w:rPr>
          <w:rFonts w:hint="eastAsia"/>
          <w:kern w:val="0"/>
          <w:szCs w:val="21"/>
        </w:rPr>
        <w:t>2008</w:t>
      </w:r>
      <w:r w:rsidRPr="00FE0F0C">
        <w:rPr>
          <w:rFonts w:ascii="宋体" w:cs="宋体" w:hint="eastAsia"/>
          <w:kern w:val="0"/>
          <w:szCs w:val="21"/>
        </w:rPr>
        <w:t>年末余额为</w:t>
      </w:r>
      <w:r w:rsidR="000172E7">
        <w:rPr>
          <w:rFonts w:hint="eastAsia"/>
          <w:kern w:val="0"/>
          <w:szCs w:val="21"/>
        </w:rPr>
        <w:t>7.35</w:t>
      </w:r>
      <w:r w:rsidR="000172E7">
        <w:rPr>
          <w:rFonts w:hint="eastAsia"/>
          <w:kern w:val="0"/>
          <w:szCs w:val="21"/>
        </w:rPr>
        <w:t>忆</w:t>
      </w:r>
      <w:r>
        <w:rPr>
          <w:rFonts w:hint="eastAsia"/>
          <w:kern w:val="0"/>
          <w:szCs w:val="21"/>
        </w:rPr>
        <w:t>元</w:t>
      </w:r>
      <w:r w:rsidR="002B33EF">
        <w:rPr>
          <w:rFonts w:hint="eastAsia"/>
          <w:kern w:val="0"/>
          <w:szCs w:val="21"/>
        </w:rPr>
        <w:t>，其后逐年递减，</w:t>
      </w:r>
      <w:r>
        <w:rPr>
          <w:rFonts w:ascii="宋体" w:cs="宋体" w:hint="eastAsia"/>
          <w:kern w:val="0"/>
          <w:szCs w:val="21"/>
        </w:rPr>
        <w:t>2009年—2012年分别为</w:t>
      </w:r>
      <w:r w:rsidR="000172E7">
        <w:rPr>
          <w:rFonts w:ascii="宋体" w:cs="宋体" w:hint="eastAsia"/>
          <w:kern w:val="0"/>
          <w:szCs w:val="21"/>
        </w:rPr>
        <w:t>5.34忆</w:t>
      </w:r>
      <w:r>
        <w:rPr>
          <w:rFonts w:ascii="宋体" w:cs="宋体" w:hint="eastAsia"/>
          <w:kern w:val="0"/>
          <w:szCs w:val="21"/>
        </w:rPr>
        <w:t>元，</w:t>
      </w:r>
      <w:r w:rsidR="000172E7">
        <w:rPr>
          <w:rFonts w:ascii="宋体" w:cs="宋体"/>
          <w:kern w:val="0"/>
          <w:szCs w:val="21"/>
        </w:rPr>
        <w:t>2</w:t>
      </w:r>
      <w:r w:rsidR="000172E7">
        <w:rPr>
          <w:rFonts w:ascii="宋体" w:cs="宋体" w:hint="eastAsia"/>
          <w:kern w:val="0"/>
          <w:szCs w:val="21"/>
        </w:rPr>
        <w:t>.</w:t>
      </w:r>
      <w:r w:rsidR="000172E7">
        <w:rPr>
          <w:rFonts w:ascii="宋体" w:cs="宋体"/>
          <w:kern w:val="0"/>
          <w:szCs w:val="21"/>
        </w:rPr>
        <w:t>11</w:t>
      </w:r>
      <w:r w:rsidR="000172E7">
        <w:rPr>
          <w:rFonts w:ascii="宋体" w:cs="宋体" w:hint="eastAsia"/>
          <w:kern w:val="0"/>
          <w:szCs w:val="21"/>
        </w:rPr>
        <w:t>忆</w:t>
      </w:r>
      <w:r>
        <w:rPr>
          <w:rFonts w:ascii="宋体" w:cs="宋体" w:hint="eastAsia"/>
          <w:kern w:val="0"/>
          <w:szCs w:val="21"/>
        </w:rPr>
        <w:t>元，0元，0元。</w:t>
      </w:r>
      <w:r w:rsidRPr="00FE0F0C">
        <w:rPr>
          <w:rFonts w:ascii="宋体" w:cs="宋体" w:hint="eastAsia"/>
          <w:kern w:val="0"/>
          <w:szCs w:val="21"/>
        </w:rPr>
        <w:t>如果不考虑会计分期，青岛海尔</w:t>
      </w:r>
      <w:r w:rsidR="00F52692">
        <w:rPr>
          <w:kern w:val="0"/>
          <w:szCs w:val="21"/>
        </w:rPr>
        <w:t>200</w:t>
      </w:r>
      <w:r w:rsidR="00F52692">
        <w:rPr>
          <w:rFonts w:hint="eastAsia"/>
          <w:kern w:val="0"/>
          <w:szCs w:val="21"/>
        </w:rPr>
        <w:t>8</w:t>
      </w:r>
      <w:r w:rsidRPr="00FE0F0C">
        <w:rPr>
          <w:kern w:val="0"/>
          <w:szCs w:val="21"/>
        </w:rPr>
        <w:t>—20</w:t>
      </w:r>
      <w:r w:rsidR="00F52692">
        <w:rPr>
          <w:rFonts w:hint="eastAsia"/>
          <w:kern w:val="0"/>
          <w:szCs w:val="21"/>
        </w:rPr>
        <w:t>12</w:t>
      </w:r>
      <w:r w:rsidRPr="00FE0F0C">
        <w:rPr>
          <w:rFonts w:ascii="宋体" w:cs="宋体" w:hint="eastAsia"/>
          <w:kern w:val="0"/>
          <w:szCs w:val="21"/>
        </w:rPr>
        <w:t>年总销售收人约为</w:t>
      </w:r>
      <w:r w:rsidR="000172E7">
        <w:rPr>
          <w:rFonts w:ascii="宋体" w:cs="宋体" w:hint="eastAsia"/>
          <w:kern w:val="0"/>
          <w:szCs w:val="21"/>
        </w:rPr>
        <w:t>153亿元，</w:t>
      </w:r>
      <w:r w:rsidR="00846ACD" w:rsidRPr="00FE0F0C">
        <w:rPr>
          <w:rFonts w:ascii="宋体" w:cs="宋体" w:hint="eastAsia"/>
          <w:kern w:val="0"/>
          <w:szCs w:val="21"/>
        </w:rPr>
        <w:t>这一期间销售商品、提供劳务所收到的现金合计约为</w:t>
      </w:r>
      <w:r w:rsidR="00846ACD">
        <w:rPr>
          <w:rFonts w:hint="eastAsia"/>
          <w:kern w:val="0"/>
          <w:szCs w:val="21"/>
        </w:rPr>
        <w:t>94</w:t>
      </w:r>
      <w:r w:rsidR="00846ACD" w:rsidRPr="00FE0F0C">
        <w:rPr>
          <w:rFonts w:ascii="宋体" w:cs="宋体" w:hint="eastAsia"/>
          <w:kern w:val="0"/>
          <w:szCs w:val="21"/>
        </w:rPr>
        <w:t>个亿</w:t>
      </w:r>
      <w:r w:rsidR="00846ACD">
        <w:rPr>
          <w:rFonts w:ascii="宋体" w:cs="宋体" w:hint="eastAsia"/>
          <w:kern w:val="0"/>
          <w:szCs w:val="21"/>
        </w:rPr>
        <w:t>，</w:t>
      </w:r>
      <w:r w:rsidR="000172E7">
        <w:rPr>
          <w:rFonts w:hint="eastAsia"/>
          <w:kern w:val="0"/>
          <w:szCs w:val="21"/>
        </w:rPr>
        <w:t>2012</w:t>
      </w:r>
      <w:r w:rsidR="000172E7">
        <w:rPr>
          <w:rFonts w:hint="eastAsia"/>
          <w:kern w:val="0"/>
          <w:szCs w:val="21"/>
        </w:rPr>
        <w:t>年末应收</w:t>
      </w:r>
      <w:r w:rsidRPr="00FE0F0C">
        <w:rPr>
          <w:rFonts w:ascii="宋体" w:cs="宋体" w:hint="eastAsia"/>
          <w:kern w:val="0"/>
          <w:szCs w:val="21"/>
        </w:rPr>
        <w:t>账款和应收票据合计约</w:t>
      </w:r>
      <w:r w:rsidR="00846ACD">
        <w:rPr>
          <w:rFonts w:hint="eastAsia"/>
          <w:kern w:val="0"/>
          <w:szCs w:val="21"/>
        </w:rPr>
        <w:t>34</w:t>
      </w:r>
      <w:r w:rsidRPr="00FE0F0C">
        <w:rPr>
          <w:rFonts w:ascii="宋体" w:cs="宋体" w:hint="eastAsia"/>
          <w:kern w:val="0"/>
          <w:szCs w:val="21"/>
        </w:rPr>
        <w:t>亿，那么其间的</w:t>
      </w:r>
      <w:r w:rsidR="00846ACD">
        <w:rPr>
          <w:rFonts w:ascii="宋体" w:cs="宋体" w:hint="eastAsia"/>
          <w:kern w:val="0"/>
          <w:szCs w:val="21"/>
        </w:rPr>
        <w:t>20</w:t>
      </w:r>
      <w:r w:rsidRPr="00FE0F0C">
        <w:rPr>
          <w:rFonts w:ascii="宋体" w:cs="宋体" w:hint="eastAsia"/>
          <w:kern w:val="0"/>
          <w:szCs w:val="21"/>
        </w:rPr>
        <w:t>多亿差额哪里去了？同样的情况也出现在主营业务成本与购买商品现金支出。一般而言，主营业务成本与购买商品现金支出变化趋势的背离往往是企业推迟了付款时间，在此情况下企业的应付账款或应付票据应当会出现相应的异常增长。但青岛海尔的应付账款从</w:t>
      </w:r>
      <w:r w:rsidRPr="00FE0F0C">
        <w:rPr>
          <w:kern w:val="0"/>
          <w:szCs w:val="21"/>
        </w:rPr>
        <w:t>20</w:t>
      </w:r>
      <w:r w:rsidR="00846ACD">
        <w:rPr>
          <w:rFonts w:hint="eastAsia"/>
          <w:kern w:val="0"/>
          <w:szCs w:val="21"/>
        </w:rPr>
        <w:t>08</w:t>
      </w:r>
      <w:r w:rsidRPr="00FE0F0C">
        <w:rPr>
          <w:rFonts w:ascii="宋体" w:cs="宋体" w:hint="eastAsia"/>
          <w:kern w:val="0"/>
          <w:szCs w:val="21"/>
        </w:rPr>
        <w:t>年起也没有明显的增长。</w:t>
      </w:r>
    </w:p>
    <w:p w:rsidR="00C62E06" w:rsidRPr="00F33647" w:rsidRDefault="00846ACD" w:rsidP="00F33647">
      <w:pPr>
        <w:autoSpaceDE w:val="0"/>
        <w:autoSpaceDN w:val="0"/>
        <w:adjustRightInd w:val="0"/>
        <w:ind w:firstLineChars="200" w:firstLine="420"/>
        <w:jc w:val="left"/>
        <w:rPr>
          <w:rFonts w:ascii="宋体" w:cs="宋体"/>
          <w:kern w:val="0"/>
          <w:szCs w:val="21"/>
        </w:rPr>
      </w:pPr>
      <w:r>
        <w:rPr>
          <w:rFonts w:ascii="宋体" w:cs="宋体" w:hint="eastAsia"/>
          <w:kern w:val="0"/>
          <w:szCs w:val="21"/>
        </w:rPr>
        <w:t>结合前述的会计分析，我们推测，</w:t>
      </w:r>
      <w:r w:rsidR="00771320" w:rsidRPr="00FE0F0C">
        <w:rPr>
          <w:rFonts w:ascii="宋体" w:cs="宋体" w:hint="eastAsia"/>
          <w:kern w:val="0"/>
          <w:szCs w:val="21"/>
        </w:rPr>
        <w:t>造成这种情况的原因可能是青岛海尔与关联方的资金往来都是通过海尔集团财务有限责任公司结算，而海尔集团以清理内部往来为理由进行数以亿计的关联方往来款抵销，此外还采取协议抵账的方式进行结算，从而减少了内部现金流动。由前述分析我们知道青岛海尔的商品销售和原材料采购几乎都是通过关联方进行，而海尔集团本身是一个近乎封闭的资本流动</w:t>
      </w:r>
      <w:r>
        <w:rPr>
          <w:rFonts w:ascii="宋体" w:cs="宋体" w:hint="eastAsia"/>
          <w:kern w:val="0"/>
          <w:szCs w:val="21"/>
        </w:rPr>
        <w:t>集团</w:t>
      </w:r>
      <w:r w:rsidR="00771320" w:rsidRPr="00FE0F0C">
        <w:rPr>
          <w:rFonts w:ascii="宋体" w:cs="宋体" w:hint="eastAsia"/>
          <w:kern w:val="0"/>
          <w:szCs w:val="21"/>
        </w:rPr>
        <w:t>，或许这一</w:t>
      </w:r>
      <w:r>
        <w:rPr>
          <w:rFonts w:ascii="宋体" w:cs="宋体" w:hint="eastAsia"/>
          <w:kern w:val="0"/>
          <w:szCs w:val="21"/>
        </w:rPr>
        <w:t>特殊背景正是导致青岛海尔的会计数据与现金数据相差甚多的主要原因</w:t>
      </w:r>
      <w:r w:rsidR="00771320" w:rsidRPr="00FE0F0C">
        <w:rPr>
          <w:rFonts w:ascii="宋体" w:cs="宋体" w:hint="eastAsia"/>
          <w:kern w:val="0"/>
          <w:szCs w:val="21"/>
        </w:rPr>
        <w:t>。这种特殊的背景使得青岛海尔的现金流动情况犹如庐山迷雾，</w:t>
      </w:r>
      <w:r w:rsidR="00321FC0">
        <w:rPr>
          <w:rFonts w:ascii="宋体" w:cs="宋体" w:hint="eastAsia"/>
          <w:kern w:val="0"/>
          <w:szCs w:val="21"/>
        </w:rPr>
        <w:t>在没有充足的信息资料的情况下，</w:t>
      </w:r>
      <w:r w:rsidR="00771320" w:rsidRPr="00FE0F0C">
        <w:rPr>
          <w:rFonts w:ascii="宋体" w:cs="宋体" w:hint="eastAsia"/>
          <w:kern w:val="0"/>
          <w:szCs w:val="21"/>
        </w:rPr>
        <w:t>难以分析。</w:t>
      </w:r>
    </w:p>
    <w:p w:rsidR="00F93A1A" w:rsidRDefault="008B7902" w:rsidP="008B7902">
      <w:pPr>
        <w:ind w:left="413"/>
        <w:rPr>
          <w:b/>
          <w:szCs w:val="21"/>
        </w:rPr>
      </w:pPr>
      <w:r>
        <w:rPr>
          <w:rFonts w:hint="eastAsia"/>
          <w:b/>
          <w:szCs w:val="21"/>
        </w:rPr>
        <w:t>（三）</w:t>
      </w:r>
      <w:r w:rsidR="00F93A1A" w:rsidRPr="00F93A1A">
        <w:rPr>
          <w:rFonts w:hint="eastAsia"/>
          <w:b/>
          <w:szCs w:val="21"/>
        </w:rPr>
        <w:t>投资活动现金流量分析</w:t>
      </w:r>
    </w:p>
    <w:p w:rsidR="00F93A1A" w:rsidRDefault="00F93A1A" w:rsidP="00F93A1A">
      <w:pPr>
        <w:jc w:val="center"/>
        <w:rPr>
          <w:b/>
          <w:szCs w:val="21"/>
        </w:rPr>
      </w:pPr>
      <w:r>
        <w:rPr>
          <w:rFonts w:hint="eastAsia"/>
          <w:b/>
          <w:szCs w:val="21"/>
        </w:rPr>
        <w:t>表</w:t>
      </w:r>
      <w:r w:rsidR="00F33647">
        <w:rPr>
          <w:rFonts w:hint="eastAsia"/>
          <w:b/>
          <w:szCs w:val="21"/>
        </w:rPr>
        <w:t>13</w:t>
      </w:r>
      <w:r>
        <w:rPr>
          <w:rFonts w:hint="eastAsia"/>
          <w:b/>
          <w:szCs w:val="21"/>
        </w:rPr>
        <w:t xml:space="preserve"> </w:t>
      </w:r>
      <w:r>
        <w:rPr>
          <w:rFonts w:hint="eastAsia"/>
          <w:b/>
          <w:szCs w:val="21"/>
        </w:rPr>
        <w:t>青岛海尔投资活动现金流量</w:t>
      </w:r>
      <w:r>
        <w:rPr>
          <w:rFonts w:hint="eastAsia"/>
          <w:b/>
          <w:szCs w:val="21"/>
        </w:rPr>
        <w:t xml:space="preserve"> </w:t>
      </w:r>
      <w:r>
        <w:rPr>
          <w:rFonts w:hint="eastAsia"/>
          <w:b/>
          <w:szCs w:val="21"/>
        </w:rPr>
        <w:t>（单位：亿元）</w:t>
      </w:r>
    </w:p>
    <w:tbl>
      <w:tblPr>
        <w:tblStyle w:val="a3"/>
        <w:tblW w:w="0" w:type="auto"/>
        <w:tblLook w:val="01E0" w:firstRow="1" w:lastRow="1" w:firstColumn="1" w:lastColumn="1" w:noHBand="0" w:noVBand="0"/>
      </w:tblPr>
      <w:tblGrid>
        <w:gridCol w:w="3041"/>
        <w:gridCol w:w="1058"/>
        <w:gridCol w:w="1058"/>
        <w:gridCol w:w="1061"/>
        <w:gridCol w:w="1061"/>
        <w:gridCol w:w="1017"/>
      </w:tblGrid>
      <w:tr w:rsidR="00F93A1A">
        <w:tc>
          <w:tcPr>
            <w:tcW w:w="3168" w:type="dxa"/>
          </w:tcPr>
          <w:p w:rsidR="00F93A1A" w:rsidRDefault="00F93A1A" w:rsidP="00376620">
            <w:pPr>
              <w:jc w:val="center"/>
              <w:rPr>
                <w:b/>
                <w:szCs w:val="21"/>
              </w:rPr>
            </w:pPr>
            <w:r>
              <w:rPr>
                <w:rFonts w:hint="eastAsia"/>
                <w:b/>
                <w:szCs w:val="21"/>
              </w:rPr>
              <w:t>项目</w:t>
            </w:r>
          </w:p>
        </w:tc>
        <w:tc>
          <w:tcPr>
            <w:tcW w:w="1080" w:type="dxa"/>
          </w:tcPr>
          <w:p w:rsidR="00F93A1A" w:rsidRDefault="00F93A1A" w:rsidP="00376620">
            <w:pPr>
              <w:jc w:val="center"/>
              <w:rPr>
                <w:b/>
                <w:szCs w:val="21"/>
              </w:rPr>
            </w:pPr>
            <w:r>
              <w:rPr>
                <w:rFonts w:hint="eastAsia"/>
                <w:b/>
                <w:szCs w:val="21"/>
              </w:rPr>
              <w:t>2008</w:t>
            </w:r>
            <w:r>
              <w:rPr>
                <w:rFonts w:hint="eastAsia"/>
                <w:b/>
                <w:szCs w:val="21"/>
              </w:rPr>
              <w:t>年</w:t>
            </w:r>
          </w:p>
        </w:tc>
        <w:tc>
          <w:tcPr>
            <w:tcW w:w="1080" w:type="dxa"/>
          </w:tcPr>
          <w:p w:rsidR="00F93A1A" w:rsidRDefault="00F93A1A" w:rsidP="00376620">
            <w:pPr>
              <w:jc w:val="center"/>
              <w:rPr>
                <w:b/>
                <w:szCs w:val="21"/>
              </w:rPr>
            </w:pPr>
            <w:r>
              <w:rPr>
                <w:rFonts w:hint="eastAsia"/>
                <w:b/>
                <w:szCs w:val="21"/>
              </w:rPr>
              <w:t>2009</w:t>
            </w:r>
            <w:r>
              <w:rPr>
                <w:rFonts w:hint="eastAsia"/>
                <w:b/>
                <w:szCs w:val="21"/>
              </w:rPr>
              <w:t>年</w:t>
            </w:r>
          </w:p>
        </w:tc>
        <w:tc>
          <w:tcPr>
            <w:tcW w:w="1080" w:type="dxa"/>
          </w:tcPr>
          <w:p w:rsidR="00F93A1A" w:rsidRDefault="00F93A1A" w:rsidP="00376620">
            <w:pPr>
              <w:jc w:val="center"/>
              <w:rPr>
                <w:b/>
                <w:szCs w:val="21"/>
              </w:rPr>
            </w:pPr>
            <w:r>
              <w:rPr>
                <w:rFonts w:hint="eastAsia"/>
                <w:b/>
                <w:szCs w:val="21"/>
              </w:rPr>
              <w:t>2010</w:t>
            </w:r>
            <w:r>
              <w:rPr>
                <w:rFonts w:hint="eastAsia"/>
                <w:b/>
                <w:szCs w:val="21"/>
              </w:rPr>
              <w:t>年</w:t>
            </w:r>
          </w:p>
        </w:tc>
        <w:tc>
          <w:tcPr>
            <w:tcW w:w="1080" w:type="dxa"/>
          </w:tcPr>
          <w:p w:rsidR="00F93A1A" w:rsidRDefault="00F93A1A" w:rsidP="00376620">
            <w:pPr>
              <w:jc w:val="center"/>
              <w:rPr>
                <w:b/>
                <w:szCs w:val="21"/>
              </w:rPr>
            </w:pPr>
            <w:r>
              <w:rPr>
                <w:rFonts w:hint="eastAsia"/>
                <w:b/>
                <w:szCs w:val="21"/>
              </w:rPr>
              <w:t>2011</w:t>
            </w:r>
            <w:r>
              <w:rPr>
                <w:rFonts w:hint="eastAsia"/>
                <w:b/>
                <w:szCs w:val="21"/>
              </w:rPr>
              <w:t>年</w:t>
            </w:r>
          </w:p>
        </w:tc>
        <w:tc>
          <w:tcPr>
            <w:tcW w:w="1034" w:type="dxa"/>
          </w:tcPr>
          <w:p w:rsidR="00F93A1A" w:rsidRDefault="00F93A1A" w:rsidP="00376620">
            <w:pPr>
              <w:jc w:val="center"/>
              <w:rPr>
                <w:b/>
                <w:szCs w:val="21"/>
              </w:rPr>
            </w:pPr>
            <w:r>
              <w:rPr>
                <w:rFonts w:hint="eastAsia"/>
                <w:b/>
                <w:szCs w:val="21"/>
              </w:rPr>
              <w:t>2012</w:t>
            </w:r>
            <w:r>
              <w:rPr>
                <w:rFonts w:hint="eastAsia"/>
                <w:b/>
                <w:szCs w:val="21"/>
              </w:rPr>
              <w:t>年</w:t>
            </w:r>
          </w:p>
        </w:tc>
      </w:tr>
      <w:tr w:rsidR="00F93A1A">
        <w:tc>
          <w:tcPr>
            <w:tcW w:w="3168" w:type="dxa"/>
          </w:tcPr>
          <w:p w:rsidR="00F93A1A" w:rsidRPr="00F93A1A" w:rsidRDefault="00F93A1A" w:rsidP="00376620">
            <w:pPr>
              <w:jc w:val="center"/>
              <w:rPr>
                <w:b/>
                <w:szCs w:val="21"/>
              </w:rPr>
            </w:pPr>
            <w:r w:rsidRPr="00F93A1A">
              <w:rPr>
                <w:rFonts w:hint="eastAsia"/>
                <w:b/>
                <w:szCs w:val="21"/>
              </w:rPr>
              <w:t>取得投资收益收到的现金</w:t>
            </w:r>
          </w:p>
        </w:tc>
        <w:tc>
          <w:tcPr>
            <w:tcW w:w="1080" w:type="dxa"/>
          </w:tcPr>
          <w:p w:rsidR="00F93A1A" w:rsidRDefault="00F93A1A" w:rsidP="00376620">
            <w:pPr>
              <w:jc w:val="center"/>
              <w:rPr>
                <w:b/>
                <w:szCs w:val="21"/>
              </w:rPr>
            </w:pPr>
            <w:r>
              <w:rPr>
                <w:rFonts w:hint="eastAsia"/>
                <w:b/>
                <w:szCs w:val="21"/>
              </w:rPr>
              <w:t>0.82</w:t>
            </w:r>
          </w:p>
        </w:tc>
        <w:tc>
          <w:tcPr>
            <w:tcW w:w="1080" w:type="dxa"/>
          </w:tcPr>
          <w:p w:rsidR="00F93A1A" w:rsidRDefault="00F93A1A" w:rsidP="00376620">
            <w:pPr>
              <w:jc w:val="center"/>
              <w:rPr>
                <w:b/>
                <w:szCs w:val="21"/>
              </w:rPr>
            </w:pPr>
            <w:r>
              <w:rPr>
                <w:rFonts w:hint="eastAsia"/>
                <w:b/>
                <w:szCs w:val="21"/>
              </w:rPr>
              <w:t>1.62</w:t>
            </w:r>
          </w:p>
        </w:tc>
        <w:tc>
          <w:tcPr>
            <w:tcW w:w="1080" w:type="dxa"/>
          </w:tcPr>
          <w:p w:rsidR="00F93A1A" w:rsidRDefault="009E076F" w:rsidP="00376620">
            <w:pPr>
              <w:jc w:val="center"/>
              <w:rPr>
                <w:b/>
                <w:szCs w:val="21"/>
              </w:rPr>
            </w:pPr>
            <w:r>
              <w:rPr>
                <w:rFonts w:hint="eastAsia"/>
                <w:b/>
                <w:szCs w:val="21"/>
              </w:rPr>
              <w:t>7.94</w:t>
            </w:r>
          </w:p>
        </w:tc>
        <w:tc>
          <w:tcPr>
            <w:tcW w:w="1080" w:type="dxa"/>
          </w:tcPr>
          <w:p w:rsidR="00F93A1A" w:rsidRDefault="003A7F98" w:rsidP="00376620">
            <w:pPr>
              <w:jc w:val="center"/>
              <w:rPr>
                <w:b/>
                <w:szCs w:val="21"/>
              </w:rPr>
            </w:pPr>
            <w:r>
              <w:rPr>
                <w:rFonts w:hint="eastAsia"/>
                <w:b/>
                <w:szCs w:val="21"/>
              </w:rPr>
              <w:t>15.54</w:t>
            </w:r>
          </w:p>
        </w:tc>
        <w:tc>
          <w:tcPr>
            <w:tcW w:w="1034" w:type="dxa"/>
          </w:tcPr>
          <w:p w:rsidR="00F93A1A" w:rsidRDefault="003A7F98" w:rsidP="00376620">
            <w:pPr>
              <w:jc w:val="center"/>
              <w:rPr>
                <w:b/>
                <w:szCs w:val="21"/>
              </w:rPr>
            </w:pPr>
            <w:r>
              <w:rPr>
                <w:rFonts w:hint="eastAsia"/>
                <w:b/>
                <w:szCs w:val="21"/>
              </w:rPr>
              <w:t>2.36</w:t>
            </w:r>
          </w:p>
        </w:tc>
      </w:tr>
      <w:tr w:rsidR="00F93A1A">
        <w:tc>
          <w:tcPr>
            <w:tcW w:w="3168" w:type="dxa"/>
          </w:tcPr>
          <w:p w:rsidR="00F93A1A" w:rsidRPr="00F93A1A" w:rsidRDefault="00F93A1A" w:rsidP="00376620">
            <w:pPr>
              <w:jc w:val="center"/>
              <w:rPr>
                <w:b/>
                <w:szCs w:val="21"/>
              </w:rPr>
            </w:pPr>
            <w:r w:rsidRPr="00F93A1A">
              <w:rPr>
                <w:rFonts w:hint="eastAsia"/>
                <w:b/>
                <w:szCs w:val="21"/>
              </w:rPr>
              <w:t>投资活动现金流入小计</w:t>
            </w:r>
          </w:p>
        </w:tc>
        <w:tc>
          <w:tcPr>
            <w:tcW w:w="1080" w:type="dxa"/>
          </w:tcPr>
          <w:p w:rsidR="00F93A1A" w:rsidRDefault="00F93A1A" w:rsidP="00376620">
            <w:pPr>
              <w:jc w:val="center"/>
              <w:rPr>
                <w:b/>
                <w:szCs w:val="21"/>
              </w:rPr>
            </w:pPr>
            <w:r>
              <w:rPr>
                <w:rFonts w:hint="eastAsia"/>
                <w:b/>
                <w:szCs w:val="21"/>
              </w:rPr>
              <w:t>0.82</w:t>
            </w:r>
          </w:p>
        </w:tc>
        <w:tc>
          <w:tcPr>
            <w:tcW w:w="1080" w:type="dxa"/>
          </w:tcPr>
          <w:p w:rsidR="00F93A1A" w:rsidRDefault="00F93A1A" w:rsidP="00376620">
            <w:pPr>
              <w:jc w:val="center"/>
              <w:rPr>
                <w:b/>
                <w:szCs w:val="21"/>
              </w:rPr>
            </w:pPr>
            <w:r>
              <w:rPr>
                <w:rFonts w:hint="eastAsia"/>
                <w:b/>
                <w:szCs w:val="21"/>
              </w:rPr>
              <w:t>1.62</w:t>
            </w:r>
          </w:p>
        </w:tc>
        <w:tc>
          <w:tcPr>
            <w:tcW w:w="1080" w:type="dxa"/>
          </w:tcPr>
          <w:p w:rsidR="00F93A1A" w:rsidRDefault="009E076F" w:rsidP="00376620">
            <w:pPr>
              <w:jc w:val="center"/>
              <w:rPr>
                <w:b/>
                <w:szCs w:val="21"/>
              </w:rPr>
            </w:pPr>
            <w:r>
              <w:rPr>
                <w:rFonts w:hint="eastAsia"/>
                <w:b/>
                <w:szCs w:val="21"/>
              </w:rPr>
              <w:t>7.94</w:t>
            </w:r>
          </w:p>
        </w:tc>
        <w:tc>
          <w:tcPr>
            <w:tcW w:w="1080" w:type="dxa"/>
          </w:tcPr>
          <w:p w:rsidR="00F93A1A" w:rsidRDefault="003A7F98" w:rsidP="00376620">
            <w:pPr>
              <w:jc w:val="center"/>
              <w:rPr>
                <w:b/>
                <w:szCs w:val="21"/>
              </w:rPr>
            </w:pPr>
            <w:r>
              <w:rPr>
                <w:rFonts w:hint="eastAsia"/>
                <w:b/>
                <w:szCs w:val="21"/>
              </w:rPr>
              <w:t>15.63</w:t>
            </w:r>
          </w:p>
        </w:tc>
        <w:tc>
          <w:tcPr>
            <w:tcW w:w="1034" w:type="dxa"/>
          </w:tcPr>
          <w:p w:rsidR="00F93A1A" w:rsidRDefault="003A7F98" w:rsidP="00376620">
            <w:pPr>
              <w:jc w:val="center"/>
              <w:rPr>
                <w:b/>
                <w:szCs w:val="21"/>
              </w:rPr>
            </w:pPr>
            <w:r>
              <w:rPr>
                <w:rFonts w:hint="eastAsia"/>
                <w:b/>
                <w:szCs w:val="21"/>
              </w:rPr>
              <w:t>2.69</w:t>
            </w:r>
          </w:p>
        </w:tc>
      </w:tr>
      <w:tr w:rsidR="00F93A1A">
        <w:tc>
          <w:tcPr>
            <w:tcW w:w="3168" w:type="dxa"/>
          </w:tcPr>
          <w:p w:rsidR="00F93A1A" w:rsidRPr="00F93A1A" w:rsidRDefault="00F93A1A" w:rsidP="00376620">
            <w:pPr>
              <w:jc w:val="center"/>
              <w:rPr>
                <w:b/>
                <w:szCs w:val="21"/>
              </w:rPr>
            </w:pPr>
            <w:r w:rsidRPr="00F93A1A">
              <w:rPr>
                <w:rFonts w:hint="eastAsia"/>
                <w:b/>
                <w:szCs w:val="21"/>
              </w:rPr>
              <w:t>购建固定资产、无形资产和其他长期资产支付的现金</w:t>
            </w:r>
          </w:p>
        </w:tc>
        <w:tc>
          <w:tcPr>
            <w:tcW w:w="1080" w:type="dxa"/>
            <w:vAlign w:val="center"/>
          </w:tcPr>
          <w:p w:rsidR="00F93A1A" w:rsidRDefault="009D39BF" w:rsidP="00376620">
            <w:pPr>
              <w:jc w:val="center"/>
              <w:rPr>
                <w:b/>
                <w:szCs w:val="21"/>
              </w:rPr>
            </w:pPr>
            <w:r>
              <w:rPr>
                <w:rFonts w:hint="eastAsia"/>
                <w:b/>
                <w:szCs w:val="21"/>
              </w:rPr>
              <w:t>0.04</w:t>
            </w:r>
          </w:p>
        </w:tc>
        <w:tc>
          <w:tcPr>
            <w:tcW w:w="1080" w:type="dxa"/>
            <w:vAlign w:val="center"/>
          </w:tcPr>
          <w:p w:rsidR="00F93A1A" w:rsidRDefault="009D39BF" w:rsidP="00376620">
            <w:pPr>
              <w:jc w:val="center"/>
              <w:rPr>
                <w:b/>
                <w:szCs w:val="21"/>
              </w:rPr>
            </w:pPr>
            <w:r>
              <w:rPr>
                <w:rFonts w:hint="eastAsia"/>
                <w:b/>
                <w:szCs w:val="21"/>
              </w:rPr>
              <w:t>0.06</w:t>
            </w:r>
          </w:p>
        </w:tc>
        <w:tc>
          <w:tcPr>
            <w:tcW w:w="1080" w:type="dxa"/>
            <w:vAlign w:val="center"/>
          </w:tcPr>
          <w:p w:rsidR="00F93A1A" w:rsidRDefault="009E076F" w:rsidP="00376620">
            <w:pPr>
              <w:jc w:val="center"/>
              <w:rPr>
                <w:b/>
                <w:szCs w:val="21"/>
              </w:rPr>
            </w:pPr>
            <w:r>
              <w:rPr>
                <w:rFonts w:hint="eastAsia"/>
                <w:b/>
                <w:szCs w:val="21"/>
              </w:rPr>
              <w:t>0.28</w:t>
            </w:r>
          </w:p>
        </w:tc>
        <w:tc>
          <w:tcPr>
            <w:tcW w:w="1080" w:type="dxa"/>
            <w:vAlign w:val="center"/>
          </w:tcPr>
          <w:p w:rsidR="00F93A1A" w:rsidRDefault="003A7F98" w:rsidP="00376620">
            <w:pPr>
              <w:jc w:val="center"/>
              <w:rPr>
                <w:b/>
                <w:szCs w:val="21"/>
              </w:rPr>
            </w:pPr>
            <w:r>
              <w:rPr>
                <w:rFonts w:hint="eastAsia"/>
                <w:b/>
                <w:szCs w:val="21"/>
              </w:rPr>
              <w:t>0.13</w:t>
            </w:r>
          </w:p>
        </w:tc>
        <w:tc>
          <w:tcPr>
            <w:tcW w:w="1034" w:type="dxa"/>
            <w:vAlign w:val="center"/>
          </w:tcPr>
          <w:p w:rsidR="00F93A1A" w:rsidRDefault="003A7F98" w:rsidP="00376620">
            <w:pPr>
              <w:jc w:val="center"/>
              <w:rPr>
                <w:b/>
                <w:szCs w:val="21"/>
              </w:rPr>
            </w:pPr>
            <w:r>
              <w:rPr>
                <w:rFonts w:hint="eastAsia"/>
                <w:b/>
                <w:szCs w:val="21"/>
              </w:rPr>
              <w:t>0.24</w:t>
            </w:r>
          </w:p>
        </w:tc>
      </w:tr>
      <w:tr w:rsidR="00F93A1A">
        <w:tc>
          <w:tcPr>
            <w:tcW w:w="3168" w:type="dxa"/>
          </w:tcPr>
          <w:p w:rsidR="00F93A1A" w:rsidRPr="00F93A1A" w:rsidRDefault="00F93A1A" w:rsidP="00376620">
            <w:pPr>
              <w:jc w:val="center"/>
              <w:rPr>
                <w:b/>
                <w:szCs w:val="21"/>
              </w:rPr>
            </w:pPr>
            <w:r w:rsidRPr="00F93A1A">
              <w:rPr>
                <w:rFonts w:hint="eastAsia"/>
                <w:b/>
                <w:szCs w:val="21"/>
              </w:rPr>
              <w:t>投资支付的现金</w:t>
            </w:r>
          </w:p>
        </w:tc>
        <w:tc>
          <w:tcPr>
            <w:tcW w:w="1080" w:type="dxa"/>
          </w:tcPr>
          <w:p w:rsidR="00F93A1A" w:rsidRDefault="009D39BF" w:rsidP="00376620">
            <w:pPr>
              <w:jc w:val="center"/>
              <w:rPr>
                <w:b/>
                <w:szCs w:val="21"/>
              </w:rPr>
            </w:pPr>
            <w:r>
              <w:rPr>
                <w:rFonts w:hint="eastAsia"/>
                <w:b/>
                <w:szCs w:val="21"/>
              </w:rPr>
              <w:t>6.67</w:t>
            </w:r>
          </w:p>
        </w:tc>
        <w:tc>
          <w:tcPr>
            <w:tcW w:w="1080" w:type="dxa"/>
          </w:tcPr>
          <w:p w:rsidR="00F93A1A" w:rsidRDefault="009D39BF" w:rsidP="00376620">
            <w:pPr>
              <w:jc w:val="center"/>
              <w:rPr>
                <w:b/>
                <w:szCs w:val="21"/>
              </w:rPr>
            </w:pPr>
            <w:r>
              <w:rPr>
                <w:rFonts w:hint="eastAsia"/>
                <w:b/>
                <w:szCs w:val="21"/>
              </w:rPr>
              <w:t>0</w:t>
            </w:r>
          </w:p>
        </w:tc>
        <w:tc>
          <w:tcPr>
            <w:tcW w:w="1080" w:type="dxa"/>
          </w:tcPr>
          <w:p w:rsidR="00F93A1A" w:rsidRDefault="009E076F" w:rsidP="00376620">
            <w:pPr>
              <w:jc w:val="center"/>
              <w:rPr>
                <w:b/>
                <w:szCs w:val="21"/>
              </w:rPr>
            </w:pPr>
            <w:r>
              <w:rPr>
                <w:rFonts w:hint="eastAsia"/>
                <w:b/>
                <w:szCs w:val="21"/>
              </w:rPr>
              <w:t>22.85</w:t>
            </w:r>
          </w:p>
        </w:tc>
        <w:tc>
          <w:tcPr>
            <w:tcW w:w="1080" w:type="dxa"/>
          </w:tcPr>
          <w:p w:rsidR="00F93A1A" w:rsidRDefault="003A7F98" w:rsidP="00376620">
            <w:pPr>
              <w:jc w:val="center"/>
              <w:rPr>
                <w:b/>
                <w:szCs w:val="21"/>
              </w:rPr>
            </w:pPr>
            <w:r>
              <w:rPr>
                <w:rFonts w:hint="eastAsia"/>
                <w:b/>
                <w:szCs w:val="21"/>
              </w:rPr>
              <w:t>18.69</w:t>
            </w:r>
          </w:p>
        </w:tc>
        <w:tc>
          <w:tcPr>
            <w:tcW w:w="1034" w:type="dxa"/>
          </w:tcPr>
          <w:p w:rsidR="00F93A1A" w:rsidRDefault="003A7F98" w:rsidP="00376620">
            <w:pPr>
              <w:jc w:val="center"/>
              <w:rPr>
                <w:b/>
                <w:szCs w:val="21"/>
              </w:rPr>
            </w:pPr>
            <w:r>
              <w:rPr>
                <w:rFonts w:hint="eastAsia"/>
                <w:b/>
                <w:szCs w:val="21"/>
              </w:rPr>
              <w:t>15.73</w:t>
            </w:r>
          </w:p>
        </w:tc>
      </w:tr>
      <w:tr w:rsidR="00F93A1A">
        <w:tc>
          <w:tcPr>
            <w:tcW w:w="3168" w:type="dxa"/>
          </w:tcPr>
          <w:p w:rsidR="00F93A1A" w:rsidRPr="00F93A1A" w:rsidRDefault="00F93A1A" w:rsidP="00376620">
            <w:pPr>
              <w:jc w:val="center"/>
              <w:rPr>
                <w:b/>
                <w:szCs w:val="21"/>
              </w:rPr>
            </w:pPr>
            <w:r w:rsidRPr="00F93A1A">
              <w:rPr>
                <w:rFonts w:hint="eastAsia"/>
                <w:b/>
                <w:szCs w:val="21"/>
              </w:rPr>
              <w:t>投资活动现金流出小计</w:t>
            </w:r>
          </w:p>
        </w:tc>
        <w:tc>
          <w:tcPr>
            <w:tcW w:w="1080" w:type="dxa"/>
          </w:tcPr>
          <w:p w:rsidR="00F93A1A" w:rsidRDefault="009D39BF" w:rsidP="00376620">
            <w:pPr>
              <w:jc w:val="center"/>
              <w:rPr>
                <w:b/>
                <w:szCs w:val="21"/>
              </w:rPr>
            </w:pPr>
            <w:r>
              <w:rPr>
                <w:rFonts w:hint="eastAsia"/>
                <w:b/>
                <w:szCs w:val="21"/>
              </w:rPr>
              <w:t>6.71</w:t>
            </w:r>
          </w:p>
        </w:tc>
        <w:tc>
          <w:tcPr>
            <w:tcW w:w="1080" w:type="dxa"/>
          </w:tcPr>
          <w:p w:rsidR="00F93A1A" w:rsidRDefault="009D39BF" w:rsidP="00376620">
            <w:pPr>
              <w:jc w:val="center"/>
              <w:rPr>
                <w:b/>
                <w:szCs w:val="21"/>
              </w:rPr>
            </w:pPr>
            <w:r>
              <w:rPr>
                <w:rFonts w:hint="eastAsia"/>
                <w:b/>
                <w:szCs w:val="21"/>
              </w:rPr>
              <w:t>0.07</w:t>
            </w:r>
          </w:p>
        </w:tc>
        <w:tc>
          <w:tcPr>
            <w:tcW w:w="1080" w:type="dxa"/>
          </w:tcPr>
          <w:p w:rsidR="00F93A1A" w:rsidRDefault="009E076F" w:rsidP="00376620">
            <w:pPr>
              <w:jc w:val="center"/>
              <w:rPr>
                <w:b/>
                <w:szCs w:val="21"/>
              </w:rPr>
            </w:pPr>
            <w:r>
              <w:rPr>
                <w:rFonts w:hint="eastAsia"/>
                <w:b/>
                <w:szCs w:val="21"/>
              </w:rPr>
              <w:t>23.13</w:t>
            </w:r>
          </w:p>
        </w:tc>
        <w:tc>
          <w:tcPr>
            <w:tcW w:w="1080" w:type="dxa"/>
          </w:tcPr>
          <w:p w:rsidR="00F93A1A" w:rsidRDefault="003A7F98" w:rsidP="00376620">
            <w:pPr>
              <w:jc w:val="center"/>
              <w:rPr>
                <w:b/>
                <w:szCs w:val="21"/>
              </w:rPr>
            </w:pPr>
            <w:r>
              <w:rPr>
                <w:rFonts w:hint="eastAsia"/>
                <w:b/>
                <w:szCs w:val="21"/>
              </w:rPr>
              <w:t>18.81</w:t>
            </w:r>
          </w:p>
        </w:tc>
        <w:tc>
          <w:tcPr>
            <w:tcW w:w="1034" w:type="dxa"/>
          </w:tcPr>
          <w:p w:rsidR="00F93A1A" w:rsidRDefault="003A7F98" w:rsidP="00376620">
            <w:pPr>
              <w:jc w:val="center"/>
              <w:rPr>
                <w:b/>
                <w:szCs w:val="21"/>
              </w:rPr>
            </w:pPr>
            <w:r>
              <w:rPr>
                <w:rFonts w:hint="eastAsia"/>
                <w:b/>
                <w:szCs w:val="21"/>
              </w:rPr>
              <w:t>1.82</w:t>
            </w:r>
          </w:p>
        </w:tc>
      </w:tr>
      <w:tr w:rsidR="00F93A1A">
        <w:tc>
          <w:tcPr>
            <w:tcW w:w="3168" w:type="dxa"/>
          </w:tcPr>
          <w:p w:rsidR="00F93A1A" w:rsidRPr="00F93A1A" w:rsidRDefault="00F93A1A" w:rsidP="00376620">
            <w:pPr>
              <w:jc w:val="center"/>
              <w:rPr>
                <w:b/>
                <w:szCs w:val="21"/>
              </w:rPr>
            </w:pPr>
            <w:r w:rsidRPr="00F93A1A">
              <w:rPr>
                <w:rFonts w:hint="eastAsia"/>
                <w:b/>
                <w:szCs w:val="21"/>
              </w:rPr>
              <w:t>投资活动产生的现金流量净额</w:t>
            </w:r>
          </w:p>
        </w:tc>
        <w:tc>
          <w:tcPr>
            <w:tcW w:w="1080" w:type="dxa"/>
          </w:tcPr>
          <w:p w:rsidR="00F93A1A" w:rsidRDefault="009D39BF" w:rsidP="00376620">
            <w:pPr>
              <w:jc w:val="center"/>
              <w:rPr>
                <w:b/>
                <w:szCs w:val="21"/>
              </w:rPr>
            </w:pPr>
            <w:r>
              <w:rPr>
                <w:rFonts w:hint="eastAsia"/>
                <w:b/>
                <w:szCs w:val="21"/>
              </w:rPr>
              <w:t>-5.89</w:t>
            </w:r>
          </w:p>
        </w:tc>
        <w:tc>
          <w:tcPr>
            <w:tcW w:w="1080" w:type="dxa"/>
          </w:tcPr>
          <w:p w:rsidR="00F93A1A" w:rsidRDefault="009D39BF" w:rsidP="00376620">
            <w:pPr>
              <w:jc w:val="center"/>
              <w:rPr>
                <w:b/>
                <w:szCs w:val="21"/>
              </w:rPr>
            </w:pPr>
            <w:r>
              <w:rPr>
                <w:rFonts w:hint="eastAsia"/>
                <w:b/>
                <w:szCs w:val="21"/>
              </w:rPr>
              <w:t>1.55</w:t>
            </w:r>
          </w:p>
        </w:tc>
        <w:tc>
          <w:tcPr>
            <w:tcW w:w="1080" w:type="dxa"/>
          </w:tcPr>
          <w:p w:rsidR="00F93A1A" w:rsidRDefault="009E076F" w:rsidP="00376620">
            <w:pPr>
              <w:jc w:val="center"/>
              <w:rPr>
                <w:b/>
                <w:szCs w:val="21"/>
              </w:rPr>
            </w:pPr>
            <w:r>
              <w:rPr>
                <w:rFonts w:hint="eastAsia"/>
                <w:b/>
                <w:szCs w:val="21"/>
              </w:rPr>
              <w:t>-15.19</w:t>
            </w:r>
          </w:p>
        </w:tc>
        <w:tc>
          <w:tcPr>
            <w:tcW w:w="1080" w:type="dxa"/>
          </w:tcPr>
          <w:p w:rsidR="00F93A1A" w:rsidRDefault="003A7F98" w:rsidP="00376620">
            <w:pPr>
              <w:jc w:val="center"/>
              <w:rPr>
                <w:b/>
                <w:szCs w:val="21"/>
              </w:rPr>
            </w:pPr>
            <w:r>
              <w:rPr>
                <w:rFonts w:hint="eastAsia"/>
                <w:b/>
                <w:szCs w:val="21"/>
              </w:rPr>
              <w:t>-3.18</w:t>
            </w:r>
          </w:p>
        </w:tc>
        <w:tc>
          <w:tcPr>
            <w:tcW w:w="1034" w:type="dxa"/>
          </w:tcPr>
          <w:p w:rsidR="00F93A1A" w:rsidRDefault="003A7F98" w:rsidP="00376620">
            <w:pPr>
              <w:jc w:val="center"/>
              <w:rPr>
                <w:b/>
                <w:szCs w:val="21"/>
              </w:rPr>
            </w:pPr>
            <w:r>
              <w:rPr>
                <w:rFonts w:hint="eastAsia"/>
                <w:b/>
                <w:szCs w:val="21"/>
              </w:rPr>
              <w:t>0.87</w:t>
            </w:r>
          </w:p>
        </w:tc>
      </w:tr>
    </w:tbl>
    <w:p w:rsidR="00F33647" w:rsidRPr="00FE0F0C" w:rsidRDefault="00F33647" w:rsidP="0010039A">
      <w:pPr>
        <w:autoSpaceDE w:val="0"/>
        <w:autoSpaceDN w:val="0"/>
        <w:adjustRightInd w:val="0"/>
        <w:ind w:firstLineChars="200" w:firstLine="420"/>
        <w:jc w:val="left"/>
        <w:rPr>
          <w:rFonts w:ascii="宋体" w:cs="宋体"/>
          <w:kern w:val="0"/>
          <w:szCs w:val="21"/>
        </w:rPr>
      </w:pPr>
      <w:r w:rsidRPr="00FE0F0C">
        <w:rPr>
          <w:rFonts w:ascii="宋体" w:cs="宋体" w:hint="eastAsia"/>
          <w:kern w:val="0"/>
          <w:szCs w:val="21"/>
        </w:rPr>
        <w:t>表</w:t>
      </w:r>
      <w:r>
        <w:rPr>
          <w:rFonts w:hint="eastAsia"/>
          <w:kern w:val="0"/>
          <w:szCs w:val="21"/>
        </w:rPr>
        <w:t>13</w:t>
      </w:r>
      <w:r w:rsidRPr="00FE0F0C">
        <w:rPr>
          <w:rFonts w:ascii="宋体" w:cs="宋体" w:hint="eastAsia"/>
          <w:kern w:val="0"/>
          <w:szCs w:val="21"/>
        </w:rPr>
        <w:t>列示了青岛海尔近年来投资活动现金流量主要项目情况。</w:t>
      </w:r>
      <w:r>
        <w:rPr>
          <w:rFonts w:ascii="宋体" w:cs="宋体" w:hint="eastAsia"/>
          <w:kern w:val="0"/>
          <w:szCs w:val="21"/>
        </w:rPr>
        <w:t>从现金流量表中，我们可以看出2008—2012年青岛海尔投资活动现金流入主要是由于</w:t>
      </w:r>
      <w:r w:rsidR="0010039A">
        <w:rPr>
          <w:rFonts w:ascii="宋体" w:cs="宋体" w:hint="eastAsia"/>
          <w:kern w:val="0"/>
          <w:szCs w:val="21"/>
        </w:rPr>
        <w:t>“收回投资所收到的现金、</w:t>
      </w:r>
      <w:r w:rsidR="0010039A" w:rsidRPr="00C04808">
        <w:rPr>
          <w:rFonts w:hint="eastAsia"/>
          <w:szCs w:val="21"/>
        </w:rPr>
        <w:lastRenderedPageBreak/>
        <w:t>取得投资收益收到的现金</w:t>
      </w:r>
      <w:r w:rsidR="0010039A">
        <w:rPr>
          <w:rFonts w:ascii="宋体" w:cs="宋体" w:hint="eastAsia"/>
          <w:kern w:val="0"/>
          <w:szCs w:val="21"/>
        </w:rPr>
        <w:t>”这个因素所致，处置长期有形资产带来的现金流入很少。</w:t>
      </w:r>
      <w:r w:rsidRPr="00FE0F0C">
        <w:rPr>
          <w:rFonts w:ascii="宋体" w:cs="宋体" w:hint="eastAsia"/>
          <w:kern w:val="0"/>
          <w:szCs w:val="21"/>
        </w:rPr>
        <w:t>我们在结构分析部分曾指出青岛海尔的长期股权投资比重极大，</w:t>
      </w:r>
      <w:r w:rsidR="0010039A">
        <w:rPr>
          <w:rFonts w:ascii="宋体" w:cs="宋体" w:hint="eastAsia"/>
          <w:kern w:val="0"/>
          <w:szCs w:val="21"/>
        </w:rPr>
        <w:t>而</w:t>
      </w:r>
      <w:r w:rsidRPr="00FE0F0C">
        <w:rPr>
          <w:rFonts w:ascii="宋体" w:cs="宋体" w:hint="eastAsia"/>
          <w:kern w:val="0"/>
          <w:szCs w:val="21"/>
        </w:rPr>
        <w:t>投资收益产生的现金流</w:t>
      </w:r>
      <w:r w:rsidR="0010039A">
        <w:rPr>
          <w:rFonts w:ascii="宋体" w:cs="宋体" w:hint="eastAsia"/>
          <w:kern w:val="0"/>
          <w:szCs w:val="21"/>
        </w:rPr>
        <w:t>入较多也佐证了这一点</w:t>
      </w:r>
      <w:r w:rsidRPr="00FE0F0C">
        <w:rPr>
          <w:rFonts w:ascii="宋体" w:cs="宋体" w:hint="eastAsia"/>
          <w:kern w:val="0"/>
          <w:szCs w:val="21"/>
        </w:rPr>
        <w:t>。青岛海尔</w:t>
      </w:r>
      <w:r w:rsidR="0010039A">
        <w:rPr>
          <w:rFonts w:hint="eastAsia"/>
          <w:kern w:val="0"/>
          <w:szCs w:val="21"/>
        </w:rPr>
        <w:t>2008</w:t>
      </w:r>
      <w:r w:rsidR="0010039A">
        <w:rPr>
          <w:rFonts w:hint="eastAsia"/>
          <w:kern w:val="0"/>
          <w:szCs w:val="21"/>
        </w:rPr>
        <w:t>——</w:t>
      </w:r>
      <w:r w:rsidR="0010039A">
        <w:rPr>
          <w:rFonts w:hint="eastAsia"/>
          <w:kern w:val="0"/>
          <w:szCs w:val="21"/>
        </w:rPr>
        <w:t>2012</w:t>
      </w:r>
      <w:r w:rsidR="0010039A">
        <w:rPr>
          <w:rFonts w:hint="eastAsia"/>
          <w:kern w:val="0"/>
          <w:szCs w:val="21"/>
        </w:rPr>
        <w:t>年</w:t>
      </w:r>
      <w:r w:rsidRPr="00FE0F0C">
        <w:rPr>
          <w:rFonts w:ascii="宋体" w:cs="宋体" w:hint="eastAsia"/>
          <w:kern w:val="0"/>
          <w:szCs w:val="21"/>
        </w:rPr>
        <w:t>年购建固定资产、无形资产和其他长期资产所支付的现金</w:t>
      </w:r>
      <w:r w:rsidR="0010039A">
        <w:rPr>
          <w:rFonts w:ascii="宋体" w:cs="宋体" w:hint="eastAsia"/>
          <w:kern w:val="0"/>
          <w:szCs w:val="21"/>
        </w:rPr>
        <w:t>相对平稳</w:t>
      </w:r>
      <w:r w:rsidRPr="00FE0F0C">
        <w:rPr>
          <w:rFonts w:ascii="宋体" w:cs="宋体" w:hint="eastAsia"/>
          <w:kern w:val="0"/>
          <w:szCs w:val="21"/>
        </w:rPr>
        <w:t>，主要是投资于在建工程，特别是特种冰箱项目。</w:t>
      </w:r>
      <w:r w:rsidR="0010039A">
        <w:rPr>
          <w:rFonts w:ascii="宋体" w:cs="宋体" w:hint="eastAsia"/>
          <w:kern w:val="0"/>
          <w:szCs w:val="21"/>
        </w:rPr>
        <w:t>但是需要注意一点的是，其</w:t>
      </w:r>
      <w:r w:rsidRPr="00FE0F0C">
        <w:rPr>
          <w:rFonts w:ascii="宋体" w:cs="宋体" w:hint="eastAsia"/>
          <w:kern w:val="0"/>
          <w:szCs w:val="21"/>
        </w:rPr>
        <w:t>无形资产并没有增加，正如我们在会计分析部分所指出，对于坚持差异化竞争战略的青岛海尔而言，在无形资产投资方面却如此吝啬，实在令人费解。</w:t>
      </w:r>
    </w:p>
    <w:p w:rsidR="004F5543" w:rsidRPr="00FE0F0C" w:rsidRDefault="00F33647" w:rsidP="004F5543">
      <w:pPr>
        <w:autoSpaceDE w:val="0"/>
        <w:autoSpaceDN w:val="0"/>
        <w:adjustRightInd w:val="0"/>
        <w:ind w:firstLineChars="250" w:firstLine="525"/>
        <w:jc w:val="left"/>
        <w:rPr>
          <w:rFonts w:ascii="宋体" w:cs="宋体"/>
          <w:kern w:val="0"/>
          <w:szCs w:val="21"/>
        </w:rPr>
      </w:pPr>
      <w:r w:rsidRPr="00FE0F0C">
        <w:rPr>
          <w:rFonts w:ascii="宋体" w:cs="宋体" w:hint="eastAsia"/>
          <w:kern w:val="0"/>
          <w:szCs w:val="21"/>
        </w:rPr>
        <w:t>在股权投资方面，青岛海尔</w:t>
      </w:r>
      <w:r w:rsidR="005D28CA">
        <w:rPr>
          <w:rFonts w:ascii="宋体" w:cs="宋体" w:hint="eastAsia"/>
          <w:kern w:val="0"/>
          <w:szCs w:val="21"/>
        </w:rPr>
        <w:t>在2010年和2011年分别以22.85亿元和18.69亿元的投资</w:t>
      </w:r>
      <w:r w:rsidR="00D362A1">
        <w:rPr>
          <w:rFonts w:ascii="宋体" w:cs="宋体" w:hint="eastAsia"/>
          <w:kern w:val="0"/>
          <w:szCs w:val="21"/>
        </w:rPr>
        <w:t>，</w:t>
      </w:r>
      <w:r w:rsidR="00D362A1" w:rsidRPr="00D362A1">
        <w:rPr>
          <w:rFonts w:ascii="宋体" w:cs="宋体" w:hint="eastAsia"/>
          <w:kern w:val="0"/>
          <w:szCs w:val="21"/>
        </w:rPr>
        <w:t>支付购买</w:t>
      </w:r>
      <w:r w:rsidR="00D362A1">
        <w:rPr>
          <w:rFonts w:ascii="宋体" w:cs="宋体" w:hint="eastAsia"/>
          <w:kern w:val="0"/>
          <w:szCs w:val="21"/>
        </w:rPr>
        <w:t>海尔电器股权，这两</w:t>
      </w:r>
      <w:r w:rsidRPr="00FE0F0C">
        <w:rPr>
          <w:rFonts w:ascii="宋体" w:cs="宋体" w:hint="eastAsia"/>
          <w:kern w:val="0"/>
          <w:szCs w:val="21"/>
        </w:rPr>
        <w:t>次大手笔现金投资虽然使得青岛海尔的资产规模和销售收入有了大幅度的增长，但其投资效率</w:t>
      </w:r>
      <w:r w:rsidR="00D362A1">
        <w:rPr>
          <w:rFonts w:ascii="宋体" w:cs="宋体" w:hint="eastAsia"/>
          <w:kern w:val="0"/>
          <w:szCs w:val="21"/>
        </w:rPr>
        <w:t>似乎仍然不被市场认可，引起诸多方面的疑虑</w:t>
      </w:r>
      <w:r w:rsidRPr="00FE0F0C">
        <w:rPr>
          <w:rFonts w:ascii="宋体" w:cs="宋体" w:hint="eastAsia"/>
          <w:kern w:val="0"/>
          <w:szCs w:val="21"/>
        </w:rPr>
        <w:t>。</w:t>
      </w:r>
      <w:r w:rsidR="004F5543" w:rsidRPr="00FE0F0C">
        <w:rPr>
          <w:rFonts w:ascii="宋体" w:cs="宋体" w:hint="eastAsia"/>
          <w:kern w:val="0"/>
          <w:szCs w:val="21"/>
        </w:rPr>
        <w:t>总体而言，青岛海尔的现金投资力度呈下滑趋势，但由于近年来业绩欠佳，因此很可能在未来有较大的投资举措，以寻求新的业绩增长点。当然，青岛海尔的新投资很可能是向海尔集团收购相关资产，因此收购资产的质量情况以及收购价格是否合理也将对青岛海尔未来的业绩产生至关重要的影响。</w:t>
      </w:r>
    </w:p>
    <w:p w:rsidR="004F5543" w:rsidRPr="004F5543" w:rsidRDefault="004F5543" w:rsidP="00245207">
      <w:pPr>
        <w:autoSpaceDE w:val="0"/>
        <w:autoSpaceDN w:val="0"/>
        <w:adjustRightInd w:val="0"/>
        <w:ind w:firstLineChars="250" w:firstLine="525"/>
        <w:jc w:val="left"/>
        <w:rPr>
          <w:rFonts w:ascii="宋体" w:cs="宋体"/>
          <w:kern w:val="0"/>
          <w:szCs w:val="21"/>
        </w:rPr>
      </w:pPr>
    </w:p>
    <w:p w:rsidR="00F33647" w:rsidRPr="00A6381B" w:rsidRDefault="004F5543" w:rsidP="00A6381B">
      <w:pPr>
        <w:autoSpaceDE w:val="0"/>
        <w:autoSpaceDN w:val="0"/>
        <w:adjustRightInd w:val="0"/>
        <w:ind w:firstLineChars="250" w:firstLine="525"/>
        <w:jc w:val="left"/>
        <w:rPr>
          <w:rFonts w:ascii="宋体" w:cs="宋体"/>
          <w:kern w:val="0"/>
          <w:szCs w:val="21"/>
        </w:rPr>
      </w:pPr>
      <w:r>
        <w:rPr>
          <w:rFonts w:ascii="宋体" w:cs="宋体" w:hint="eastAsia"/>
          <w:kern w:val="0"/>
          <w:szCs w:val="21"/>
        </w:rPr>
        <w:t>需要提请关注的一点是，由于我们将现金流量分析定位与长期投资（股权投资和实物投资）有关的现金流量，而这些投资主要采取资本支出、股权投资和公司并购的形式。因此在进行必要的营运资本投资后，保持正现金流量才能使得公司有机会追求长期发展。但由于现金流量表提供的资料较少，我们无法做出与其长期发展有关的确定结论，只能合理推断。</w:t>
      </w:r>
    </w:p>
    <w:p w:rsidR="00F93A1A" w:rsidRDefault="005D3DF9" w:rsidP="008328F9">
      <w:pPr>
        <w:numPr>
          <w:ilvl w:val="0"/>
          <w:numId w:val="1"/>
        </w:numPr>
        <w:rPr>
          <w:b/>
          <w:szCs w:val="21"/>
        </w:rPr>
      </w:pPr>
      <w:r>
        <w:rPr>
          <w:rFonts w:hint="eastAsia"/>
          <w:b/>
          <w:szCs w:val="21"/>
        </w:rPr>
        <w:t>筹资活动现金流量分析</w:t>
      </w:r>
    </w:p>
    <w:p w:rsidR="008328F9" w:rsidRDefault="008328F9" w:rsidP="008328F9">
      <w:pPr>
        <w:ind w:left="413"/>
        <w:jc w:val="center"/>
        <w:rPr>
          <w:b/>
          <w:szCs w:val="21"/>
        </w:rPr>
      </w:pPr>
      <w:r>
        <w:rPr>
          <w:rFonts w:hint="eastAsia"/>
          <w:b/>
          <w:szCs w:val="21"/>
        </w:rPr>
        <w:t>表</w:t>
      </w:r>
      <w:r w:rsidR="00A6381B">
        <w:rPr>
          <w:rFonts w:hint="eastAsia"/>
          <w:b/>
          <w:szCs w:val="21"/>
        </w:rPr>
        <w:t>14</w:t>
      </w:r>
      <w:r>
        <w:rPr>
          <w:rFonts w:hint="eastAsia"/>
          <w:b/>
          <w:szCs w:val="21"/>
        </w:rPr>
        <w:t xml:space="preserve"> </w:t>
      </w:r>
      <w:r>
        <w:rPr>
          <w:rFonts w:hint="eastAsia"/>
          <w:b/>
          <w:szCs w:val="21"/>
        </w:rPr>
        <w:t>青岛海尔筹资活动现金流量分析（单位：亿元）</w:t>
      </w:r>
    </w:p>
    <w:tbl>
      <w:tblPr>
        <w:tblStyle w:val="a3"/>
        <w:tblW w:w="0" w:type="auto"/>
        <w:tblLook w:val="01E0" w:firstRow="1" w:lastRow="1" w:firstColumn="1" w:lastColumn="1" w:noHBand="0" w:noVBand="0"/>
      </w:tblPr>
      <w:tblGrid>
        <w:gridCol w:w="3384"/>
        <w:gridCol w:w="1058"/>
        <w:gridCol w:w="1058"/>
        <w:gridCol w:w="890"/>
        <w:gridCol w:w="886"/>
        <w:gridCol w:w="1020"/>
      </w:tblGrid>
      <w:tr w:rsidR="0048327B">
        <w:tc>
          <w:tcPr>
            <w:tcW w:w="3528" w:type="dxa"/>
          </w:tcPr>
          <w:p w:rsidR="0048327B" w:rsidRDefault="0048327B" w:rsidP="00AD7261">
            <w:pPr>
              <w:jc w:val="center"/>
              <w:rPr>
                <w:b/>
                <w:szCs w:val="21"/>
              </w:rPr>
            </w:pPr>
            <w:r>
              <w:rPr>
                <w:rFonts w:hint="eastAsia"/>
                <w:b/>
                <w:szCs w:val="21"/>
              </w:rPr>
              <w:t>项目</w:t>
            </w:r>
          </w:p>
        </w:tc>
        <w:tc>
          <w:tcPr>
            <w:tcW w:w="1080" w:type="dxa"/>
          </w:tcPr>
          <w:p w:rsidR="0048327B" w:rsidRDefault="0048327B" w:rsidP="00AD7261">
            <w:pPr>
              <w:jc w:val="center"/>
              <w:rPr>
                <w:b/>
                <w:szCs w:val="21"/>
              </w:rPr>
            </w:pPr>
            <w:r>
              <w:rPr>
                <w:rFonts w:hint="eastAsia"/>
                <w:b/>
                <w:szCs w:val="21"/>
              </w:rPr>
              <w:t>2008</w:t>
            </w:r>
            <w:r>
              <w:rPr>
                <w:rFonts w:hint="eastAsia"/>
                <w:b/>
                <w:szCs w:val="21"/>
              </w:rPr>
              <w:t>年</w:t>
            </w:r>
          </w:p>
        </w:tc>
        <w:tc>
          <w:tcPr>
            <w:tcW w:w="1080" w:type="dxa"/>
          </w:tcPr>
          <w:p w:rsidR="0048327B" w:rsidRDefault="0048327B" w:rsidP="00AD7261">
            <w:pPr>
              <w:jc w:val="center"/>
              <w:rPr>
                <w:b/>
                <w:szCs w:val="21"/>
              </w:rPr>
            </w:pPr>
            <w:r>
              <w:rPr>
                <w:rFonts w:hint="eastAsia"/>
                <w:b/>
                <w:szCs w:val="21"/>
              </w:rPr>
              <w:t>2009</w:t>
            </w:r>
            <w:r>
              <w:rPr>
                <w:rFonts w:hint="eastAsia"/>
                <w:b/>
                <w:szCs w:val="21"/>
              </w:rPr>
              <w:t>年</w:t>
            </w:r>
          </w:p>
        </w:tc>
        <w:tc>
          <w:tcPr>
            <w:tcW w:w="900" w:type="dxa"/>
          </w:tcPr>
          <w:p w:rsidR="0048327B" w:rsidRDefault="0048327B" w:rsidP="00AD7261">
            <w:pPr>
              <w:jc w:val="center"/>
              <w:rPr>
                <w:b/>
                <w:szCs w:val="21"/>
              </w:rPr>
            </w:pPr>
            <w:r>
              <w:rPr>
                <w:rFonts w:hint="eastAsia"/>
                <w:b/>
                <w:szCs w:val="21"/>
              </w:rPr>
              <w:t>2010</w:t>
            </w:r>
            <w:r>
              <w:rPr>
                <w:rFonts w:hint="eastAsia"/>
                <w:b/>
                <w:szCs w:val="21"/>
              </w:rPr>
              <w:t>年</w:t>
            </w:r>
          </w:p>
        </w:tc>
        <w:tc>
          <w:tcPr>
            <w:tcW w:w="900" w:type="dxa"/>
          </w:tcPr>
          <w:p w:rsidR="0048327B" w:rsidRDefault="0048327B" w:rsidP="00AD7261">
            <w:pPr>
              <w:jc w:val="center"/>
              <w:rPr>
                <w:b/>
                <w:szCs w:val="21"/>
              </w:rPr>
            </w:pPr>
            <w:r>
              <w:rPr>
                <w:rFonts w:hint="eastAsia"/>
                <w:b/>
                <w:szCs w:val="21"/>
              </w:rPr>
              <w:t>2011</w:t>
            </w:r>
            <w:r>
              <w:rPr>
                <w:rFonts w:hint="eastAsia"/>
                <w:b/>
                <w:szCs w:val="21"/>
              </w:rPr>
              <w:t>年</w:t>
            </w:r>
          </w:p>
        </w:tc>
        <w:tc>
          <w:tcPr>
            <w:tcW w:w="1034" w:type="dxa"/>
          </w:tcPr>
          <w:p w:rsidR="0048327B" w:rsidRDefault="0048327B" w:rsidP="00AD7261">
            <w:pPr>
              <w:jc w:val="center"/>
              <w:rPr>
                <w:b/>
                <w:szCs w:val="21"/>
              </w:rPr>
            </w:pPr>
            <w:r>
              <w:rPr>
                <w:rFonts w:hint="eastAsia"/>
                <w:b/>
                <w:szCs w:val="21"/>
              </w:rPr>
              <w:t>2012</w:t>
            </w:r>
            <w:r>
              <w:rPr>
                <w:rFonts w:hint="eastAsia"/>
                <w:b/>
                <w:szCs w:val="21"/>
              </w:rPr>
              <w:t>年</w:t>
            </w:r>
          </w:p>
        </w:tc>
      </w:tr>
      <w:tr w:rsidR="0048327B">
        <w:tc>
          <w:tcPr>
            <w:tcW w:w="3528" w:type="dxa"/>
          </w:tcPr>
          <w:p w:rsidR="0048327B" w:rsidRPr="0048327B" w:rsidRDefault="0048327B" w:rsidP="00AD7261">
            <w:pPr>
              <w:jc w:val="center"/>
              <w:rPr>
                <w:b/>
                <w:szCs w:val="21"/>
              </w:rPr>
            </w:pPr>
            <w:r w:rsidRPr="0048327B">
              <w:rPr>
                <w:rFonts w:hint="eastAsia"/>
                <w:b/>
                <w:szCs w:val="21"/>
              </w:rPr>
              <w:t>吸收投资收到的现金</w:t>
            </w:r>
          </w:p>
        </w:tc>
        <w:tc>
          <w:tcPr>
            <w:tcW w:w="1080" w:type="dxa"/>
          </w:tcPr>
          <w:p w:rsidR="0048327B" w:rsidRDefault="00974A24" w:rsidP="00AD7261">
            <w:pPr>
              <w:jc w:val="center"/>
              <w:rPr>
                <w:b/>
                <w:szCs w:val="21"/>
              </w:rPr>
            </w:pPr>
            <w:r>
              <w:rPr>
                <w:rFonts w:hint="eastAsia"/>
                <w:b/>
                <w:szCs w:val="21"/>
              </w:rPr>
              <w:t>0</w:t>
            </w:r>
          </w:p>
        </w:tc>
        <w:tc>
          <w:tcPr>
            <w:tcW w:w="1080" w:type="dxa"/>
          </w:tcPr>
          <w:p w:rsidR="0048327B" w:rsidRDefault="0031145E" w:rsidP="00AD7261">
            <w:pPr>
              <w:jc w:val="center"/>
              <w:rPr>
                <w:b/>
                <w:szCs w:val="21"/>
              </w:rPr>
            </w:pPr>
            <w:r>
              <w:rPr>
                <w:rFonts w:hint="eastAsia"/>
                <w:b/>
                <w:szCs w:val="21"/>
              </w:rPr>
              <w:t>0</w:t>
            </w:r>
          </w:p>
        </w:tc>
        <w:tc>
          <w:tcPr>
            <w:tcW w:w="900" w:type="dxa"/>
          </w:tcPr>
          <w:p w:rsidR="0048327B" w:rsidRDefault="0031145E" w:rsidP="00AD7261">
            <w:pPr>
              <w:jc w:val="center"/>
              <w:rPr>
                <w:b/>
                <w:szCs w:val="21"/>
              </w:rPr>
            </w:pPr>
            <w:r>
              <w:rPr>
                <w:rFonts w:hint="eastAsia"/>
                <w:b/>
                <w:szCs w:val="21"/>
              </w:rPr>
              <w:t>0.15</w:t>
            </w:r>
          </w:p>
        </w:tc>
        <w:tc>
          <w:tcPr>
            <w:tcW w:w="900" w:type="dxa"/>
          </w:tcPr>
          <w:p w:rsidR="0048327B" w:rsidRDefault="003B0DD3" w:rsidP="00AD7261">
            <w:pPr>
              <w:jc w:val="center"/>
              <w:rPr>
                <w:b/>
                <w:szCs w:val="21"/>
              </w:rPr>
            </w:pPr>
            <w:r>
              <w:rPr>
                <w:rFonts w:hint="eastAsia"/>
                <w:b/>
                <w:szCs w:val="21"/>
              </w:rPr>
              <w:t>0.27</w:t>
            </w:r>
          </w:p>
        </w:tc>
        <w:tc>
          <w:tcPr>
            <w:tcW w:w="1034" w:type="dxa"/>
          </w:tcPr>
          <w:p w:rsidR="0048327B" w:rsidRDefault="003B0DD3" w:rsidP="00AD7261">
            <w:pPr>
              <w:jc w:val="center"/>
              <w:rPr>
                <w:b/>
                <w:szCs w:val="21"/>
              </w:rPr>
            </w:pPr>
            <w:r>
              <w:rPr>
                <w:rFonts w:hint="eastAsia"/>
                <w:b/>
                <w:szCs w:val="21"/>
              </w:rPr>
              <w:t>0.76</w:t>
            </w:r>
          </w:p>
        </w:tc>
      </w:tr>
      <w:tr w:rsidR="0048327B">
        <w:tc>
          <w:tcPr>
            <w:tcW w:w="3528" w:type="dxa"/>
          </w:tcPr>
          <w:p w:rsidR="0048327B" w:rsidRPr="0048327B" w:rsidRDefault="0048327B" w:rsidP="00AD7261">
            <w:pPr>
              <w:jc w:val="center"/>
              <w:rPr>
                <w:b/>
                <w:szCs w:val="21"/>
              </w:rPr>
            </w:pPr>
            <w:r w:rsidRPr="0048327B">
              <w:rPr>
                <w:rFonts w:hint="eastAsia"/>
                <w:b/>
                <w:szCs w:val="21"/>
              </w:rPr>
              <w:t>取得借款收到的现金</w:t>
            </w:r>
          </w:p>
        </w:tc>
        <w:tc>
          <w:tcPr>
            <w:tcW w:w="1080" w:type="dxa"/>
          </w:tcPr>
          <w:p w:rsidR="0048327B" w:rsidRDefault="00974A24" w:rsidP="00AD7261">
            <w:pPr>
              <w:jc w:val="center"/>
              <w:rPr>
                <w:b/>
                <w:szCs w:val="21"/>
              </w:rPr>
            </w:pPr>
            <w:r>
              <w:rPr>
                <w:rFonts w:hint="eastAsia"/>
                <w:b/>
                <w:szCs w:val="21"/>
              </w:rPr>
              <w:t>0</w:t>
            </w:r>
          </w:p>
        </w:tc>
        <w:tc>
          <w:tcPr>
            <w:tcW w:w="1080" w:type="dxa"/>
          </w:tcPr>
          <w:p w:rsidR="0048327B" w:rsidRDefault="0031145E" w:rsidP="00AD7261">
            <w:pPr>
              <w:jc w:val="center"/>
              <w:rPr>
                <w:b/>
                <w:szCs w:val="21"/>
              </w:rPr>
            </w:pPr>
            <w:r>
              <w:rPr>
                <w:rFonts w:hint="eastAsia"/>
                <w:b/>
                <w:szCs w:val="21"/>
              </w:rPr>
              <w:t>0</w:t>
            </w:r>
          </w:p>
        </w:tc>
        <w:tc>
          <w:tcPr>
            <w:tcW w:w="900" w:type="dxa"/>
          </w:tcPr>
          <w:p w:rsidR="0048327B" w:rsidRDefault="0031145E" w:rsidP="00AD7261">
            <w:pPr>
              <w:jc w:val="center"/>
              <w:rPr>
                <w:b/>
                <w:szCs w:val="21"/>
              </w:rPr>
            </w:pPr>
            <w:r>
              <w:rPr>
                <w:rFonts w:hint="eastAsia"/>
                <w:b/>
                <w:szCs w:val="21"/>
              </w:rPr>
              <w:t>9.22</w:t>
            </w:r>
          </w:p>
        </w:tc>
        <w:tc>
          <w:tcPr>
            <w:tcW w:w="900" w:type="dxa"/>
          </w:tcPr>
          <w:p w:rsidR="0048327B" w:rsidRDefault="00CC02E6" w:rsidP="00AD7261">
            <w:pPr>
              <w:jc w:val="center"/>
              <w:rPr>
                <w:b/>
                <w:szCs w:val="21"/>
              </w:rPr>
            </w:pPr>
            <w:r>
              <w:rPr>
                <w:rFonts w:hint="eastAsia"/>
                <w:b/>
                <w:szCs w:val="21"/>
              </w:rPr>
              <w:t>0</w:t>
            </w:r>
          </w:p>
        </w:tc>
        <w:tc>
          <w:tcPr>
            <w:tcW w:w="1034" w:type="dxa"/>
          </w:tcPr>
          <w:p w:rsidR="0048327B" w:rsidRDefault="00CC02E6" w:rsidP="00AD7261">
            <w:pPr>
              <w:jc w:val="center"/>
              <w:rPr>
                <w:b/>
                <w:szCs w:val="21"/>
              </w:rPr>
            </w:pPr>
            <w:r>
              <w:rPr>
                <w:rFonts w:hint="eastAsia"/>
                <w:b/>
                <w:szCs w:val="21"/>
              </w:rPr>
              <w:t>0</w:t>
            </w:r>
          </w:p>
        </w:tc>
      </w:tr>
      <w:tr w:rsidR="00CC02E6">
        <w:tc>
          <w:tcPr>
            <w:tcW w:w="3528" w:type="dxa"/>
          </w:tcPr>
          <w:p w:rsidR="00CC02E6" w:rsidRPr="0048327B" w:rsidRDefault="00CC02E6" w:rsidP="00AD7261">
            <w:pPr>
              <w:jc w:val="center"/>
              <w:rPr>
                <w:b/>
                <w:szCs w:val="21"/>
              </w:rPr>
            </w:pPr>
            <w:r w:rsidRPr="0048327B">
              <w:rPr>
                <w:rFonts w:hint="eastAsia"/>
                <w:b/>
                <w:szCs w:val="21"/>
              </w:rPr>
              <w:t>筹资活动现金流入小计</w:t>
            </w:r>
          </w:p>
        </w:tc>
        <w:tc>
          <w:tcPr>
            <w:tcW w:w="1080" w:type="dxa"/>
          </w:tcPr>
          <w:p w:rsidR="00CC02E6" w:rsidRDefault="00974A24" w:rsidP="00AD7261">
            <w:pPr>
              <w:jc w:val="center"/>
              <w:rPr>
                <w:b/>
                <w:szCs w:val="21"/>
              </w:rPr>
            </w:pPr>
            <w:r>
              <w:rPr>
                <w:rFonts w:hint="eastAsia"/>
                <w:b/>
                <w:szCs w:val="21"/>
              </w:rPr>
              <w:t>0</w:t>
            </w:r>
          </w:p>
        </w:tc>
        <w:tc>
          <w:tcPr>
            <w:tcW w:w="1080" w:type="dxa"/>
          </w:tcPr>
          <w:p w:rsidR="00CC02E6" w:rsidRDefault="00CC02E6" w:rsidP="00AD7261">
            <w:pPr>
              <w:jc w:val="center"/>
              <w:rPr>
                <w:b/>
                <w:szCs w:val="21"/>
              </w:rPr>
            </w:pPr>
            <w:r>
              <w:rPr>
                <w:rFonts w:hint="eastAsia"/>
                <w:b/>
                <w:szCs w:val="21"/>
              </w:rPr>
              <w:t>0</w:t>
            </w:r>
          </w:p>
        </w:tc>
        <w:tc>
          <w:tcPr>
            <w:tcW w:w="900" w:type="dxa"/>
          </w:tcPr>
          <w:p w:rsidR="00CC02E6" w:rsidRDefault="00CC02E6" w:rsidP="00AD7261">
            <w:pPr>
              <w:jc w:val="center"/>
              <w:rPr>
                <w:b/>
                <w:szCs w:val="21"/>
              </w:rPr>
            </w:pPr>
            <w:r>
              <w:rPr>
                <w:rFonts w:hint="eastAsia"/>
                <w:b/>
                <w:szCs w:val="21"/>
              </w:rPr>
              <w:t>9.37</w:t>
            </w:r>
          </w:p>
        </w:tc>
        <w:tc>
          <w:tcPr>
            <w:tcW w:w="900" w:type="dxa"/>
          </w:tcPr>
          <w:p w:rsidR="00CC02E6" w:rsidRDefault="00CC02E6" w:rsidP="00AD7261">
            <w:pPr>
              <w:jc w:val="center"/>
              <w:rPr>
                <w:b/>
                <w:szCs w:val="21"/>
              </w:rPr>
            </w:pPr>
            <w:r>
              <w:rPr>
                <w:rFonts w:hint="eastAsia"/>
                <w:b/>
                <w:szCs w:val="21"/>
              </w:rPr>
              <w:t>0.27</w:t>
            </w:r>
          </w:p>
        </w:tc>
        <w:tc>
          <w:tcPr>
            <w:tcW w:w="1034" w:type="dxa"/>
          </w:tcPr>
          <w:p w:rsidR="00CC02E6" w:rsidRDefault="00CC02E6" w:rsidP="00AD7261">
            <w:pPr>
              <w:jc w:val="center"/>
              <w:rPr>
                <w:b/>
                <w:szCs w:val="21"/>
              </w:rPr>
            </w:pPr>
            <w:r>
              <w:rPr>
                <w:rFonts w:hint="eastAsia"/>
                <w:b/>
                <w:szCs w:val="21"/>
              </w:rPr>
              <w:t>2</w:t>
            </w:r>
            <w:r>
              <w:rPr>
                <w:rFonts w:hint="eastAsia"/>
                <w:b/>
                <w:szCs w:val="21"/>
              </w:rPr>
              <w:t>．</w:t>
            </w:r>
            <w:r>
              <w:rPr>
                <w:rFonts w:hint="eastAsia"/>
                <w:b/>
                <w:szCs w:val="21"/>
              </w:rPr>
              <w:t>14</w:t>
            </w:r>
          </w:p>
        </w:tc>
      </w:tr>
      <w:tr w:rsidR="0048327B">
        <w:tc>
          <w:tcPr>
            <w:tcW w:w="3528" w:type="dxa"/>
          </w:tcPr>
          <w:p w:rsidR="0048327B" w:rsidRPr="0048327B" w:rsidRDefault="0048327B" w:rsidP="00AD7261">
            <w:pPr>
              <w:jc w:val="center"/>
              <w:rPr>
                <w:b/>
                <w:szCs w:val="21"/>
              </w:rPr>
            </w:pPr>
            <w:r w:rsidRPr="0048327B">
              <w:rPr>
                <w:rFonts w:hint="eastAsia"/>
                <w:b/>
                <w:szCs w:val="21"/>
              </w:rPr>
              <w:t>偿还债务支付的现金</w:t>
            </w:r>
          </w:p>
        </w:tc>
        <w:tc>
          <w:tcPr>
            <w:tcW w:w="1080" w:type="dxa"/>
          </w:tcPr>
          <w:p w:rsidR="0048327B" w:rsidRDefault="00974A24" w:rsidP="00AD7261">
            <w:pPr>
              <w:jc w:val="center"/>
              <w:rPr>
                <w:b/>
                <w:szCs w:val="21"/>
              </w:rPr>
            </w:pPr>
            <w:r>
              <w:rPr>
                <w:rFonts w:hint="eastAsia"/>
                <w:b/>
                <w:szCs w:val="21"/>
              </w:rPr>
              <w:t>0</w:t>
            </w:r>
          </w:p>
        </w:tc>
        <w:tc>
          <w:tcPr>
            <w:tcW w:w="1080" w:type="dxa"/>
          </w:tcPr>
          <w:p w:rsidR="0048327B" w:rsidRDefault="0031145E" w:rsidP="00AD7261">
            <w:pPr>
              <w:jc w:val="center"/>
              <w:rPr>
                <w:b/>
                <w:szCs w:val="21"/>
              </w:rPr>
            </w:pPr>
            <w:r>
              <w:rPr>
                <w:rFonts w:hint="eastAsia"/>
                <w:b/>
                <w:szCs w:val="21"/>
              </w:rPr>
              <w:t>0</w:t>
            </w:r>
          </w:p>
        </w:tc>
        <w:tc>
          <w:tcPr>
            <w:tcW w:w="900" w:type="dxa"/>
          </w:tcPr>
          <w:p w:rsidR="0048327B" w:rsidRDefault="004B003A" w:rsidP="00AD7261">
            <w:pPr>
              <w:jc w:val="center"/>
              <w:rPr>
                <w:b/>
                <w:szCs w:val="21"/>
              </w:rPr>
            </w:pPr>
            <w:r>
              <w:rPr>
                <w:rFonts w:hint="eastAsia"/>
                <w:b/>
                <w:szCs w:val="21"/>
              </w:rPr>
              <w:t>9.42</w:t>
            </w:r>
          </w:p>
        </w:tc>
        <w:tc>
          <w:tcPr>
            <w:tcW w:w="900" w:type="dxa"/>
          </w:tcPr>
          <w:p w:rsidR="0048327B" w:rsidRDefault="00657377" w:rsidP="00AD7261">
            <w:pPr>
              <w:jc w:val="center"/>
              <w:rPr>
                <w:b/>
                <w:szCs w:val="21"/>
              </w:rPr>
            </w:pPr>
            <w:r>
              <w:rPr>
                <w:rFonts w:hint="eastAsia"/>
                <w:b/>
                <w:szCs w:val="21"/>
              </w:rPr>
              <w:t>0.99</w:t>
            </w:r>
          </w:p>
        </w:tc>
        <w:tc>
          <w:tcPr>
            <w:tcW w:w="1034" w:type="dxa"/>
          </w:tcPr>
          <w:p w:rsidR="0048327B" w:rsidRDefault="00657377" w:rsidP="00AD7261">
            <w:pPr>
              <w:jc w:val="center"/>
              <w:rPr>
                <w:b/>
                <w:szCs w:val="21"/>
              </w:rPr>
            </w:pPr>
            <w:r>
              <w:rPr>
                <w:rFonts w:hint="eastAsia"/>
                <w:b/>
                <w:szCs w:val="21"/>
              </w:rPr>
              <w:t>0</w:t>
            </w:r>
          </w:p>
        </w:tc>
      </w:tr>
      <w:tr w:rsidR="0048327B">
        <w:tc>
          <w:tcPr>
            <w:tcW w:w="3528" w:type="dxa"/>
          </w:tcPr>
          <w:p w:rsidR="0048327B" w:rsidRPr="0048327B" w:rsidRDefault="00AD7261" w:rsidP="00AD7261">
            <w:pPr>
              <w:jc w:val="center"/>
              <w:rPr>
                <w:b/>
                <w:szCs w:val="21"/>
              </w:rPr>
            </w:pPr>
            <w:r>
              <w:rPr>
                <w:rFonts w:hint="eastAsia"/>
                <w:b/>
                <w:szCs w:val="21"/>
              </w:rPr>
              <w:t>分配股利、利润或偿付利息支付</w:t>
            </w:r>
            <w:r w:rsidR="0048327B" w:rsidRPr="0048327B">
              <w:rPr>
                <w:rFonts w:hint="eastAsia"/>
                <w:b/>
                <w:szCs w:val="21"/>
              </w:rPr>
              <w:t>现金</w:t>
            </w:r>
          </w:p>
        </w:tc>
        <w:tc>
          <w:tcPr>
            <w:tcW w:w="1080" w:type="dxa"/>
          </w:tcPr>
          <w:p w:rsidR="0048327B" w:rsidRDefault="00974A24" w:rsidP="00AD7261">
            <w:pPr>
              <w:jc w:val="center"/>
              <w:rPr>
                <w:b/>
                <w:szCs w:val="21"/>
              </w:rPr>
            </w:pPr>
            <w:r>
              <w:rPr>
                <w:rFonts w:hint="eastAsia"/>
                <w:b/>
                <w:szCs w:val="21"/>
              </w:rPr>
              <w:t>2.55</w:t>
            </w:r>
          </w:p>
        </w:tc>
        <w:tc>
          <w:tcPr>
            <w:tcW w:w="1080" w:type="dxa"/>
          </w:tcPr>
          <w:p w:rsidR="0048327B" w:rsidRDefault="00974A24" w:rsidP="00AD7261">
            <w:pPr>
              <w:jc w:val="center"/>
              <w:rPr>
                <w:b/>
                <w:szCs w:val="21"/>
              </w:rPr>
            </w:pPr>
            <w:r>
              <w:rPr>
                <w:rFonts w:hint="eastAsia"/>
                <w:b/>
                <w:szCs w:val="21"/>
              </w:rPr>
              <w:t>2.01</w:t>
            </w:r>
          </w:p>
        </w:tc>
        <w:tc>
          <w:tcPr>
            <w:tcW w:w="900" w:type="dxa"/>
          </w:tcPr>
          <w:p w:rsidR="0048327B" w:rsidRDefault="004B003A" w:rsidP="00AD7261">
            <w:pPr>
              <w:jc w:val="center"/>
              <w:rPr>
                <w:b/>
                <w:szCs w:val="21"/>
              </w:rPr>
            </w:pPr>
            <w:r>
              <w:rPr>
                <w:rFonts w:hint="eastAsia"/>
                <w:b/>
                <w:szCs w:val="21"/>
              </w:rPr>
              <w:t>4.08</w:t>
            </w:r>
          </w:p>
        </w:tc>
        <w:tc>
          <w:tcPr>
            <w:tcW w:w="900" w:type="dxa"/>
          </w:tcPr>
          <w:p w:rsidR="0048327B" w:rsidRDefault="000A20AE" w:rsidP="00AD7261">
            <w:pPr>
              <w:jc w:val="center"/>
              <w:rPr>
                <w:b/>
                <w:szCs w:val="21"/>
              </w:rPr>
            </w:pPr>
            <w:r>
              <w:rPr>
                <w:rFonts w:hint="eastAsia"/>
                <w:b/>
                <w:szCs w:val="21"/>
              </w:rPr>
              <w:t>1.56</w:t>
            </w:r>
          </w:p>
        </w:tc>
        <w:tc>
          <w:tcPr>
            <w:tcW w:w="1034" w:type="dxa"/>
          </w:tcPr>
          <w:p w:rsidR="0048327B" w:rsidRDefault="000A20AE" w:rsidP="00AD7261">
            <w:pPr>
              <w:jc w:val="center"/>
              <w:rPr>
                <w:b/>
                <w:szCs w:val="21"/>
              </w:rPr>
            </w:pPr>
            <w:r>
              <w:rPr>
                <w:rFonts w:hint="eastAsia"/>
                <w:b/>
                <w:szCs w:val="21"/>
              </w:rPr>
              <w:t>4.58</w:t>
            </w:r>
          </w:p>
        </w:tc>
      </w:tr>
      <w:tr w:rsidR="0048327B">
        <w:tc>
          <w:tcPr>
            <w:tcW w:w="3528" w:type="dxa"/>
          </w:tcPr>
          <w:p w:rsidR="0048327B" w:rsidRPr="0048327B" w:rsidRDefault="0048327B" w:rsidP="00AD7261">
            <w:pPr>
              <w:jc w:val="center"/>
              <w:rPr>
                <w:b/>
                <w:szCs w:val="21"/>
              </w:rPr>
            </w:pPr>
            <w:r w:rsidRPr="0048327B">
              <w:rPr>
                <w:rFonts w:hint="eastAsia"/>
                <w:b/>
                <w:szCs w:val="21"/>
              </w:rPr>
              <w:t>筹资活动现金流出小计</w:t>
            </w:r>
          </w:p>
        </w:tc>
        <w:tc>
          <w:tcPr>
            <w:tcW w:w="1080" w:type="dxa"/>
          </w:tcPr>
          <w:p w:rsidR="0048327B" w:rsidRDefault="00974A24" w:rsidP="00AD7261">
            <w:pPr>
              <w:jc w:val="center"/>
              <w:rPr>
                <w:b/>
                <w:szCs w:val="21"/>
              </w:rPr>
            </w:pPr>
            <w:r>
              <w:rPr>
                <w:rFonts w:hint="eastAsia"/>
                <w:b/>
                <w:szCs w:val="21"/>
              </w:rPr>
              <w:t>2.55</w:t>
            </w:r>
          </w:p>
        </w:tc>
        <w:tc>
          <w:tcPr>
            <w:tcW w:w="1080" w:type="dxa"/>
          </w:tcPr>
          <w:p w:rsidR="0048327B" w:rsidRDefault="00974A24" w:rsidP="00AD7261">
            <w:pPr>
              <w:jc w:val="center"/>
              <w:rPr>
                <w:b/>
                <w:szCs w:val="21"/>
              </w:rPr>
            </w:pPr>
            <w:r>
              <w:rPr>
                <w:rFonts w:hint="eastAsia"/>
                <w:b/>
                <w:szCs w:val="21"/>
              </w:rPr>
              <w:t>2.01</w:t>
            </w:r>
          </w:p>
        </w:tc>
        <w:tc>
          <w:tcPr>
            <w:tcW w:w="900" w:type="dxa"/>
          </w:tcPr>
          <w:p w:rsidR="0048327B" w:rsidRDefault="004B003A" w:rsidP="00AD7261">
            <w:pPr>
              <w:jc w:val="center"/>
              <w:rPr>
                <w:b/>
                <w:szCs w:val="21"/>
              </w:rPr>
            </w:pPr>
            <w:r>
              <w:rPr>
                <w:rFonts w:hint="eastAsia"/>
                <w:b/>
                <w:szCs w:val="21"/>
              </w:rPr>
              <w:t>15.51</w:t>
            </w:r>
          </w:p>
        </w:tc>
        <w:tc>
          <w:tcPr>
            <w:tcW w:w="900" w:type="dxa"/>
          </w:tcPr>
          <w:p w:rsidR="0048327B" w:rsidRDefault="000A20AE" w:rsidP="00AD7261">
            <w:pPr>
              <w:jc w:val="center"/>
              <w:rPr>
                <w:b/>
                <w:szCs w:val="21"/>
              </w:rPr>
            </w:pPr>
            <w:r>
              <w:rPr>
                <w:rFonts w:hint="eastAsia"/>
                <w:b/>
                <w:szCs w:val="21"/>
              </w:rPr>
              <w:t>2.55</w:t>
            </w:r>
          </w:p>
        </w:tc>
        <w:tc>
          <w:tcPr>
            <w:tcW w:w="1034" w:type="dxa"/>
          </w:tcPr>
          <w:p w:rsidR="0048327B" w:rsidRDefault="000A20AE" w:rsidP="00AD7261">
            <w:pPr>
              <w:jc w:val="center"/>
              <w:rPr>
                <w:b/>
                <w:szCs w:val="21"/>
              </w:rPr>
            </w:pPr>
            <w:r>
              <w:rPr>
                <w:rFonts w:hint="eastAsia"/>
                <w:b/>
                <w:szCs w:val="21"/>
              </w:rPr>
              <w:t>4.58</w:t>
            </w:r>
          </w:p>
        </w:tc>
      </w:tr>
      <w:tr w:rsidR="0048327B">
        <w:tc>
          <w:tcPr>
            <w:tcW w:w="3528" w:type="dxa"/>
          </w:tcPr>
          <w:p w:rsidR="0048327B" w:rsidRPr="0048327B" w:rsidRDefault="0048327B" w:rsidP="00AD7261">
            <w:pPr>
              <w:jc w:val="center"/>
              <w:rPr>
                <w:b/>
                <w:szCs w:val="21"/>
              </w:rPr>
            </w:pPr>
            <w:r w:rsidRPr="0048327B">
              <w:rPr>
                <w:rFonts w:hint="eastAsia"/>
                <w:b/>
                <w:szCs w:val="21"/>
              </w:rPr>
              <w:t>筹资活动产生的现金流量净额</w:t>
            </w:r>
          </w:p>
        </w:tc>
        <w:tc>
          <w:tcPr>
            <w:tcW w:w="1080" w:type="dxa"/>
          </w:tcPr>
          <w:p w:rsidR="0048327B" w:rsidRDefault="00974A24" w:rsidP="00AD7261">
            <w:pPr>
              <w:jc w:val="center"/>
              <w:rPr>
                <w:b/>
                <w:szCs w:val="21"/>
              </w:rPr>
            </w:pPr>
            <w:r>
              <w:rPr>
                <w:rFonts w:hint="eastAsia"/>
                <w:b/>
                <w:szCs w:val="21"/>
              </w:rPr>
              <w:t>-2.55</w:t>
            </w:r>
          </w:p>
        </w:tc>
        <w:tc>
          <w:tcPr>
            <w:tcW w:w="1080" w:type="dxa"/>
          </w:tcPr>
          <w:p w:rsidR="0048327B" w:rsidRDefault="00974A24" w:rsidP="00AD7261">
            <w:pPr>
              <w:jc w:val="center"/>
              <w:rPr>
                <w:b/>
                <w:szCs w:val="21"/>
              </w:rPr>
            </w:pPr>
            <w:r>
              <w:rPr>
                <w:rFonts w:hint="eastAsia"/>
                <w:b/>
                <w:szCs w:val="21"/>
              </w:rPr>
              <w:t>-2.01</w:t>
            </w:r>
          </w:p>
        </w:tc>
        <w:tc>
          <w:tcPr>
            <w:tcW w:w="900" w:type="dxa"/>
          </w:tcPr>
          <w:p w:rsidR="0048327B" w:rsidRDefault="0031145E" w:rsidP="00AD7261">
            <w:pPr>
              <w:jc w:val="center"/>
              <w:rPr>
                <w:b/>
                <w:szCs w:val="21"/>
              </w:rPr>
            </w:pPr>
            <w:r>
              <w:rPr>
                <w:rFonts w:hint="eastAsia"/>
                <w:b/>
                <w:szCs w:val="21"/>
              </w:rPr>
              <w:t>-</w:t>
            </w:r>
            <w:r w:rsidR="004B003A">
              <w:rPr>
                <w:rFonts w:hint="eastAsia"/>
                <w:b/>
                <w:szCs w:val="21"/>
              </w:rPr>
              <w:t>4.14</w:t>
            </w:r>
          </w:p>
        </w:tc>
        <w:tc>
          <w:tcPr>
            <w:tcW w:w="900" w:type="dxa"/>
          </w:tcPr>
          <w:p w:rsidR="0048327B" w:rsidRDefault="000A20AE" w:rsidP="00AD7261">
            <w:pPr>
              <w:jc w:val="center"/>
              <w:rPr>
                <w:b/>
                <w:szCs w:val="21"/>
              </w:rPr>
            </w:pPr>
            <w:r>
              <w:rPr>
                <w:rFonts w:hint="eastAsia"/>
                <w:b/>
                <w:szCs w:val="21"/>
              </w:rPr>
              <w:t>-2.77</w:t>
            </w:r>
          </w:p>
        </w:tc>
        <w:tc>
          <w:tcPr>
            <w:tcW w:w="1034" w:type="dxa"/>
          </w:tcPr>
          <w:p w:rsidR="0048327B" w:rsidRDefault="000A20AE" w:rsidP="00AD7261">
            <w:pPr>
              <w:jc w:val="center"/>
              <w:rPr>
                <w:b/>
                <w:szCs w:val="21"/>
              </w:rPr>
            </w:pPr>
            <w:r>
              <w:rPr>
                <w:rFonts w:hint="eastAsia"/>
                <w:b/>
                <w:szCs w:val="21"/>
              </w:rPr>
              <w:t>-2.43</w:t>
            </w:r>
          </w:p>
        </w:tc>
      </w:tr>
    </w:tbl>
    <w:p w:rsidR="00AD1351" w:rsidRDefault="00AD1351" w:rsidP="00DA33B1">
      <w:pPr>
        <w:autoSpaceDE w:val="0"/>
        <w:autoSpaceDN w:val="0"/>
        <w:adjustRightInd w:val="0"/>
        <w:ind w:firstLineChars="200" w:firstLine="420"/>
        <w:jc w:val="left"/>
        <w:rPr>
          <w:rFonts w:ascii="宋体" w:cs="宋体"/>
          <w:kern w:val="0"/>
          <w:szCs w:val="21"/>
        </w:rPr>
      </w:pPr>
      <w:r>
        <w:rPr>
          <w:rFonts w:ascii="宋体" w:cs="宋体" w:hint="eastAsia"/>
          <w:kern w:val="0"/>
          <w:szCs w:val="21"/>
        </w:rPr>
        <w:t>表14列示了</w:t>
      </w:r>
      <w:r w:rsidRPr="00FE0F0C">
        <w:rPr>
          <w:rFonts w:ascii="宋体" w:cs="宋体" w:hint="eastAsia"/>
          <w:kern w:val="0"/>
          <w:szCs w:val="21"/>
        </w:rPr>
        <w:t>青岛海尔近年来筹资活动现金流量主要项目</w:t>
      </w:r>
      <w:r>
        <w:rPr>
          <w:rFonts w:ascii="宋体" w:cs="宋体" w:hint="eastAsia"/>
          <w:kern w:val="0"/>
          <w:szCs w:val="21"/>
        </w:rPr>
        <w:t>。</w:t>
      </w:r>
      <w:r w:rsidRPr="00FE0F0C">
        <w:rPr>
          <w:rFonts w:ascii="宋体" w:cs="宋体" w:hint="eastAsia"/>
          <w:kern w:val="0"/>
          <w:szCs w:val="21"/>
        </w:rPr>
        <w:t>青岛海尔在</w:t>
      </w:r>
      <w:r>
        <w:rPr>
          <w:rFonts w:hint="eastAsia"/>
          <w:kern w:val="0"/>
          <w:szCs w:val="21"/>
        </w:rPr>
        <w:t>2011</w:t>
      </w:r>
      <w:r>
        <w:rPr>
          <w:rFonts w:hint="eastAsia"/>
          <w:kern w:val="0"/>
          <w:szCs w:val="21"/>
        </w:rPr>
        <w:t>年和</w:t>
      </w:r>
      <w:r>
        <w:rPr>
          <w:rFonts w:hint="eastAsia"/>
          <w:kern w:val="0"/>
          <w:szCs w:val="21"/>
        </w:rPr>
        <w:t>2012</w:t>
      </w:r>
      <w:r>
        <w:rPr>
          <w:rFonts w:hint="eastAsia"/>
          <w:kern w:val="0"/>
          <w:szCs w:val="21"/>
        </w:rPr>
        <w:t>年</w:t>
      </w:r>
      <w:r w:rsidRPr="00FE0F0C">
        <w:rPr>
          <w:rFonts w:ascii="宋体" w:cs="宋体" w:hint="eastAsia"/>
          <w:kern w:val="0"/>
          <w:szCs w:val="21"/>
        </w:rPr>
        <w:t>年通过股票</w:t>
      </w:r>
      <w:r>
        <w:rPr>
          <w:rFonts w:ascii="宋体" w:cs="宋体" w:hint="eastAsia"/>
          <w:kern w:val="0"/>
          <w:szCs w:val="21"/>
        </w:rPr>
        <w:t>融资</w:t>
      </w:r>
      <w:r w:rsidRPr="00FE0F0C">
        <w:rPr>
          <w:rFonts w:ascii="宋体" w:cs="宋体" w:hint="eastAsia"/>
          <w:kern w:val="0"/>
          <w:szCs w:val="21"/>
        </w:rPr>
        <w:t>筹集了</w:t>
      </w:r>
      <w:r>
        <w:rPr>
          <w:rFonts w:hint="eastAsia"/>
          <w:kern w:val="0"/>
          <w:szCs w:val="21"/>
        </w:rPr>
        <w:t>约</w:t>
      </w:r>
      <w:r>
        <w:rPr>
          <w:rFonts w:hint="eastAsia"/>
          <w:kern w:val="0"/>
          <w:szCs w:val="21"/>
        </w:rPr>
        <w:t>1</w:t>
      </w:r>
      <w:r w:rsidRPr="00FE0F0C">
        <w:rPr>
          <w:rFonts w:ascii="宋体" w:cs="宋体" w:hint="eastAsia"/>
          <w:kern w:val="0"/>
          <w:szCs w:val="21"/>
        </w:rPr>
        <w:t>亿现金，由于近年来业绩欠佳，在短期内青岛海尔不可能吸收到权益性投资现金。在借款方面，青岛海尔</w:t>
      </w:r>
      <w:r>
        <w:rPr>
          <w:rFonts w:ascii="宋体" w:cs="宋体" w:hint="eastAsia"/>
          <w:kern w:val="0"/>
          <w:szCs w:val="21"/>
        </w:rPr>
        <w:t>在</w:t>
      </w:r>
      <w:r>
        <w:rPr>
          <w:rFonts w:hint="eastAsia"/>
          <w:kern w:val="0"/>
          <w:szCs w:val="21"/>
        </w:rPr>
        <w:t>2010</w:t>
      </w:r>
      <w:r>
        <w:rPr>
          <w:rFonts w:hint="eastAsia"/>
          <w:kern w:val="0"/>
          <w:szCs w:val="21"/>
        </w:rPr>
        <w:t>年通过银行借款，负债筹集了约</w:t>
      </w:r>
      <w:r>
        <w:rPr>
          <w:rFonts w:hint="eastAsia"/>
          <w:kern w:val="0"/>
          <w:szCs w:val="21"/>
        </w:rPr>
        <w:t>9</w:t>
      </w:r>
      <w:r>
        <w:rPr>
          <w:rFonts w:hint="eastAsia"/>
          <w:kern w:val="0"/>
          <w:szCs w:val="21"/>
        </w:rPr>
        <w:t>亿元的现金。</w:t>
      </w:r>
    </w:p>
    <w:p w:rsidR="003664C0" w:rsidRDefault="00AD1351" w:rsidP="00AD1351">
      <w:pPr>
        <w:autoSpaceDE w:val="0"/>
        <w:autoSpaceDN w:val="0"/>
        <w:adjustRightInd w:val="0"/>
        <w:jc w:val="left"/>
        <w:rPr>
          <w:rFonts w:ascii="宋体" w:cs="宋体"/>
          <w:kern w:val="0"/>
          <w:szCs w:val="21"/>
        </w:rPr>
      </w:pPr>
      <w:r w:rsidRPr="00FE0F0C">
        <w:rPr>
          <w:rFonts w:ascii="宋体" w:cs="宋体" w:hint="eastAsia"/>
          <w:kern w:val="0"/>
          <w:szCs w:val="21"/>
        </w:rPr>
        <w:t>因此青岛海尔的借款在</w:t>
      </w:r>
      <w:r w:rsidRPr="00FE0F0C">
        <w:rPr>
          <w:kern w:val="0"/>
          <w:szCs w:val="21"/>
        </w:rPr>
        <w:t>20</w:t>
      </w:r>
      <w:r w:rsidR="003664C0">
        <w:rPr>
          <w:rFonts w:hint="eastAsia"/>
          <w:kern w:val="0"/>
          <w:szCs w:val="21"/>
        </w:rPr>
        <w:t>10</w:t>
      </w:r>
      <w:r w:rsidRPr="00FE0F0C">
        <w:rPr>
          <w:rFonts w:ascii="宋体" w:cs="宋体" w:hint="eastAsia"/>
          <w:kern w:val="0"/>
          <w:szCs w:val="21"/>
        </w:rPr>
        <w:t>年末达到了历史峰值。从</w:t>
      </w:r>
      <w:r w:rsidRPr="00FE0F0C">
        <w:rPr>
          <w:kern w:val="0"/>
          <w:szCs w:val="21"/>
        </w:rPr>
        <w:t>20</w:t>
      </w:r>
      <w:r w:rsidR="003664C0">
        <w:rPr>
          <w:rFonts w:hint="eastAsia"/>
          <w:kern w:val="0"/>
          <w:szCs w:val="21"/>
        </w:rPr>
        <w:t>09</w:t>
      </w:r>
      <w:r w:rsidRPr="00FE0F0C">
        <w:rPr>
          <w:rFonts w:ascii="宋体" w:cs="宋体" w:hint="eastAsia"/>
          <w:kern w:val="0"/>
          <w:szCs w:val="21"/>
        </w:rPr>
        <w:t>年开始，青岛海尔开始加大现金偿还债务的力度，</w:t>
      </w:r>
      <w:r w:rsidR="003664C0">
        <w:rPr>
          <w:rFonts w:ascii="宋体" w:cs="宋体" w:hint="eastAsia"/>
          <w:kern w:val="0"/>
          <w:szCs w:val="21"/>
        </w:rPr>
        <w:t>在2010年和2011年分别偿付9.42亿元和0.99亿元，</w:t>
      </w:r>
      <w:r w:rsidRPr="00FE0F0C">
        <w:rPr>
          <w:rFonts w:ascii="宋体" w:cs="宋体" w:hint="eastAsia"/>
          <w:kern w:val="0"/>
          <w:szCs w:val="21"/>
        </w:rPr>
        <w:t>这使得青岛海尔的借款余额和流动负债合计在这一时期下降。</w:t>
      </w:r>
      <w:r w:rsidR="003664C0">
        <w:rPr>
          <w:rFonts w:ascii="宋体" w:cs="宋体" w:hint="eastAsia"/>
          <w:kern w:val="0"/>
          <w:szCs w:val="21"/>
        </w:rPr>
        <w:t>不过有一点需要特别关注的是2010年的筹资活动，通过上表我们可以看出，青岛海尔在这一年有三项大的行动：（1）向银行借款9.22亿元（2）向银行还款9.42亿元（3）支付现金股利利息4.08亿元，结合前面投资活动，在这一年青岛海尔投资支出22.85亿元。</w:t>
      </w:r>
      <w:r w:rsidR="00DA33B1">
        <w:rPr>
          <w:rFonts w:ascii="宋体" w:cs="宋体" w:hint="eastAsia"/>
          <w:kern w:val="0"/>
          <w:szCs w:val="21"/>
        </w:rPr>
        <w:t>我们的疑虑是在企业需要大笔现金投资的情况下，青岛海尔为什么还要支付大额的现金股利，是由于固定股利政策所致，还是想通过股利信号向投资者传达其市场前景乐观？其两笔银行借款是怎么操作的，为什么借了又还？对其有什么好处？有无对其财务状况的限制条件？</w:t>
      </w:r>
    </w:p>
    <w:p w:rsidR="00AD1351" w:rsidRPr="00FE0F0C" w:rsidRDefault="00047245" w:rsidP="00AD1351">
      <w:pPr>
        <w:autoSpaceDE w:val="0"/>
        <w:autoSpaceDN w:val="0"/>
        <w:adjustRightInd w:val="0"/>
        <w:jc w:val="left"/>
        <w:rPr>
          <w:rFonts w:ascii="宋体" w:cs="宋体"/>
          <w:kern w:val="0"/>
          <w:szCs w:val="21"/>
        </w:rPr>
      </w:pPr>
      <w:r>
        <w:rPr>
          <w:rFonts w:ascii="宋体" w:cs="宋体" w:hint="eastAsia"/>
          <w:kern w:val="0"/>
          <w:szCs w:val="21"/>
        </w:rPr>
        <w:lastRenderedPageBreak/>
        <w:t>此外，</w:t>
      </w:r>
      <w:r w:rsidR="00AD1351" w:rsidRPr="00FE0F0C">
        <w:rPr>
          <w:rFonts w:ascii="宋体" w:cs="宋体" w:hint="eastAsia"/>
          <w:kern w:val="0"/>
          <w:szCs w:val="21"/>
        </w:rPr>
        <w:t>青岛海尔债务筹资现金流动的变化趋势或许与其近年来缺乏大的投资项目有关，但债务融资的减少直接导致了青岛海尔的权益乘数在近年来不断降低。</w:t>
      </w:r>
      <w:r w:rsidR="00AD1351" w:rsidRPr="00FE0F0C">
        <w:rPr>
          <w:kern w:val="0"/>
          <w:szCs w:val="21"/>
        </w:rPr>
        <w:t>20</w:t>
      </w:r>
      <w:r>
        <w:rPr>
          <w:rFonts w:hint="eastAsia"/>
          <w:kern w:val="0"/>
          <w:szCs w:val="21"/>
        </w:rPr>
        <w:t>12</w:t>
      </w:r>
      <w:r w:rsidR="00AD1351" w:rsidRPr="00FE0F0C">
        <w:rPr>
          <w:rFonts w:ascii="宋体" w:cs="宋体" w:hint="eastAsia"/>
          <w:kern w:val="0"/>
          <w:szCs w:val="21"/>
        </w:rPr>
        <w:t>年青岛海尔的权益乘数为</w:t>
      </w:r>
      <w:r w:rsidR="00AD1351" w:rsidRPr="00FE0F0C">
        <w:rPr>
          <w:kern w:val="0"/>
          <w:szCs w:val="21"/>
        </w:rPr>
        <w:t>1.2</w:t>
      </w:r>
      <w:r w:rsidR="007737B1">
        <w:rPr>
          <w:rFonts w:hint="eastAsia"/>
          <w:kern w:val="0"/>
          <w:szCs w:val="21"/>
        </w:rPr>
        <w:t>3</w:t>
      </w:r>
      <w:r w:rsidR="00AD1351" w:rsidRPr="00FE0F0C">
        <w:rPr>
          <w:rFonts w:ascii="宋体" w:cs="宋体"/>
          <w:kern w:val="0"/>
          <w:szCs w:val="21"/>
        </w:rPr>
        <w:t xml:space="preserve">, </w:t>
      </w:r>
      <w:r w:rsidR="00AD1351" w:rsidRPr="00FE0F0C">
        <w:rPr>
          <w:rFonts w:ascii="宋体" w:cs="宋体" w:hint="eastAsia"/>
          <w:kern w:val="0"/>
          <w:szCs w:val="21"/>
        </w:rPr>
        <w:t>而</w:t>
      </w:r>
      <w:r w:rsidR="007737B1">
        <w:rPr>
          <w:rFonts w:ascii="宋体" w:cs="宋体" w:hint="eastAsia"/>
          <w:kern w:val="0"/>
          <w:szCs w:val="21"/>
        </w:rPr>
        <w:t>格力</w:t>
      </w:r>
      <w:r w:rsidR="00AD1351" w:rsidRPr="00FE0F0C">
        <w:rPr>
          <w:rFonts w:ascii="宋体" w:cs="宋体" w:hint="eastAsia"/>
          <w:kern w:val="0"/>
          <w:szCs w:val="21"/>
        </w:rPr>
        <w:t>电器的权益乘数为</w:t>
      </w:r>
      <w:r w:rsidR="00AD1351" w:rsidRPr="00FE0F0C">
        <w:rPr>
          <w:kern w:val="0"/>
          <w:szCs w:val="21"/>
        </w:rPr>
        <w:t>4.66</w:t>
      </w:r>
      <w:r w:rsidR="00AD1351" w:rsidRPr="00FE0F0C">
        <w:rPr>
          <w:rFonts w:ascii="宋体" w:cs="宋体"/>
          <w:kern w:val="0"/>
          <w:szCs w:val="21"/>
        </w:rPr>
        <w:t xml:space="preserve">, </w:t>
      </w:r>
      <w:r w:rsidR="00AD1351" w:rsidRPr="00FE0F0C">
        <w:rPr>
          <w:rFonts w:ascii="宋体" w:cs="宋体" w:hint="eastAsia"/>
          <w:kern w:val="0"/>
          <w:szCs w:val="21"/>
        </w:rPr>
        <w:t>过低的权益乘数也正是青岛海尔的净资产报酬率远低于</w:t>
      </w:r>
      <w:r w:rsidR="007737B1">
        <w:rPr>
          <w:rFonts w:ascii="宋体" w:cs="宋体" w:hint="eastAsia"/>
          <w:kern w:val="0"/>
          <w:szCs w:val="21"/>
        </w:rPr>
        <w:t>格力电器</w:t>
      </w:r>
      <w:r w:rsidR="00AD1351" w:rsidRPr="00FE0F0C">
        <w:rPr>
          <w:rFonts w:ascii="宋体" w:cs="宋体" w:hint="eastAsia"/>
          <w:kern w:val="0"/>
          <w:szCs w:val="21"/>
        </w:rPr>
        <w:t>的最重要原因。我们不知道青岛海尔短期借款现金流动的变化趋势是否同海尔集团财务公司有关，但从青岛海尔年报的中，我们发现青岛海尔与海尔集团财务公司签订的《金融服务协议》中规定“青岛海尔在财务公司的贷款利率不高于同期商业银行贷款利率</w:t>
      </w:r>
      <w:r w:rsidR="00AD1351" w:rsidRPr="00FE0F0C">
        <w:rPr>
          <w:kern w:val="0"/>
          <w:szCs w:val="21"/>
        </w:rPr>
        <w:t>”</w:t>
      </w:r>
      <w:r w:rsidR="00AD1351" w:rsidRPr="00FE0F0C">
        <w:rPr>
          <w:rFonts w:ascii="宋体" w:cs="宋体" w:hint="eastAsia"/>
          <w:kern w:val="0"/>
          <w:szCs w:val="21"/>
        </w:rPr>
        <w:t>。换言之，青岛海尔的特殊背景使其短期借款成本是小于等于其竞争对手的，而且由于是向</w:t>
      </w:r>
      <w:r w:rsidR="00AD1351" w:rsidRPr="00FE0F0C">
        <w:rPr>
          <w:kern w:val="0"/>
          <w:szCs w:val="21"/>
        </w:rPr>
        <w:t>“</w:t>
      </w:r>
      <w:r w:rsidR="00AD1351" w:rsidRPr="00FE0F0C">
        <w:rPr>
          <w:rFonts w:ascii="宋体" w:cs="宋体" w:hint="eastAsia"/>
          <w:kern w:val="0"/>
          <w:szCs w:val="21"/>
        </w:rPr>
        <w:t>自家人</w:t>
      </w:r>
      <w:r w:rsidR="00AD1351" w:rsidRPr="00FE0F0C">
        <w:rPr>
          <w:kern w:val="0"/>
          <w:szCs w:val="21"/>
        </w:rPr>
        <w:t xml:space="preserve">” </w:t>
      </w:r>
      <w:r w:rsidR="00AD1351" w:rsidRPr="00FE0F0C">
        <w:rPr>
          <w:rFonts w:ascii="宋体" w:cs="宋体" w:hint="eastAsia"/>
          <w:kern w:val="0"/>
          <w:szCs w:val="21"/>
        </w:rPr>
        <w:t>借钱，偿还行为无疑具有较大的弹性，偿债风险要小得多。那么，青岛海尔为何不充分利用这一特殊优势，充分利用债务融资的杠杆效应以提高净资产收益率？相反，青岛海尔一直热衷于的股权融资</w:t>
      </w:r>
      <w:r w:rsidR="007737B1">
        <w:rPr>
          <w:rFonts w:ascii="宋体" w:cs="宋体" w:hint="eastAsia"/>
          <w:kern w:val="0"/>
          <w:szCs w:val="21"/>
        </w:rPr>
        <w:t>。</w:t>
      </w:r>
      <w:r w:rsidR="00AD1351" w:rsidRPr="00FE0F0C">
        <w:rPr>
          <w:rFonts w:ascii="宋体" w:cs="宋体" w:hint="eastAsia"/>
          <w:kern w:val="0"/>
          <w:szCs w:val="21"/>
        </w:rPr>
        <w:t>为什么青岛海尔宁愿采取资本成本较高的股权融资，而放弃资本成本较低的债务融资？因此</w:t>
      </w:r>
      <w:r w:rsidR="007737B1">
        <w:rPr>
          <w:rFonts w:ascii="宋体" w:cs="宋体" w:hint="eastAsia"/>
          <w:kern w:val="0"/>
          <w:szCs w:val="21"/>
        </w:rPr>
        <w:t>我们推断</w:t>
      </w:r>
      <w:r w:rsidR="00AD1351" w:rsidRPr="00FE0F0C">
        <w:rPr>
          <w:rFonts w:ascii="宋体" w:cs="宋体" w:hint="eastAsia"/>
          <w:kern w:val="0"/>
          <w:szCs w:val="21"/>
        </w:rPr>
        <w:t>青岛海尔非但很少占用关联方的资金，反而向关联方输送了大量的现金</w:t>
      </w:r>
      <w:r w:rsidR="007737B1">
        <w:rPr>
          <w:rFonts w:ascii="宋体" w:cs="宋体" w:hint="eastAsia"/>
          <w:kern w:val="0"/>
          <w:szCs w:val="21"/>
        </w:rPr>
        <w:t>。</w:t>
      </w:r>
    </w:p>
    <w:p w:rsidR="00AD1351" w:rsidRPr="00AD1351" w:rsidRDefault="00AD1351" w:rsidP="00AD1351">
      <w:pPr>
        <w:autoSpaceDE w:val="0"/>
        <w:autoSpaceDN w:val="0"/>
        <w:adjustRightInd w:val="0"/>
        <w:jc w:val="left"/>
        <w:rPr>
          <w:rFonts w:ascii="宋体" w:cs="宋体"/>
          <w:kern w:val="0"/>
          <w:szCs w:val="21"/>
        </w:rPr>
      </w:pPr>
    </w:p>
    <w:p w:rsidR="0048327B" w:rsidRPr="00AD1351" w:rsidRDefault="0048327B" w:rsidP="0048327B">
      <w:pPr>
        <w:ind w:left="413"/>
        <w:rPr>
          <w:b/>
          <w:szCs w:val="21"/>
        </w:rPr>
      </w:pPr>
    </w:p>
    <w:p w:rsidR="00A529F3" w:rsidRPr="00AD3435" w:rsidRDefault="00A529F3" w:rsidP="00A529F3">
      <w:pPr>
        <w:autoSpaceDE w:val="0"/>
        <w:autoSpaceDN w:val="0"/>
        <w:adjustRightInd w:val="0"/>
        <w:jc w:val="center"/>
        <w:rPr>
          <w:rFonts w:ascii="宋体" w:cs="宋体"/>
          <w:b/>
          <w:kern w:val="0"/>
          <w:sz w:val="28"/>
          <w:szCs w:val="28"/>
        </w:rPr>
      </w:pPr>
      <w:r w:rsidRPr="00AD3435">
        <w:rPr>
          <w:rFonts w:ascii="宋体" w:cs="宋体" w:hint="eastAsia"/>
          <w:b/>
          <w:kern w:val="0"/>
          <w:sz w:val="28"/>
          <w:szCs w:val="28"/>
        </w:rPr>
        <w:t>第五章 前景分析</w:t>
      </w:r>
      <w:r>
        <w:rPr>
          <w:rFonts w:ascii="宋体" w:cs="宋体" w:hint="eastAsia"/>
          <w:b/>
          <w:kern w:val="0"/>
          <w:sz w:val="28"/>
          <w:szCs w:val="28"/>
        </w:rPr>
        <w:t>及结论</w:t>
      </w:r>
    </w:p>
    <w:p w:rsidR="00A529F3" w:rsidRPr="007E4A90" w:rsidRDefault="00A529F3" w:rsidP="00A529F3">
      <w:pPr>
        <w:autoSpaceDE w:val="0"/>
        <w:autoSpaceDN w:val="0"/>
        <w:adjustRightInd w:val="0"/>
        <w:ind w:firstLineChars="200" w:firstLine="422"/>
        <w:jc w:val="left"/>
        <w:rPr>
          <w:rFonts w:ascii="宋体" w:cs="宋体"/>
          <w:b/>
          <w:kern w:val="0"/>
          <w:szCs w:val="21"/>
        </w:rPr>
      </w:pPr>
      <w:r w:rsidRPr="007E4A90">
        <w:rPr>
          <w:rFonts w:ascii="宋体" w:cs="宋体" w:hint="eastAsia"/>
          <w:b/>
          <w:kern w:val="0"/>
          <w:szCs w:val="21"/>
        </w:rPr>
        <w:t>一前景分析</w:t>
      </w:r>
    </w:p>
    <w:p w:rsidR="00A529F3" w:rsidRPr="007E4A90" w:rsidRDefault="00A529F3" w:rsidP="00A529F3">
      <w:pPr>
        <w:autoSpaceDE w:val="0"/>
        <w:autoSpaceDN w:val="0"/>
        <w:adjustRightInd w:val="0"/>
        <w:ind w:firstLineChars="200" w:firstLine="420"/>
        <w:jc w:val="left"/>
        <w:rPr>
          <w:rFonts w:ascii="宋体" w:cs="宋体"/>
          <w:kern w:val="0"/>
          <w:szCs w:val="21"/>
        </w:rPr>
      </w:pPr>
      <w:r w:rsidRPr="00C86BA4">
        <w:rPr>
          <w:rFonts w:ascii="宋体" w:cs="宋体" w:hint="eastAsia"/>
          <w:kern w:val="0"/>
          <w:szCs w:val="21"/>
        </w:rPr>
        <w:t>由前述分析可知，青岛海尔的销售收人、销售费用、营业费用等主要财务数据因其庞大复杂的关联交易而变得扑朔迷离，且在未来充满了各种非经营性变数</w:t>
      </w:r>
      <w:r>
        <w:rPr>
          <w:rFonts w:ascii="宋体" w:cs="宋体" w:hint="eastAsia"/>
          <w:kern w:val="0"/>
          <w:szCs w:val="21"/>
        </w:rPr>
        <w:t>，此外还可能存在利用会计手法进行盈余管理的嫌疑</w:t>
      </w:r>
      <w:r w:rsidRPr="00C86BA4">
        <w:rPr>
          <w:rFonts w:ascii="宋体" w:cs="宋体" w:hint="eastAsia"/>
          <w:kern w:val="0"/>
          <w:szCs w:val="21"/>
        </w:rPr>
        <w:t>。用</w:t>
      </w:r>
      <w:r>
        <w:rPr>
          <w:rFonts w:ascii="宋体" w:cs="宋体" w:hint="eastAsia"/>
          <w:kern w:val="0"/>
          <w:szCs w:val="21"/>
        </w:rPr>
        <w:t>这些充满悬念的、</w:t>
      </w:r>
      <w:r w:rsidRPr="00C86BA4">
        <w:rPr>
          <w:rFonts w:ascii="宋体" w:cs="宋体" w:hint="eastAsia"/>
          <w:kern w:val="0"/>
          <w:szCs w:val="21"/>
        </w:rPr>
        <w:t>易变的财务数据来进一步预测青岛海尔的发展前景就变得没有什</w:t>
      </w:r>
      <w:r>
        <w:rPr>
          <w:rFonts w:ascii="宋体" w:cs="宋体" w:hint="eastAsia"/>
          <w:kern w:val="0"/>
          <w:szCs w:val="21"/>
        </w:rPr>
        <w:t>么现实意义了。因此我们不对青岛海尔未来的经营业绩做定量预</w:t>
      </w:r>
      <w:r w:rsidRPr="00C86BA4">
        <w:rPr>
          <w:rFonts w:ascii="宋体" w:cs="宋体" w:hint="eastAsia"/>
          <w:kern w:val="0"/>
          <w:szCs w:val="21"/>
        </w:rPr>
        <w:t>测，只对其做定性分析。</w:t>
      </w:r>
      <w:r>
        <w:rPr>
          <w:rFonts w:ascii="宋体" w:cs="宋体" w:hint="eastAsia"/>
          <w:kern w:val="0"/>
          <w:szCs w:val="21"/>
        </w:rPr>
        <w:t>这种预测主要是基于我们在前面所进行的基本面分析，适当考虑会计分析和财务分析结论。</w:t>
      </w:r>
    </w:p>
    <w:p w:rsidR="00A529F3" w:rsidRPr="007E4A90" w:rsidRDefault="00A529F3" w:rsidP="00A529F3">
      <w:pPr>
        <w:autoSpaceDE w:val="0"/>
        <w:autoSpaceDN w:val="0"/>
        <w:adjustRightInd w:val="0"/>
        <w:ind w:firstLineChars="200" w:firstLine="420"/>
        <w:jc w:val="left"/>
        <w:rPr>
          <w:rFonts w:ascii="宋体" w:cs="宋体"/>
          <w:kern w:val="0"/>
          <w:szCs w:val="21"/>
        </w:rPr>
      </w:pPr>
      <w:r w:rsidRPr="007E4A90">
        <w:rPr>
          <w:rFonts w:ascii="宋体" w:cs="宋体" w:hint="eastAsia"/>
          <w:kern w:val="0"/>
          <w:szCs w:val="21"/>
        </w:rPr>
        <w:t>全球金融危机已经爆发了近五年，世界经济增速放缓，根据《2013年世界经济形势与展望》的报告，世界经济增长在2012年明显下滑，增长幅度仅为2. 2%，不仅低于2011年2. 7%的增长率，更是远低于2010年4.0%的增长水平。2013年全球经济增长率预期为2. 4%，2014年预期为3.2%。改革开放以来，我国经济高速增长，经济增长速度近年幵始回落。但是，随着我国经济发展的越來越稳定，</w:t>
      </w:r>
      <w:r>
        <w:rPr>
          <w:rFonts w:ascii="宋体" w:cs="宋体" w:hint="eastAsia"/>
          <w:kern w:val="0"/>
          <w:szCs w:val="21"/>
        </w:rPr>
        <w:t>家电</w:t>
      </w:r>
      <w:r w:rsidRPr="007E4A90">
        <w:rPr>
          <w:rFonts w:ascii="宋体" w:cs="宋体" w:hint="eastAsia"/>
          <w:kern w:val="0"/>
          <w:szCs w:val="21"/>
        </w:rPr>
        <w:t>市场的需求也基本稳定，家电生产企业必须要开发出新的吸引消费的产品以刺激需求。我国一直处于城镇化的进程之中，这为我国家电业的发展提供了良好的发展机会。很多家电企业丌始的国际化战略，打开了美洲等国外市场的大门。在国内市场基本稳定的情况下，国内市场国际化进程进一步加快。家电行业面临的不仅是国内的竞争对手，也有国外竞争对手的介入。并且市场环境变幻莫测，家电行业应该接受挑战。家电行业目甜的市场发展形势，只会让强者更强，弱者更弱。在整个家电市场中，不久会再次出现行业洗牌的现象。由于没有通用的销售收入预测方法，本节进行的销售预测是根据</w:t>
      </w:r>
      <w:r>
        <w:rPr>
          <w:rFonts w:ascii="宋体" w:cs="宋体" w:hint="eastAsia"/>
          <w:kern w:val="0"/>
          <w:szCs w:val="21"/>
        </w:rPr>
        <w:t>青岛海尔</w:t>
      </w:r>
      <w:r w:rsidRPr="007E4A90">
        <w:rPr>
          <w:rFonts w:ascii="宋体" w:cs="宋体" w:hint="eastAsia"/>
          <w:kern w:val="0"/>
          <w:szCs w:val="21"/>
        </w:rPr>
        <w:t>所面临的具体环境进行的具体分析，下面对影响</w:t>
      </w:r>
      <w:r>
        <w:rPr>
          <w:rFonts w:ascii="宋体" w:cs="宋体" w:hint="eastAsia"/>
          <w:kern w:val="0"/>
          <w:szCs w:val="21"/>
        </w:rPr>
        <w:t>青岛海尔</w:t>
      </w:r>
      <w:r w:rsidRPr="007E4A90">
        <w:rPr>
          <w:rFonts w:ascii="宋体" w:cs="宋体" w:hint="eastAsia"/>
          <w:kern w:val="0"/>
          <w:szCs w:val="21"/>
        </w:rPr>
        <w:t>销售、费用和收益的因素进行了归纳：</w:t>
      </w:r>
    </w:p>
    <w:p w:rsidR="00A529F3" w:rsidRPr="007E4A90" w:rsidRDefault="00A529F3" w:rsidP="00A529F3">
      <w:pPr>
        <w:autoSpaceDE w:val="0"/>
        <w:autoSpaceDN w:val="0"/>
        <w:adjustRightInd w:val="0"/>
        <w:ind w:firstLineChars="200" w:firstLine="420"/>
        <w:jc w:val="left"/>
        <w:rPr>
          <w:rFonts w:ascii="宋体" w:cs="宋体"/>
          <w:kern w:val="0"/>
          <w:szCs w:val="21"/>
        </w:rPr>
      </w:pPr>
      <w:r w:rsidRPr="007E4A90">
        <w:rPr>
          <w:rFonts w:ascii="宋体" w:cs="宋体" w:hint="eastAsia"/>
          <w:kern w:val="0"/>
          <w:szCs w:val="21"/>
        </w:rPr>
        <w:t>(1)以往年度的销售额。年初至报告期末销售收入（</w:t>
      </w:r>
      <w:r>
        <w:rPr>
          <w:rFonts w:ascii="宋体" w:cs="宋体" w:hint="eastAsia"/>
          <w:kern w:val="0"/>
          <w:szCs w:val="21"/>
        </w:rPr>
        <w:t>2013</w:t>
      </w:r>
      <w:r w:rsidRPr="007E4A90">
        <w:rPr>
          <w:rFonts w:ascii="宋体" w:cs="宋体" w:hint="eastAsia"/>
          <w:kern w:val="0"/>
          <w:szCs w:val="21"/>
        </w:rPr>
        <w:t>年1月-9月）较上年年初至报告期末的营业收入（</w:t>
      </w:r>
      <w:r>
        <w:rPr>
          <w:rFonts w:ascii="宋体" w:cs="宋体" w:hint="eastAsia"/>
          <w:kern w:val="0"/>
          <w:szCs w:val="21"/>
        </w:rPr>
        <w:t>2012</w:t>
      </w:r>
      <w:r w:rsidRPr="007E4A90">
        <w:rPr>
          <w:rFonts w:ascii="宋体" w:cs="宋体" w:hint="eastAsia"/>
          <w:kern w:val="0"/>
          <w:szCs w:val="21"/>
        </w:rPr>
        <w:t xml:space="preserve">年1月-9月）增长了 </w:t>
      </w:r>
      <w:r>
        <w:rPr>
          <w:rFonts w:ascii="宋体" w:cs="宋体" w:hint="eastAsia"/>
          <w:kern w:val="0"/>
          <w:szCs w:val="21"/>
        </w:rPr>
        <w:t>5.41</w:t>
      </w:r>
      <w:r w:rsidRPr="007E4A90">
        <w:rPr>
          <w:rFonts w:ascii="宋体" w:cs="宋体" w:hint="eastAsia"/>
          <w:kern w:val="0"/>
          <w:szCs w:val="21"/>
        </w:rPr>
        <w:t>%,预计</w:t>
      </w:r>
      <w:r>
        <w:rPr>
          <w:rFonts w:ascii="宋体" w:cs="宋体" w:hint="eastAsia"/>
          <w:kern w:val="0"/>
          <w:szCs w:val="21"/>
        </w:rPr>
        <w:t>2014</w:t>
      </w:r>
      <w:r w:rsidRPr="007E4A90">
        <w:rPr>
          <w:rFonts w:ascii="宋体" w:cs="宋体" w:hint="eastAsia"/>
          <w:kern w:val="0"/>
          <w:szCs w:val="21"/>
        </w:rPr>
        <w:t>年将会保持</w:t>
      </w:r>
      <w:r>
        <w:rPr>
          <w:rFonts w:ascii="宋体" w:cs="宋体" w:hint="eastAsia"/>
          <w:kern w:val="0"/>
          <w:szCs w:val="21"/>
        </w:rPr>
        <w:t>2013</w:t>
      </w:r>
      <w:r w:rsidRPr="007E4A90">
        <w:rPr>
          <w:rFonts w:ascii="宋体" w:cs="宋体" w:hint="eastAsia"/>
          <w:kern w:val="0"/>
          <w:szCs w:val="21"/>
        </w:rPr>
        <w:t>年的增长态势。</w:t>
      </w:r>
    </w:p>
    <w:p w:rsidR="00A529F3" w:rsidRPr="007E4A90" w:rsidRDefault="00A529F3" w:rsidP="00A529F3">
      <w:pPr>
        <w:autoSpaceDE w:val="0"/>
        <w:autoSpaceDN w:val="0"/>
        <w:adjustRightInd w:val="0"/>
        <w:ind w:firstLineChars="200" w:firstLine="420"/>
        <w:jc w:val="left"/>
        <w:rPr>
          <w:rFonts w:ascii="宋体" w:cs="宋体"/>
          <w:kern w:val="0"/>
          <w:szCs w:val="21"/>
        </w:rPr>
      </w:pPr>
      <w:r w:rsidRPr="007E4A90">
        <w:rPr>
          <w:rFonts w:ascii="宋体" w:cs="宋体" w:hint="eastAsia"/>
          <w:kern w:val="0"/>
          <w:szCs w:val="21"/>
        </w:rPr>
        <w:t>(2)市场需求情况。我国家电行业的市场基本稳定，在没有政策刺激以及太多变化因素的情况下，不会出现大幅度的家电需求状况。</w:t>
      </w:r>
    </w:p>
    <w:p w:rsidR="00A529F3" w:rsidRPr="007E4A90" w:rsidRDefault="00A529F3" w:rsidP="00A529F3">
      <w:pPr>
        <w:autoSpaceDE w:val="0"/>
        <w:autoSpaceDN w:val="0"/>
        <w:adjustRightInd w:val="0"/>
        <w:ind w:firstLineChars="150" w:firstLine="315"/>
        <w:jc w:val="left"/>
        <w:rPr>
          <w:rFonts w:ascii="宋体" w:cs="宋体"/>
          <w:kern w:val="0"/>
          <w:szCs w:val="21"/>
        </w:rPr>
      </w:pPr>
      <w:r w:rsidRPr="007E4A90">
        <w:rPr>
          <w:rFonts w:ascii="宋体" w:cs="宋体" w:hint="eastAsia"/>
          <w:kern w:val="0"/>
          <w:szCs w:val="21"/>
        </w:rPr>
        <w:t>(3)行业竞争情况。行业内的竞争者数量不会有太大变化，但是由于市场进入到成熟期，行业竞争会更加激烈。</w:t>
      </w:r>
    </w:p>
    <w:p w:rsidR="00A529F3" w:rsidRPr="007E4A90" w:rsidRDefault="00A529F3" w:rsidP="00A529F3">
      <w:pPr>
        <w:autoSpaceDE w:val="0"/>
        <w:autoSpaceDN w:val="0"/>
        <w:adjustRightInd w:val="0"/>
        <w:ind w:firstLineChars="150" w:firstLine="315"/>
        <w:jc w:val="left"/>
        <w:rPr>
          <w:rFonts w:ascii="宋体" w:cs="宋体"/>
          <w:kern w:val="0"/>
          <w:szCs w:val="21"/>
        </w:rPr>
      </w:pPr>
      <w:r w:rsidRPr="007E4A90">
        <w:rPr>
          <w:rFonts w:ascii="宋体" w:cs="宋体" w:hint="eastAsia"/>
          <w:kern w:val="0"/>
          <w:szCs w:val="21"/>
        </w:rPr>
        <w:t>(4)业务拓展情况。</w:t>
      </w:r>
      <w:r>
        <w:rPr>
          <w:rFonts w:ascii="宋体" w:cs="宋体" w:hint="eastAsia"/>
          <w:kern w:val="0"/>
          <w:szCs w:val="21"/>
        </w:rPr>
        <w:t>青岛海尔</w:t>
      </w:r>
      <w:r w:rsidRPr="007E4A90">
        <w:rPr>
          <w:rFonts w:ascii="宋体" w:cs="宋体" w:hint="eastAsia"/>
          <w:kern w:val="0"/>
          <w:szCs w:val="21"/>
        </w:rPr>
        <w:t>的国际市场业务有了进一步的增加，但是总体占比不是很</w:t>
      </w:r>
      <w:r w:rsidRPr="007E4A90">
        <w:rPr>
          <w:rFonts w:ascii="宋体" w:cs="宋体" w:hint="eastAsia"/>
          <w:kern w:val="0"/>
          <w:szCs w:val="21"/>
        </w:rPr>
        <w:lastRenderedPageBreak/>
        <w:t>大，预计国际业务的营业收入也会有所增加。</w:t>
      </w:r>
    </w:p>
    <w:p w:rsidR="00A529F3" w:rsidRPr="007E4A90" w:rsidRDefault="00A529F3" w:rsidP="00A529F3">
      <w:pPr>
        <w:autoSpaceDE w:val="0"/>
        <w:autoSpaceDN w:val="0"/>
        <w:adjustRightInd w:val="0"/>
        <w:ind w:firstLineChars="200" w:firstLine="420"/>
        <w:jc w:val="left"/>
        <w:rPr>
          <w:rFonts w:ascii="宋体" w:cs="宋体"/>
          <w:kern w:val="0"/>
          <w:szCs w:val="21"/>
        </w:rPr>
      </w:pPr>
      <w:r w:rsidRPr="007E4A90">
        <w:rPr>
          <w:rFonts w:ascii="宋体" w:cs="宋体" w:hint="eastAsia"/>
          <w:kern w:val="0"/>
          <w:szCs w:val="21"/>
        </w:rPr>
        <w:t>(5)产能增长情况。</w:t>
      </w:r>
      <w:r>
        <w:rPr>
          <w:rFonts w:ascii="宋体" w:cs="宋体" w:hint="eastAsia"/>
          <w:kern w:val="0"/>
          <w:szCs w:val="21"/>
        </w:rPr>
        <w:t>青岛海尔这些年加大了实体投资</w:t>
      </w:r>
      <w:r w:rsidRPr="007E4A90">
        <w:rPr>
          <w:rFonts w:ascii="宋体" w:cs="宋体" w:hint="eastAsia"/>
          <w:kern w:val="0"/>
          <w:szCs w:val="21"/>
        </w:rPr>
        <w:t>，</w:t>
      </w:r>
      <w:r>
        <w:rPr>
          <w:rFonts w:ascii="宋体" w:cs="宋体" w:hint="eastAsia"/>
          <w:kern w:val="0"/>
          <w:szCs w:val="21"/>
        </w:rPr>
        <w:t>不断设立子公司进行规模扩张，</w:t>
      </w:r>
      <w:r w:rsidRPr="007E4A90">
        <w:rPr>
          <w:rFonts w:ascii="宋体" w:cs="宋体" w:hint="eastAsia"/>
          <w:kern w:val="0"/>
          <w:szCs w:val="21"/>
        </w:rPr>
        <w:t>从而进一步提高公司的竞争力。</w:t>
      </w:r>
      <w:r>
        <w:rPr>
          <w:rFonts w:ascii="宋体" w:cs="宋体" w:hint="eastAsia"/>
          <w:kern w:val="0"/>
          <w:szCs w:val="21"/>
        </w:rPr>
        <w:t>预计未来几年这种趋势不会改变，尤其是研发支出的投入可能会加大这种趋势。</w:t>
      </w:r>
    </w:p>
    <w:p w:rsidR="00A529F3" w:rsidRPr="007E4A90" w:rsidRDefault="00A529F3" w:rsidP="00A529F3">
      <w:pPr>
        <w:autoSpaceDE w:val="0"/>
        <w:autoSpaceDN w:val="0"/>
        <w:adjustRightInd w:val="0"/>
        <w:ind w:firstLineChars="200" w:firstLine="420"/>
        <w:jc w:val="left"/>
        <w:rPr>
          <w:rFonts w:ascii="宋体" w:cs="宋体"/>
          <w:kern w:val="0"/>
          <w:szCs w:val="21"/>
        </w:rPr>
      </w:pPr>
      <w:r w:rsidRPr="007E4A90">
        <w:rPr>
          <w:rFonts w:ascii="宋体" w:cs="宋体" w:hint="eastAsia"/>
          <w:kern w:val="0"/>
          <w:szCs w:val="21"/>
        </w:rPr>
        <w:t>(6)成本波动情况。家电行业的成本有着不断上涨的趋势。</w:t>
      </w:r>
    </w:p>
    <w:p w:rsidR="00A529F3" w:rsidRPr="007E4A90" w:rsidRDefault="00A529F3" w:rsidP="00A529F3">
      <w:pPr>
        <w:autoSpaceDE w:val="0"/>
        <w:autoSpaceDN w:val="0"/>
        <w:adjustRightInd w:val="0"/>
        <w:ind w:firstLineChars="200" w:firstLine="420"/>
        <w:jc w:val="left"/>
        <w:rPr>
          <w:rFonts w:ascii="宋体" w:cs="宋体"/>
          <w:kern w:val="0"/>
          <w:szCs w:val="21"/>
        </w:rPr>
      </w:pPr>
      <w:r w:rsidRPr="007E4A90">
        <w:rPr>
          <w:rFonts w:ascii="宋体" w:cs="宋体" w:hint="eastAsia"/>
          <w:kern w:val="0"/>
          <w:szCs w:val="21"/>
        </w:rPr>
        <w:t>(7)融资成本。公司资金运营效率提高，并且新增加了融资理财产品，融资成本会有所降低。</w:t>
      </w:r>
    </w:p>
    <w:p w:rsidR="00A529F3" w:rsidRPr="007E4A90" w:rsidRDefault="00A529F3" w:rsidP="00A529F3">
      <w:pPr>
        <w:autoSpaceDE w:val="0"/>
        <w:autoSpaceDN w:val="0"/>
        <w:adjustRightInd w:val="0"/>
        <w:jc w:val="left"/>
        <w:rPr>
          <w:rFonts w:ascii="宋体" w:cs="宋体"/>
          <w:kern w:val="0"/>
          <w:szCs w:val="21"/>
        </w:rPr>
      </w:pPr>
      <w:r>
        <w:rPr>
          <w:rFonts w:ascii="宋体" w:cs="宋体" w:hint="eastAsia"/>
          <w:kern w:val="0"/>
          <w:szCs w:val="21"/>
        </w:rPr>
        <w:t xml:space="preserve">    青岛海尔未来发展中可能面临的风险因素：（1）</w:t>
      </w:r>
      <w:r w:rsidRPr="007E4A90">
        <w:rPr>
          <w:rFonts w:ascii="宋体" w:cs="宋体" w:hint="eastAsia"/>
          <w:kern w:val="0"/>
          <w:szCs w:val="21"/>
        </w:rPr>
        <w:t>政府监管风险：政府对家电行业采取了很多的政策扶持，但是也有一定的监管措施。制定了很多家电相关国家标准。比如说新的电冰箱能耗值，提高了合格的门槛，鼓励企业推广应用节能技术。还有很多的安全质量和环保标准以及确定了税项和收费标准等。这些相关监管措施会对</w:t>
      </w:r>
      <w:r>
        <w:rPr>
          <w:rFonts w:ascii="宋体" w:cs="宋体" w:hint="eastAsia"/>
          <w:kern w:val="0"/>
          <w:szCs w:val="21"/>
        </w:rPr>
        <w:t>青岛海尔</w:t>
      </w:r>
      <w:r w:rsidRPr="007E4A90">
        <w:rPr>
          <w:rFonts w:ascii="宋体" w:cs="宋体" w:hint="eastAsia"/>
          <w:kern w:val="0"/>
          <w:szCs w:val="21"/>
        </w:rPr>
        <w:t>的产品种类以及产品生产等产</w:t>
      </w:r>
      <w:r>
        <w:rPr>
          <w:rFonts w:ascii="宋体" w:cs="宋体" w:hint="eastAsia"/>
          <w:kern w:val="0"/>
          <w:szCs w:val="21"/>
        </w:rPr>
        <w:t>生影响；（2）</w:t>
      </w:r>
      <w:r w:rsidRPr="007E4A90">
        <w:rPr>
          <w:rFonts w:ascii="宋体" w:cs="宋体" w:hint="eastAsia"/>
          <w:kern w:val="0"/>
          <w:szCs w:val="21"/>
        </w:rPr>
        <w:t>市场风险：家电行业主要面临的市场风险是铜、铝等原材料的价格波动以及</w:t>
      </w:r>
      <w:r>
        <w:rPr>
          <w:rFonts w:ascii="宋体" w:cs="宋体" w:hint="eastAsia"/>
          <w:kern w:val="0"/>
          <w:szCs w:val="21"/>
        </w:rPr>
        <w:t>卖场竞争的价格压力；（3）</w:t>
      </w:r>
      <w:r w:rsidRPr="007E4A90">
        <w:rPr>
          <w:rFonts w:ascii="宋体" w:cs="宋体" w:hint="eastAsia"/>
          <w:kern w:val="0"/>
          <w:szCs w:val="21"/>
        </w:rPr>
        <w:t>货币风险：</w:t>
      </w:r>
      <w:r>
        <w:rPr>
          <w:rFonts w:ascii="宋体" w:cs="宋体" w:hint="eastAsia"/>
          <w:kern w:val="0"/>
          <w:szCs w:val="21"/>
        </w:rPr>
        <w:t>青岛海尔</w:t>
      </w:r>
      <w:r w:rsidRPr="007E4A90">
        <w:rPr>
          <w:rFonts w:ascii="宋体" w:cs="宋体" w:hint="eastAsia"/>
          <w:kern w:val="0"/>
          <w:szCs w:val="21"/>
        </w:rPr>
        <w:t>近年来的出口业务进一步上升，导致公司的外币业务有所增力口。但是我国的人民币升值会相应的降低我们的出口收入，但是于此同时人民币</w:t>
      </w:r>
      <w:r>
        <w:rPr>
          <w:rFonts w:ascii="宋体" w:cs="宋体" w:hint="eastAsia"/>
          <w:kern w:val="0"/>
          <w:szCs w:val="21"/>
        </w:rPr>
        <w:t>的升值也会降低原材料进口成本；（4）</w:t>
      </w:r>
      <w:r w:rsidRPr="007E4A90">
        <w:rPr>
          <w:rFonts w:ascii="宋体" w:cs="宋体" w:hint="eastAsia"/>
          <w:kern w:val="0"/>
          <w:szCs w:val="21"/>
        </w:rPr>
        <w:t>环保风险：政府对家电的产品的绿色环保质量要求越来越高，进一步对企业</w:t>
      </w:r>
      <w:r>
        <w:rPr>
          <w:rFonts w:ascii="宋体" w:cs="宋体" w:hint="eastAsia"/>
          <w:kern w:val="0"/>
          <w:szCs w:val="21"/>
        </w:rPr>
        <w:t>的新材料、新技术提出了要求；（五）</w:t>
      </w:r>
      <w:r w:rsidRPr="007E4A90">
        <w:rPr>
          <w:rFonts w:ascii="宋体" w:cs="宋体" w:hint="eastAsia"/>
          <w:kern w:val="0"/>
          <w:szCs w:val="21"/>
        </w:rPr>
        <w:t>政策风险：2012年随着以旧换新、家电下乡等刺激性政策纷纷退出，造成了销量的迅速下滑。在节能惠民政策的拉动下，家电市场的需求已经被大幅透支，若</w:t>
      </w:r>
      <w:r>
        <w:rPr>
          <w:rFonts w:ascii="宋体" w:cs="宋体" w:hint="eastAsia"/>
          <w:kern w:val="0"/>
          <w:szCs w:val="21"/>
        </w:rPr>
        <w:t>2014年</w:t>
      </w:r>
      <w:r w:rsidRPr="007E4A90">
        <w:rPr>
          <w:rFonts w:ascii="宋体" w:cs="宋体" w:hint="eastAsia"/>
          <w:kern w:val="0"/>
          <w:szCs w:val="21"/>
        </w:rPr>
        <w:t>实施一年的家电节能惠民政策退出后，行业将会再度进入低潮期。</w:t>
      </w:r>
    </w:p>
    <w:p w:rsidR="00A529F3" w:rsidRPr="001D3B10" w:rsidRDefault="00A529F3" w:rsidP="00A529F3">
      <w:pPr>
        <w:autoSpaceDE w:val="0"/>
        <w:autoSpaceDN w:val="0"/>
        <w:adjustRightInd w:val="0"/>
        <w:jc w:val="left"/>
        <w:rPr>
          <w:rFonts w:ascii="宋体" w:cs="宋体"/>
          <w:b/>
          <w:kern w:val="0"/>
          <w:sz w:val="24"/>
        </w:rPr>
      </w:pPr>
      <w:r w:rsidRPr="001D3B10">
        <w:rPr>
          <w:rFonts w:ascii="宋体" w:cs="宋体" w:hint="eastAsia"/>
          <w:b/>
          <w:kern w:val="0"/>
          <w:sz w:val="24"/>
        </w:rPr>
        <w:t>二结论</w:t>
      </w:r>
    </w:p>
    <w:p w:rsidR="00A529F3" w:rsidRPr="001D3B10" w:rsidRDefault="00A529F3" w:rsidP="00A529F3">
      <w:pPr>
        <w:autoSpaceDE w:val="0"/>
        <w:autoSpaceDN w:val="0"/>
        <w:adjustRightInd w:val="0"/>
        <w:ind w:firstLineChars="250" w:firstLine="525"/>
        <w:jc w:val="left"/>
        <w:rPr>
          <w:rFonts w:ascii="宋体" w:cs="宋体"/>
          <w:kern w:val="0"/>
          <w:szCs w:val="21"/>
        </w:rPr>
      </w:pPr>
      <w:r w:rsidRPr="001D3B10">
        <w:rPr>
          <w:rFonts w:ascii="宋体" w:cs="宋体" w:hint="eastAsia"/>
          <w:kern w:val="0"/>
          <w:szCs w:val="21"/>
        </w:rPr>
        <w:t>家电市场竞争激烈，</w:t>
      </w:r>
      <w:r>
        <w:rPr>
          <w:rFonts w:ascii="宋体" w:cs="宋体" w:hint="eastAsia"/>
          <w:kern w:val="0"/>
          <w:szCs w:val="21"/>
        </w:rPr>
        <w:t>青岛海尔</w:t>
      </w:r>
      <w:r w:rsidRPr="001D3B10">
        <w:rPr>
          <w:rFonts w:ascii="宋体" w:cs="宋体" w:hint="eastAsia"/>
          <w:kern w:val="0"/>
          <w:szCs w:val="21"/>
        </w:rPr>
        <w:t>电器为了在这个饱和的市场中参与竞争，需要及时的推出新产品以及新技术，走智能化战略，增加可和体验。适当的在国内市场平稳发展的基础上，再去发展海外市场，比如非洲市场等。</w:t>
      </w:r>
      <w:r>
        <w:rPr>
          <w:rFonts w:ascii="宋体" w:cs="宋体" w:hint="eastAsia"/>
          <w:kern w:val="0"/>
          <w:szCs w:val="21"/>
        </w:rPr>
        <w:t>青岛海尔</w:t>
      </w:r>
      <w:r w:rsidRPr="001D3B10">
        <w:rPr>
          <w:rFonts w:ascii="宋体" w:cs="宋体" w:hint="eastAsia"/>
          <w:kern w:val="0"/>
          <w:szCs w:val="21"/>
        </w:rPr>
        <w:t>应提高企业运营质量，不宜盲目的在市场不太景气的时候追求规模，应该着眼于保持并不断提高其净资产收益率，在效率的基础上扩大规模。</w:t>
      </w:r>
      <w:r>
        <w:rPr>
          <w:rFonts w:ascii="宋体" w:cs="宋体" w:hint="eastAsia"/>
          <w:kern w:val="0"/>
          <w:szCs w:val="21"/>
        </w:rPr>
        <w:t>青岛海尔</w:t>
      </w:r>
      <w:r w:rsidRPr="001D3B10">
        <w:rPr>
          <w:rFonts w:ascii="宋体" w:cs="宋体" w:hint="eastAsia"/>
          <w:kern w:val="0"/>
          <w:szCs w:val="21"/>
        </w:rPr>
        <w:t>对应收账款的分类不详尽，不利于坏账准备的计提。</w:t>
      </w:r>
      <w:r w:rsidRPr="00C86BA4">
        <w:rPr>
          <w:rFonts w:ascii="宋体" w:cs="宋体" w:hint="eastAsia"/>
          <w:kern w:val="0"/>
          <w:szCs w:val="21"/>
        </w:rPr>
        <w:t>青岛海尔未来的经营业绩一方面取决于其差异化竞争优势是否能得到巩固，另一方面也取决于海尔集团对其的扶持力度。由于青岛海尔与海尔集团之间的特殊关系，海尔集团完全有能力决定青岛海尔未来交出的成缋单是否</w:t>
      </w:r>
      <w:r w:rsidRPr="00C86BA4">
        <w:rPr>
          <w:kern w:val="0"/>
          <w:szCs w:val="21"/>
        </w:rPr>
        <w:t>“</w:t>
      </w:r>
      <w:r w:rsidRPr="00C86BA4">
        <w:rPr>
          <w:rFonts w:ascii="宋体" w:cs="宋体" w:hint="eastAsia"/>
          <w:kern w:val="0"/>
          <w:szCs w:val="21"/>
        </w:rPr>
        <w:t>漂亮”。值得我们关注的是，随着香港上市公司海尔电器逐步成为海尔集团白家电业务的</w:t>
      </w:r>
      <w:r w:rsidRPr="00C86BA4">
        <w:rPr>
          <w:kern w:val="0"/>
          <w:szCs w:val="21"/>
        </w:rPr>
        <w:t>“</w:t>
      </w:r>
      <w:r w:rsidRPr="00C86BA4">
        <w:rPr>
          <w:rFonts w:ascii="宋体" w:cs="宋体" w:hint="eastAsia"/>
          <w:kern w:val="0"/>
          <w:szCs w:val="21"/>
        </w:rPr>
        <w:t>旗舰</w:t>
      </w:r>
      <w:r w:rsidRPr="00C86BA4">
        <w:rPr>
          <w:kern w:val="0"/>
          <w:szCs w:val="21"/>
        </w:rPr>
        <w:t>”</w:t>
      </w:r>
      <w:r w:rsidRPr="00C86BA4">
        <w:rPr>
          <w:rFonts w:ascii="宋体" w:cs="宋体" w:hint="eastAsia"/>
          <w:kern w:val="0"/>
          <w:szCs w:val="21"/>
        </w:rPr>
        <w:t>，并成为海尔集团重要的国际融资平台，海尔集团对青岛海尔的定位可能发生变化</w:t>
      </w:r>
      <w:r w:rsidRPr="00C86BA4">
        <w:rPr>
          <w:kern w:val="0"/>
          <w:szCs w:val="21"/>
        </w:rPr>
        <w:t>，</w:t>
      </w:r>
      <w:r w:rsidRPr="00C86BA4">
        <w:rPr>
          <w:kern w:val="0"/>
          <w:szCs w:val="21"/>
        </w:rPr>
        <w:t xml:space="preserve"> </w:t>
      </w:r>
      <w:r>
        <w:rPr>
          <w:rFonts w:ascii="宋体" w:cs="宋体" w:hint="eastAsia"/>
          <w:kern w:val="0"/>
          <w:szCs w:val="21"/>
        </w:rPr>
        <w:t>这将极大地影响其未来的发展情况和经</w:t>
      </w:r>
      <w:r w:rsidRPr="00C86BA4">
        <w:rPr>
          <w:rFonts w:ascii="宋体" w:cs="宋体" w:hint="eastAsia"/>
          <w:kern w:val="0"/>
          <w:szCs w:val="21"/>
        </w:rPr>
        <w:t>业绩。扑朔迷离的前景意味着投资者将面临较大的风险，因此要求更髙的风险报酬，这或许就是资本市场</w:t>
      </w:r>
      <w:r w:rsidRPr="00C86BA4">
        <w:rPr>
          <w:kern w:val="0"/>
          <w:szCs w:val="21"/>
        </w:rPr>
        <w:t>“</w:t>
      </w:r>
      <w:r w:rsidRPr="00C86BA4">
        <w:rPr>
          <w:rFonts w:ascii="宋体" w:cs="宋体" w:hint="eastAsia"/>
          <w:kern w:val="0"/>
          <w:szCs w:val="21"/>
        </w:rPr>
        <w:t>低估</w:t>
      </w:r>
      <w:r w:rsidRPr="00C86BA4">
        <w:rPr>
          <w:kern w:val="0"/>
          <w:szCs w:val="21"/>
        </w:rPr>
        <w:t>”</w:t>
      </w:r>
      <w:r w:rsidRPr="00C86BA4">
        <w:rPr>
          <w:rFonts w:ascii="宋体" w:cs="宋体" w:hint="eastAsia"/>
          <w:kern w:val="0"/>
          <w:szCs w:val="21"/>
        </w:rPr>
        <w:t>青岛海尔股价的重要原因！</w:t>
      </w:r>
      <w:r w:rsidR="008A07F7">
        <w:rPr>
          <w:rFonts w:ascii="宋体" w:cs="宋体" w:hint="eastAsia"/>
          <w:kern w:val="0"/>
          <w:szCs w:val="21"/>
        </w:rPr>
        <w:t>因此建议获取更详尽的资料进行细致的基本面分析，</w:t>
      </w:r>
      <w:r>
        <w:rPr>
          <w:rFonts w:ascii="宋体" w:cs="宋体" w:hint="eastAsia"/>
          <w:kern w:val="0"/>
          <w:szCs w:val="21"/>
        </w:rPr>
        <w:t>在此处的建议是短期内不要投资青岛海尔。</w:t>
      </w:r>
    </w:p>
    <w:p w:rsidR="008328F9" w:rsidRPr="00A529F3" w:rsidRDefault="008328F9" w:rsidP="008328F9">
      <w:pPr>
        <w:rPr>
          <w:b/>
          <w:szCs w:val="21"/>
        </w:rPr>
      </w:pPr>
    </w:p>
    <w:sectPr w:rsidR="008328F9" w:rsidRPr="00A529F3">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50CD" w:rsidRDefault="009750CD" w:rsidP="00CA516D">
      <w:r>
        <w:separator/>
      </w:r>
    </w:p>
  </w:endnote>
  <w:endnote w:type="continuationSeparator" w:id="0">
    <w:p w:rsidR="009750CD" w:rsidRDefault="009750CD" w:rsidP="00CA5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ngLiU">
    <w:altName w:val="Arial Unicode MS"/>
    <w:panose1 w:val="02020509000000000000"/>
    <w:charset w:val="88"/>
    <w:family w:val="modern"/>
    <w:pitch w:val="fixed"/>
    <w:sig w:usb0="00000000" w:usb1="28CFFCFA" w:usb2="00000016" w:usb3="00000000" w:csb0="00100001" w:csb1="00000000"/>
  </w:font>
  <w:font w:name="ˎ̥">
    <w:altName w:val="Times New Roman"/>
    <w:charset w:val="00"/>
    <w:family w:val="roman"/>
    <w:pitch w:val="default"/>
    <w:sig w:usb0="00000000" w:usb1="00000000" w:usb2="00000000"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16D" w:rsidRDefault="00CA516D">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16D" w:rsidRDefault="00CA516D">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16D" w:rsidRDefault="00CA516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50CD" w:rsidRDefault="009750CD" w:rsidP="00CA516D">
      <w:r>
        <w:separator/>
      </w:r>
    </w:p>
  </w:footnote>
  <w:footnote w:type="continuationSeparator" w:id="0">
    <w:p w:rsidR="009750CD" w:rsidRDefault="009750CD" w:rsidP="00CA51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16D" w:rsidRDefault="00CA516D">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16D" w:rsidRDefault="00CA516D">
    <w:pPr>
      <w:pStyle w:val="a4"/>
    </w:pPr>
    <w:r>
      <w:rPr>
        <w:rFonts w:hint="eastAsia"/>
      </w:rPr>
      <w:t>B</w:t>
    </w:r>
    <w:r>
      <w:t>BS</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516D" w:rsidRDefault="00CA516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2579A"/>
    <w:multiLevelType w:val="hybridMultilevel"/>
    <w:tmpl w:val="311441AA"/>
    <w:lvl w:ilvl="0" w:tplc="A2D441A8">
      <w:start w:val="1"/>
      <w:numFmt w:val="japaneseCounting"/>
      <w:lvlText w:val="（%1）"/>
      <w:lvlJc w:val="left"/>
      <w:pPr>
        <w:tabs>
          <w:tab w:val="num" w:pos="1133"/>
        </w:tabs>
        <w:ind w:left="1133" w:hanging="720"/>
      </w:pPr>
      <w:rPr>
        <w:rFonts w:hint="default"/>
        <w:lang w:val="en-US"/>
      </w:rPr>
    </w:lvl>
    <w:lvl w:ilvl="1" w:tplc="04090019" w:tentative="1">
      <w:start w:val="1"/>
      <w:numFmt w:val="lowerLetter"/>
      <w:lvlText w:val="%2)"/>
      <w:lvlJc w:val="left"/>
      <w:pPr>
        <w:tabs>
          <w:tab w:val="num" w:pos="1253"/>
        </w:tabs>
        <w:ind w:left="1253" w:hanging="420"/>
      </w:pPr>
    </w:lvl>
    <w:lvl w:ilvl="2" w:tplc="0409001B" w:tentative="1">
      <w:start w:val="1"/>
      <w:numFmt w:val="lowerRoman"/>
      <w:lvlText w:val="%3."/>
      <w:lvlJc w:val="right"/>
      <w:pPr>
        <w:tabs>
          <w:tab w:val="num" w:pos="1673"/>
        </w:tabs>
        <w:ind w:left="1673" w:hanging="420"/>
      </w:pPr>
    </w:lvl>
    <w:lvl w:ilvl="3" w:tplc="0409000F" w:tentative="1">
      <w:start w:val="1"/>
      <w:numFmt w:val="decimal"/>
      <w:lvlText w:val="%4."/>
      <w:lvlJc w:val="left"/>
      <w:pPr>
        <w:tabs>
          <w:tab w:val="num" w:pos="2093"/>
        </w:tabs>
        <w:ind w:left="2093" w:hanging="420"/>
      </w:pPr>
    </w:lvl>
    <w:lvl w:ilvl="4" w:tplc="04090019" w:tentative="1">
      <w:start w:val="1"/>
      <w:numFmt w:val="lowerLetter"/>
      <w:lvlText w:val="%5)"/>
      <w:lvlJc w:val="left"/>
      <w:pPr>
        <w:tabs>
          <w:tab w:val="num" w:pos="2513"/>
        </w:tabs>
        <w:ind w:left="2513" w:hanging="420"/>
      </w:pPr>
    </w:lvl>
    <w:lvl w:ilvl="5" w:tplc="0409001B" w:tentative="1">
      <w:start w:val="1"/>
      <w:numFmt w:val="lowerRoman"/>
      <w:lvlText w:val="%6."/>
      <w:lvlJc w:val="right"/>
      <w:pPr>
        <w:tabs>
          <w:tab w:val="num" w:pos="2933"/>
        </w:tabs>
        <w:ind w:left="2933" w:hanging="420"/>
      </w:pPr>
    </w:lvl>
    <w:lvl w:ilvl="6" w:tplc="0409000F" w:tentative="1">
      <w:start w:val="1"/>
      <w:numFmt w:val="decimal"/>
      <w:lvlText w:val="%7."/>
      <w:lvlJc w:val="left"/>
      <w:pPr>
        <w:tabs>
          <w:tab w:val="num" w:pos="3353"/>
        </w:tabs>
        <w:ind w:left="3353" w:hanging="420"/>
      </w:pPr>
    </w:lvl>
    <w:lvl w:ilvl="7" w:tplc="04090019" w:tentative="1">
      <w:start w:val="1"/>
      <w:numFmt w:val="lowerLetter"/>
      <w:lvlText w:val="%8)"/>
      <w:lvlJc w:val="left"/>
      <w:pPr>
        <w:tabs>
          <w:tab w:val="num" w:pos="3773"/>
        </w:tabs>
        <w:ind w:left="3773" w:hanging="420"/>
      </w:pPr>
    </w:lvl>
    <w:lvl w:ilvl="8" w:tplc="0409001B" w:tentative="1">
      <w:start w:val="1"/>
      <w:numFmt w:val="lowerRoman"/>
      <w:lvlText w:val="%9."/>
      <w:lvlJc w:val="right"/>
      <w:pPr>
        <w:tabs>
          <w:tab w:val="num" w:pos="4193"/>
        </w:tabs>
        <w:ind w:left="4193" w:hanging="420"/>
      </w:pPr>
    </w:lvl>
  </w:abstractNum>
  <w:abstractNum w:abstractNumId="1" w15:restartNumberingAfterBreak="0">
    <w:nsid w:val="22A25455"/>
    <w:multiLevelType w:val="hybridMultilevel"/>
    <w:tmpl w:val="AC8281E6"/>
    <w:lvl w:ilvl="0" w:tplc="643251D4">
      <w:start w:val="1"/>
      <w:numFmt w:val="decimal"/>
      <w:lvlText w:val="%1"/>
      <w:lvlJc w:val="left"/>
      <w:pPr>
        <w:tabs>
          <w:tab w:val="num" w:pos="465"/>
        </w:tabs>
        <w:ind w:left="465" w:hanging="360"/>
      </w:pPr>
      <w:rPr>
        <w:rFonts w:hint="default"/>
      </w:rPr>
    </w:lvl>
    <w:lvl w:ilvl="1" w:tplc="04090019" w:tentative="1">
      <w:start w:val="1"/>
      <w:numFmt w:val="lowerLetter"/>
      <w:lvlText w:val="%2)"/>
      <w:lvlJc w:val="left"/>
      <w:pPr>
        <w:tabs>
          <w:tab w:val="num" w:pos="945"/>
        </w:tabs>
        <w:ind w:left="945" w:hanging="420"/>
      </w:pPr>
    </w:lvl>
    <w:lvl w:ilvl="2" w:tplc="0409001B" w:tentative="1">
      <w:start w:val="1"/>
      <w:numFmt w:val="lowerRoman"/>
      <w:lvlText w:val="%3."/>
      <w:lvlJc w:val="right"/>
      <w:pPr>
        <w:tabs>
          <w:tab w:val="num" w:pos="1365"/>
        </w:tabs>
        <w:ind w:left="1365" w:hanging="420"/>
      </w:pPr>
    </w:lvl>
    <w:lvl w:ilvl="3" w:tplc="0409000F" w:tentative="1">
      <w:start w:val="1"/>
      <w:numFmt w:val="decimal"/>
      <w:lvlText w:val="%4."/>
      <w:lvlJc w:val="left"/>
      <w:pPr>
        <w:tabs>
          <w:tab w:val="num" w:pos="1785"/>
        </w:tabs>
        <w:ind w:left="1785" w:hanging="420"/>
      </w:pPr>
    </w:lvl>
    <w:lvl w:ilvl="4" w:tplc="04090019" w:tentative="1">
      <w:start w:val="1"/>
      <w:numFmt w:val="lowerLetter"/>
      <w:lvlText w:val="%5)"/>
      <w:lvlJc w:val="left"/>
      <w:pPr>
        <w:tabs>
          <w:tab w:val="num" w:pos="2205"/>
        </w:tabs>
        <w:ind w:left="2205" w:hanging="420"/>
      </w:pPr>
    </w:lvl>
    <w:lvl w:ilvl="5" w:tplc="0409001B" w:tentative="1">
      <w:start w:val="1"/>
      <w:numFmt w:val="lowerRoman"/>
      <w:lvlText w:val="%6."/>
      <w:lvlJc w:val="right"/>
      <w:pPr>
        <w:tabs>
          <w:tab w:val="num" w:pos="2625"/>
        </w:tabs>
        <w:ind w:left="2625" w:hanging="420"/>
      </w:pPr>
    </w:lvl>
    <w:lvl w:ilvl="6" w:tplc="0409000F" w:tentative="1">
      <w:start w:val="1"/>
      <w:numFmt w:val="decimal"/>
      <w:lvlText w:val="%7."/>
      <w:lvlJc w:val="left"/>
      <w:pPr>
        <w:tabs>
          <w:tab w:val="num" w:pos="3045"/>
        </w:tabs>
        <w:ind w:left="3045" w:hanging="420"/>
      </w:pPr>
    </w:lvl>
    <w:lvl w:ilvl="7" w:tplc="04090019" w:tentative="1">
      <w:start w:val="1"/>
      <w:numFmt w:val="lowerLetter"/>
      <w:lvlText w:val="%8)"/>
      <w:lvlJc w:val="left"/>
      <w:pPr>
        <w:tabs>
          <w:tab w:val="num" w:pos="3465"/>
        </w:tabs>
        <w:ind w:left="3465" w:hanging="420"/>
      </w:pPr>
    </w:lvl>
    <w:lvl w:ilvl="8" w:tplc="0409001B" w:tentative="1">
      <w:start w:val="1"/>
      <w:numFmt w:val="lowerRoman"/>
      <w:lvlText w:val="%9."/>
      <w:lvlJc w:val="right"/>
      <w:pPr>
        <w:tabs>
          <w:tab w:val="num" w:pos="3885"/>
        </w:tabs>
        <w:ind w:left="3885" w:hanging="420"/>
      </w:pPr>
    </w:lvl>
  </w:abstractNum>
  <w:abstractNum w:abstractNumId="2" w15:restartNumberingAfterBreak="0">
    <w:nsid w:val="6A9F354E"/>
    <w:multiLevelType w:val="hybridMultilevel"/>
    <w:tmpl w:val="3E34CC9E"/>
    <w:lvl w:ilvl="0" w:tplc="3E489E08">
      <w:start w:val="4"/>
      <w:numFmt w:val="decimal"/>
      <w:lvlText w:val="%1"/>
      <w:lvlJc w:val="left"/>
      <w:pPr>
        <w:tabs>
          <w:tab w:val="num" w:pos="465"/>
        </w:tabs>
        <w:ind w:left="465" w:hanging="360"/>
      </w:pPr>
      <w:rPr>
        <w:rFonts w:hint="default"/>
      </w:rPr>
    </w:lvl>
    <w:lvl w:ilvl="1" w:tplc="04090019" w:tentative="1">
      <w:start w:val="1"/>
      <w:numFmt w:val="lowerLetter"/>
      <w:lvlText w:val="%2)"/>
      <w:lvlJc w:val="left"/>
      <w:pPr>
        <w:tabs>
          <w:tab w:val="num" w:pos="945"/>
        </w:tabs>
        <w:ind w:left="945" w:hanging="420"/>
      </w:pPr>
    </w:lvl>
    <w:lvl w:ilvl="2" w:tplc="0409001B" w:tentative="1">
      <w:start w:val="1"/>
      <w:numFmt w:val="lowerRoman"/>
      <w:lvlText w:val="%3."/>
      <w:lvlJc w:val="right"/>
      <w:pPr>
        <w:tabs>
          <w:tab w:val="num" w:pos="1365"/>
        </w:tabs>
        <w:ind w:left="1365" w:hanging="420"/>
      </w:pPr>
    </w:lvl>
    <w:lvl w:ilvl="3" w:tplc="0409000F" w:tentative="1">
      <w:start w:val="1"/>
      <w:numFmt w:val="decimal"/>
      <w:lvlText w:val="%4."/>
      <w:lvlJc w:val="left"/>
      <w:pPr>
        <w:tabs>
          <w:tab w:val="num" w:pos="1785"/>
        </w:tabs>
        <w:ind w:left="1785" w:hanging="420"/>
      </w:pPr>
    </w:lvl>
    <w:lvl w:ilvl="4" w:tplc="04090019" w:tentative="1">
      <w:start w:val="1"/>
      <w:numFmt w:val="lowerLetter"/>
      <w:lvlText w:val="%5)"/>
      <w:lvlJc w:val="left"/>
      <w:pPr>
        <w:tabs>
          <w:tab w:val="num" w:pos="2205"/>
        </w:tabs>
        <w:ind w:left="2205" w:hanging="420"/>
      </w:pPr>
    </w:lvl>
    <w:lvl w:ilvl="5" w:tplc="0409001B" w:tentative="1">
      <w:start w:val="1"/>
      <w:numFmt w:val="lowerRoman"/>
      <w:lvlText w:val="%6."/>
      <w:lvlJc w:val="right"/>
      <w:pPr>
        <w:tabs>
          <w:tab w:val="num" w:pos="2625"/>
        </w:tabs>
        <w:ind w:left="2625" w:hanging="420"/>
      </w:pPr>
    </w:lvl>
    <w:lvl w:ilvl="6" w:tplc="0409000F" w:tentative="1">
      <w:start w:val="1"/>
      <w:numFmt w:val="decimal"/>
      <w:lvlText w:val="%7."/>
      <w:lvlJc w:val="left"/>
      <w:pPr>
        <w:tabs>
          <w:tab w:val="num" w:pos="3045"/>
        </w:tabs>
        <w:ind w:left="3045" w:hanging="420"/>
      </w:pPr>
    </w:lvl>
    <w:lvl w:ilvl="7" w:tplc="04090019" w:tentative="1">
      <w:start w:val="1"/>
      <w:numFmt w:val="lowerLetter"/>
      <w:lvlText w:val="%8)"/>
      <w:lvlJc w:val="left"/>
      <w:pPr>
        <w:tabs>
          <w:tab w:val="num" w:pos="3465"/>
        </w:tabs>
        <w:ind w:left="3465" w:hanging="420"/>
      </w:pPr>
    </w:lvl>
    <w:lvl w:ilvl="8" w:tplc="0409001B" w:tentative="1">
      <w:start w:val="1"/>
      <w:numFmt w:val="lowerRoman"/>
      <w:lvlText w:val="%9."/>
      <w:lvlJc w:val="right"/>
      <w:pPr>
        <w:tabs>
          <w:tab w:val="num" w:pos="3885"/>
        </w:tabs>
        <w:ind w:left="3885" w:hanging="420"/>
      </w:pPr>
    </w:lvl>
  </w:abstractNum>
  <w:abstractNum w:abstractNumId="3" w15:restartNumberingAfterBreak="0">
    <w:nsid w:val="79284F12"/>
    <w:multiLevelType w:val="hybridMultilevel"/>
    <w:tmpl w:val="815E5F24"/>
    <w:lvl w:ilvl="0" w:tplc="FD72CB08">
      <w:start w:val="1"/>
      <w:numFmt w:val="japaneseCounting"/>
      <w:lvlText w:val="（%1）"/>
      <w:lvlJc w:val="left"/>
      <w:pPr>
        <w:tabs>
          <w:tab w:val="num" w:pos="931"/>
        </w:tabs>
        <w:ind w:left="931" w:hanging="720"/>
      </w:pPr>
      <w:rPr>
        <w:rFonts w:hint="default"/>
      </w:rPr>
    </w:lvl>
    <w:lvl w:ilvl="1" w:tplc="04090019" w:tentative="1">
      <w:start w:val="1"/>
      <w:numFmt w:val="lowerLetter"/>
      <w:lvlText w:val="%2)"/>
      <w:lvlJc w:val="left"/>
      <w:pPr>
        <w:tabs>
          <w:tab w:val="num" w:pos="1051"/>
        </w:tabs>
        <w:ind w:left="1051" w:hanging="420"/>
      </w:pPr>
    </w:lvl>
    <w:lvl w:ilvl="2" w:tplc="0409001B" w:tentative="1">
      <w:start w:val="1"/>
      <w:numFmt w:val="lowerRoman"/>
      <w:lvlText w:val="%3."/>
      <w:lvlJc w:val="right"/>
      <w:pPr>
        <w:tabs>
          <w:tab w:val="num" w:pos="1471"/>
        </w:tabs>
        <w:ind w:left="1471" w:hanging="420"/>
      </w:pPr>
    </w:lvl>
    <w:lvl w:ilvl="3" w:tplc="0409000F" w:tentative="1">
      <w:start w:val="1"/>
      <w:numFmt w:val="decimal"/>
      <w:lvlText w:val="%4."/>
      <w:lvlJc w:val="left"/>
      <w:pPr>
        <w:tabs>
          <w:tab w:val="num" w:pos="1891"/>
        </w:tabs>
        <w:ind w:left="1891" w:hanging="420"/>
      </w:pPr>
    </w:lvl>
    <w:lvl w:ilvl="4" w:tplc="04090019" w:tentative="1">
      <w:start w:val="1"/>
      <w:numFmt w:val="lowerLetter"/>
      <w:lvlText w:val="%5)"/>
      <w:lvlJc w:val="left"/>
      <w:pPr>
        <w:tabs>
          <w:tab w:val="num" w:pos="2311"/>
        </w:tabs>
        <w:ind w:left="2311" w:hanging="420"/>
      </w:pPr>
    </w:lvl>
    <w:lvl w:ilvl="5" w:tplc="0409001B" w:tentative="1">
      <w:start w:val="1"/>
      <w:numFmt w:val="lowerRoman"/>
      <w:lvlText w:val="%6."/>
      <w:lvlJc w:val="right"/>
      <w:pPr>
        <w:tabs>
          <w:tab w:val="num" w:pos="2731"/>
        </w:tabs>
        <w:ind w:left="2731" w:hanging="420"/>
      </w:pPr>
    </w:lvl>
    <w:lvl w:ilvl="6" w:tplc="0409000F" w:tentative="1">
      <w:start w:val="1"/>
      <w:numFmt w:val="decimal"/>
      <w:lvlText w:val="%7."/>
      <w:lvlJc w:val="left"/>
      <w:pPr>
        <w:tabs>
          <w:tab w:val="num" w:pos="3151"/>
        </w:tabs>
        <w:ind w:left="3151" w:hanging="420"/>
      </w:pPr>
    </w:lvl>
    <w:lvl w:ilvl="7" w:tplc="04090019" w:tentative="1">
      <w:start w:val="1"/>
      <w:numFmt w:val="lowerLetter"/>
      <w:lvlText w:val="%8)"/>
      <w:lvlJc w:val="left"/>
      <w:pPr>
        <w:tabs>
          <w:tab w:val="num" w:pos="3571"/>
        </w:tabs>
        <w:ind w:left="3571" w:hanging="420"/>
      </w:pPr>
    </w:lvl>
    <w:lvl w:ilvl="8" w:tplc="0409001B" w:tentative="1">
      <w:start w:val="1"/>
      <w:numFmt w:val="lowerRoman"/>
      <w:lvlText w:val="%9."/>
      <w:lvlJc w:val="right"/>
      <w:pPr>
        <w:tabs>
          <w:tab w:val="num" w:pos="3991"/>
        </w:tabs>
        <w:ind w:left="3991" w:hanging="42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92A"/>
    <w:rsid w:val="00000176"/>
    <w:rsid w:val="000005EB"/>
    <w:rsid w:val="00000BFC"/>
    <w:rsid w:val="00000E1C"/>
    <w:rsid w:val="000172E7"/>
    <w:rsid w:val="00021F9A"/>
    <w:rsid w:val="000241CD"/>
    <w:rsid w:val="00042BAD"/>
    <w:rsid w:val="00047245"/>
    <w:rsid w:val="00064317"/>
    <w:rsid w:val="00072717"/>
    <w:rsid w:val="0009578B"/>
    <w:rsid w:val="000A12EC"/>
    <w:rsid w:val="000A20AE"/>
    <w:rsid w:val="000B6C1A"/>
    <w:rsid w:val="000C42B3"/>
    <w:rsid w:val="000D30F1"/>
    <w:rsid w:val="000E205B"/>
    <w:rsid w:val="000F3BD4"/>
    <w:rsid w:val="0010039A"/>
    <w:rsid w:val="00120625"/>
    <w:rsid w:val="00124758"/>
    <w:rsid w:val="00143227"/>
    <w:rsid w:val="00182C45"/>
    <w:rsid w:val="001A2D77"/>
    <w:rsid w:val="001C12C4"/>
    <w:rsid w:val="001C246D"/>
    <w:rsid w:val="001D3AFE"/>
    <w:rsid w:val="002011FB"/>
    <w:rsid w:val="00211FCD"/>
    <w:rsid w:val="00216605"/>
    <w:rsid w:val="002262B8"/>
    <w:rsid w:val="00245207"/>
    <w:rsid w:val="00257554"/>
    <w:rsid w:val="0028615B"/>
    <w:rsid w:val="002A0A13"/>
    <w:rsid w:val="002B26EF"/>
    <w:rsid w:val="002B33EF"/>
    <w:rsid w:val="002B690E"/>
    <w:rsid w:val="002D70A6"/>
    <w:rsid w:val="0031145E"/>
    <w:rsid w:val="0031567F"/>
    <w:rsid w:val="00315AE3"/>
    <w:rsid w:val="00321FC0"/>
    <w:rsid w:val="003242A6"/>
    <w:rsid w:val="003336A4"/>
    <w:rsid w:val="00341E25"/>
    <w:rsid w:val="003664C0"/>
    <w:rsid w:val="003762A1"/>
    <w:rsid w:val="00376620"/>
    <w:rsid w:val="00390914"/>
    <w:rsid w:val="003A1B8A"/>
    <w:rsid w:val="003A7F98"/>
    <w:rsid w:val="003B0DD3"/>
    <w:rsid w:val="003B2F23"/>
    <w:rsid w:val="003C5F59"/>
    <w:rsid w:val="003C6FEA"/>
    <w:rsid w:val="003F3BD5"/>
    <w:rsid w:val="00401C97"/>
    <w:rsid w:val="004278DB"/>
    <w:rsid w:val="004375C2"/>
    <w:rsid w:val="00446977"/>
    <w:rsid w:val="00450D62"/>
    <w:rsid w:val="00465EF6"/>
    <w:rsid w:val="004820AD"/>
    <w:rsid w:val="0048327B"/>
    <w:rsid w:val="004A3219"/>
    <w:rsid w:val="004B003A"/>
    <w:rsid w:val="004C6F6C"/>
    <w:rsid w:val="004D1DB8"/>
    <w:rsid w:val="004F4B9A"/>
    <w:rsid w:val="004F5543"/>
    <w:rsid w:val="005101DA"/>
    <w:rsid w:val="00523198"/>
    <w:rsid w:val="00527E8E"/>
    <w:rsid w:val="00534A33"/>
    <w:rsid w:val="00550915"/>
    <w:rsid w:val="00564C4F"/>
    <w:rsid w:val="00564EB0"/>
    <w:rsid w:val="005A6858"/>
    <w:rsid w:val="005C6C66"/>
    <w:rsid w:val="005D0418"/>
    <w:rsid w:val="005D28CA"/>
    <w:rsid w:val="005D3DF9"/>
    <w:rsid w:val="005E6314"/>
    <w:rsid w:val="00600A50"/>
    <w:rsid w:val="0060279E"/>
    <w:rsid w:val="006119D6"/>
    <w:rsid w:val="00623EB2"/>
    <w:rsid w:val="00624C60"/>
    <w:rsid w:val="00637E41"/>
    <w:rsid w:val="00644EC3"/>
    <w:rsid w:val="00650BF1"/>
    <w:rsid w:val="00657377"/>
    <w:rsid w:val="006711AE"/>
    <w:rsid w:val="00686372"/>
    <w:rsid w:val="006943CA"/>
    <w:rsid w:val="00696C6A"/>
    <w:rsid w:val="006E6AC7"/>
    <w:rsid w:val="00724354"/>
    <w:rsid w:val="00726977"/>
    <w:rsid w:val="007308F8"/>
    <w:rsid w:val="0073413C"/>
    <w:rsid w:val="007431F5"/>
    <w:rsid w:val="00771320"/>
    <w:rsid w:val="007737B1"/>
    <w:rsid w:val="0078004B"/>
    <w:rsid w:val="00783238"/>
    <w:rsid w:val="00784ACE"/>
    <w:rsid w:val="0078765F"/>
    <w:rsid w:val="007A584C"/>
    <w:rsid w:val="007B0AFC"/>
    <w:rsid w:val="007E12E3"/>
    <w:rsid w:val="008328F9"/>
    <w:rsid w:val="00846ACD"/>
    <w:rsid w:val="00847E19"/>
    <w:rsid w:val="0086692A"/>
    <w:rsid w:val="00867205"/>
    <w:rsid w:val="00867B38"/>
    <w:rsid w:val="008777BE"/>
    <w:rsid w:val="00883360"/>
    <w:rsid w:val="00885877"/>
    <w:rsid w:val="008A07F7"/>
    <w:rsid w:val="008B706A"/>
    <w:rsid w:val="008B7902"/>
    <w:rsid w:val="00900939"/>
    <w:rsid w:val="00901421"/>
    <w:rsid w:val="00902ED0"/>
    <w:rsid w:val="00912F12"/>
    <w:rsid w:val="009136CB"/>
    <w:rsid w:val="00917447"/>
    <w:rsid w:val="00942AD3"/>
    <w:rsid w:val="009632AB"/>
    <w:rsid w:val="0097116E"/>
    <w:rsid w:val="00974A24"/>
    <w:rsid w:val="009750CD"/>
    <w:rsid w:val="009813E5"/>
    <w:rsid w:val="0098722A"/>
    <w:rsid w:val="009A43AA"/>
    <w:rsid w:val="009B43B1"/>
    <w:rsid w:val="009C3F56"/>
    <w:rsid w:val="009D218E"/>
    <w:rsid w:val="009D39BF"/>
    <w:rsid w:val="009E076F"/>
    <w:rsid w:val="009E47D2"/>
    <w:rsid w:val="009E5E34"/>
    <w:rsid w:val="00A10AEC"/>
    <w:rsid w:val="00A14000"/>
    <w:rsid w:val="00A1627A"/>
    <w:rsid w:val="00A3453B"/>
    <w:rsid w:val="00A529F3"/>
    <w:rsid w:val="00A6381B"/>
    <w:rsid w:val="00A648EC"/>
    <w:rsid w:val="00A70457"/>
    <w:rsid w:val="00AB0650"/>
    <w:rsid w:val="00AB57E8"/>
    <w:rsid w:val="00AD1351"/>
    <w:rsid w:val="00AD7261"/>
    <w:rsid w:val="00B06AC7"/>
    <w:rsid w:val="00B11839"/>
    <w:rsid w:val="00B1554B"/>
    <w:rsid w:val="00B279A7"/>
    <w:rsid w:val="00B33CC3"/>
    <w:rsid w:val="00B36A71"/>
    <w:rsid w:val="00B609AE"/>
    <w:rsid w:val="00B65F4B"/>
    <w:rsid w:val="00B8039E"/>
    <w:rsid w:val="00B92B7D"/>
    <w:rsid w:val="00BD03AB"/>
    <w:rsid w:val="00BE0B31"/>
    <w:rsid w:val="00C04808"/>
    <w:rsid w:val="00C26E30"/>
    <w:rsid w:val="00C33E99"/>
    <w:rsid w:val="00C461FB"/>
    <w:rsid w:val="00C54CBA"/>
    <w:rsid w:val="00C62E06"/>
    <w:rsid w:val="00CA516D"/>
    <w:rsid w:val="00CA63F4"/>
    <w:rsid w:val="00CC02E6"/>
    <w:rsid w:val="00CC3C80"/>
    <w:rsid w:val="00CD7816"/>
    <w:rsid w:val="00D12F72"/>
    <w:rsid w:val="00D1681B"/>
    <w:rsid w:val="00D170A4"/>
    <w:rsid w:val="00D17BCB"/>
    <w:rsid w:val="00D20713"/>
    <w:rsid w:val="00D31218"/>
    <w:rsid w:val="00D362A1"/>
    <w:rsid w:val="00D52612"/>
    <w:rsid w:val="00D55B1B"/>
    <w:rsid w:val="00D66B98"/>
    <w:rsid w:val="00D76467"/>
    <w:rsid w:val="00D92EB7"/>
    <w:rsid w:val="00DA33B1"/>
    <w:rsid w:val="00DB1908"/>
    <w:rsid w:val="00DB4054"/>
    <w:rsid w:val="00DB648D"/>
    <w:rsid w:val="00DC1A7B"/>
    <w:rsid w:val="00DC420E"/>
    <w:rsid w:val="00DC75D8"/>
    <w:rsid w:val="00DD7117"/>
    <w:rsid w:val="00DE2EC5"/>
    <w:rsid w:val="00E153B9"/>
    <w:rsid w:val="00E306D5"/>
    <w:rsid w:val="00E4271A"/>
    <w:rsid w:val="00E45B5B"/>
    <w:rsid w:val="00E46B3C"/>
    <w:rsid w:val="00E50C93"/>
    <w:rsid w:val="00E75CEC"/>
    <w:rsid w:val="00E91DEA"/>
    <w:rsid w:val="00E93B2A"/>
    <w:rsid w:val="00EB309F"/>
    <w:rsid w:val="00ED0E90"/>
    <w:rsid w:val="00ED3B6F"/>
    <w:rsid w:val="00ED5110"/>
    <w:rsid w:val="00EF1C00"/>
    <w:rsid w:val="00EF400C"/>
    <w:rsid w:val="00F21C54"/>
    <w:rsid w:val="00F33647"/>
    <w:rsid w:val="00F40E93"/>
    <w:rsid w:val="00F52692"/>
    <w:rsid w:val="00F55F87"/>
    <w:rsid w:val="00F86275"/>
    <w:rsid w:val="00F87A7D"/>
    <w:rsid w:val="00F93A1A"/>
    <w:rsid w:val="00F93C5C"/>
    <w:rsid w:val="00FD4EB4"/>
    <w:rsid w:val="00FD67D7"/>
    <w:rsid w:val="00FE3CB5"/>
    <w:rsid w:val="00FF14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5D1FC5"/>
  <w15:chartTrackingRefBased/>
  <w15:docId w15:val="{FE5275F9-627F-403B-A443-0CE24D567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47E1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CA516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rsid w:val="00CA516D"/>
    <w:rPr>
      <w:kern w:val="2"/>
      <w:sz w:val="18"/>
      <w:szCs w:val="18"/>
    </w:rPr>
  </w:style>
  <w:style w:type="paragraph" w:styleId="a6">
    <w:name w:val="footer"/>
    <w:basedOn w:val="a"/>
    <w:link w:val="a7"/>
    <w:rsid w:val="00CA516D"/>
    <w:pPr>
      <w:tabs>
        <w:tab w:val="center" w:pos="4153"/>
        <w:tab w:val="right" w:pos="8306"/>
      </w:tabs>
      <w:snapToGrid w:val="0"/>
      <w:jc w:val="left"/>
    </w:pPr>
    <w:rPr>
      <w:sz w:val="18"/>
      <w:szCs w:val="18"/>
    </w:rPr>
  </w:style>
  <w:style w:type="character" w:customStyle="1" w:styleId="a7">
    <w:name w:val="页脚 字符"/>
    <w:basedOn w:val="a0"/>
    <w:link w:val="a6"/>
    <w:rsid w:val="00CA516D"/>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463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__.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__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__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___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___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___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336134453781514"/>
          <c:y val="0.11891891891891893"/>
          <c:w val="0.57563025210084029"/>
          <c:h val="0.56756756756756754"/>
        </c:manualLayout>
      </c:layout>
      <c:lineChart>
        <c:grouping val="standard"/>
        <c:varyColors val="0"/>
        <c:ser>
          <c:idx val="0"/>
          <c:order val="0"/>
          <c:tx>
            <c:strRef>
              <c:f>Sheet1!$B$1</c:f>
              <c:strCache>
                <c:ptCount val="1"/>
                <c:pt idx="0">
                  <c:v>销售净利率</c:v>
                </c:pt>
              </c:strCache>
            </c:strRef>
          </c:tx>
          <c:spPr>
            <a:ln w="12701">
              <a:solidFill>
                <a:srgbClr val="000080"/>
              </a:solidFill>
              <a:prstDash val="solid"/>
            </a:ln>
          </c:spPr>
          <c:marker>
            <c:symbol val="diamond"/>
            <c:size val="5"/>
            <c:spPr>
              <a:solidFill>
                <a:srgbClr val="000080"/>
              </a:solidFill>
              <a:ln>
                <a:solidFill>
                  <a:srgbClr val="000080"/>
                </a:solidFill>
                <a:prstDash val="solid"/>
              </a:ln>
            </c:spPr>
          </c:marker>
          <c:cat>
            <c:numRef>
              <c:f>Sheet1!$A$2:$A$21</c:f>
              <c:numCache>
                <c:formatCode>General</c:formatCode>
                <c:ptCount val="20"/>
                <c:pt idx="0">
                  <c:v>2012</c:v>
                </c:pt>
                <c:pt idx="1">
                  <c:v>2011</c:v>
                </c:pt>
                <c:pt idx="2">
                  <c:v>2010</c:v>
                </c:pt>
                <c:pt idx="3">
                  <c:v>2009</c:v>
                </c:pt>
                <c:pt idx="4">
                  <c:v>2008</c:v>
                </c:pt>
                <c:pt idx="5">
                  <c:v>2007</c:v>
                </c:pt>
                <c:pt idx="6">
                  <c:v>2006</c:v>
                </c:pt>
                <c:pt idx="7">
                  <c:v>2005</c:v>
                </c:pt>
                <c:pt idx="8">
                  <c:v>2004</c:v>
                </c:pt>
                <c:pt idx="9">
                  <c:v>2003</c:v>
                </c:pt>
                <c:pt idx="10">
                  <c:v>2002</c:v>
                </c:pt>
                <c:pt idx="11">
                  <c:v>2001</c:v>
                </c:pt>
                <c:pt idx="12">
                  <c:v>2000</c:v>
                </c:pt>
                <c:pt idx="13">
                  <c:v>1999</c:v>
                </c:pt>
                <c:pt idx="14">
                  <c:v>1998</c:v>
                </c:pt>
                <c:pt idx="15">
                  <c:v>1997</c:v>
                </c:pt>
                <c:pt idx="16">
                  <c:v>1996</c:v>
                </c:pt>
                <c:pt idx="17">
                  <c:v>1995</c:v>
                </c:pt>
                <c:pt idx="18">
                  <c:v>1994</c:v>
                </c:pt>
                <c:pt idx="19">
                  <c:v>1993</c:v>
                </c:pt>
              </c:numCache>
            </c:numRef>
          </c:cat>
          <c:val>
            <c:numRef>
              <c:f>Sheet1!$B$2:$B$21</c:f>
              <c:numCache>
                <c:formatCode>0.00%</c:formatCode>
                <c:ptCount val="20"/>
                <c:pt idx="0">
                  <c:v>4.0899999999999999E-2</c:v>
                </c:pt>
                <c:pt idx="1">
                  <c:v>3.6499999999999998E-2</c:v>
                </c:pt>
                <c:pt idx="2">
                  <c:v>4.02E-2</c:v>
                </c:pt>
                <c:pt idx="3">
                  <c:v>3.9699999999999999E-2</c:v>
                </c:pt>
                <c:pt idx="4">
                  <c:v>3.2199999999999999E-2</c:v>
                </c:pt>
                <c:pt idx="5">
                  <c:v>3.5099999999999999E-2</c:v>
                </c:pt>
                <c:pt idx="6">
                  <c:v>5.1999999999999998E-2</c:v>
                </c:pt>
                <c:pt idx="7">
                  <c:v>1.4500000000000001E-2</c:v>
                </c:pt>
                <c:pt idx="8">
                  <c:v>2.41E-2</c:v>
                </c:pt>
                <c:pt idx="9">
                  <c:v>3.1600000000000003E-2</c:v>
                </c:pt>
                <c:pt idx="10">
                  <c:v>3.44E-2</c:v>
                </c:pt>
                <c:pt idx="11">
                  <c:v>5.3999999999999999E-2</c:v>
                </c:pt>
                <c:pt idx="12">
                  <c:v>8.7800000000000003E-2</c:v>
                </c:pt>
                <c:pt idx="13">
                  <c:v>7.8200000000000006E-2</c:v>
                </c:pt>
                <c:pt idx="14">
                  <c:v>7.17E-2</c:v>
                </c:pt>
                <c:pt idx="15">
                  <c:v>6.3899999999999998E-2</c:v>
                </c:pt>
                <c:pt idx="16">
                  <c:v>6.7400000000000002E-2</c:v>
                </c:pt>
                <c:pt idx="17">
                  <c:v>7.6700000000000004E-2</c:v>
                </c:pt>
                <c:pt idx="18">
                  <c:v>0.1041</c:v>
                </c:pt>
                <c:pt idx="19">
                  <c:v>8.7400000000000005E-2</c:v>
                </c:pt>
              </c:numCache>
            </c:numRef>
          </c:val>
          <c:smooth val="0"/>
          <c:extLst>
            <c:ext xmlns:c16="http://schemas.microsoft.com/office/drawing/2014/chart" uri="{C3380CC4-5D6E-409C-BE32-E72D297353CC}">
              <c16:uniqueId val="{00000000-B48F-484F-856A-55A605578A8E}"/>
            </c:ext>
          </c:extLst>
        </c:ser>
        <c:ser>
          <c:idx val="1"/>
          <c:order val="1"/>
          <c:tx>
            <c:strRef>
              <c:f>Sheet1!$C$1</c:f>
              <c:strCache>
                <c:ptCount val="1"/>
                <c:pt idx="0">
                  <c:v>资产周转率</c:v>
                </c:pt>
              </c:strCache>
            </c:strRef>
          </c:tx>
          <c:spPr>
            <a:ln w="12701">
              <a:solidFill>
                <a:srgbClr val="FF00FF"/>
              </a:solidFill>
              <a:prstDash val="solid"/>
            </a:ln>
          </c:spPr>
          <c:marker>
            <c:symbol val="square"/>
            <c:size val="5"/>
            <c:spPr>
              <a:solidFill>
                <a:srgbClr val="FF00FF"/>
              </a:solidFill>
              <a:ln>
                <a:solidFill>
                  <a:srgbClr val="FF00FF"/>
                </a:solidFill>
                <a:prstDash val="solid"/>
              </a:ln>
            </c:spPr>
          </c:marker>
          <c:cat>
            <c:numRef>
              <c:f>Sheet1!$A$2:$A$21</c:f>
              <c:numCache>
                <c:formatCode>General</c:formatCode>
                <c:ptCount val="20"/>
                <c:pt idx="0">
                  <c:v>2012</c:v>
                </c:pt>
                <c:pt idx="1">
                  <c:v>2011</c:v>
                </c:pt>
                <c:pt idx="2">
                  <c:v>2010</c:v>
                </c:pt>
                <c:pt idx="3">
                  <c:v>2009</c:v>
                </c:pt>
                <c:pt idx="4">
                  <c:v>2008</c:v>
                </c:pt>
                <c:pt idx="5">
                  <c:v>2007</c:v>
                </c:pt>
                <c:pt idx="6">
                  <c:v>2006</c:v>
                </c:pt>
                <c:pt idx="7">
                  <c:v>2005</c:v>
                </c:pt>
                <c:pt idx="8">
                  <c:v>2004</c:v>
                </c:pt>
                <c:pt idx="9">
                  <c:v>2003</c:v>
                </c:pt>
                <c:pt idx="10">
                  <c:v>2002</c:v>
                </c:pt>
                <c:pt idx="11">
                  <c:v>2001</c:v>
                </c:pt>
                <c:pt idx="12">
                  <c:v>2000</c:v>
                </c:pt>
                <c:pt idx="13">
                  <c:v>1999</c:v>
                </c:pt>
                <c:pt idx="14">
                  <c:v>1998</c:v>
                </c:pt>
                <c:pt idx="15">
                  <c:v>1997</c:v>
                </c:pt>
                <c:pt idx="16">
                  <c:v>1996</c:v>
                </c:pt>
                <c:pt idx="17">
                  <c:v>1995</c:v>
                </c:pt>
                <c:pt idx="18">
                  <c:v>1994</c:v>
                </c:pt>
                <c:pt idx="19">
                  <c:v>1993</c:v>
                </c:pt>
              </c:numCache>
            </c:numRef>
          </c:cat>
          <c:val>
            <c:numRef>
              <c:f>Sheet1!$C$2:$C$21</c:f>
              <c:numCache>
                <c:formatCode>0.00%</c:formatCode>
                <c:ptCount val="20"/>
                <c:pt idx="0">
                  <c:v>1.7899999999999999E-2</c:v>
                </c:pt>
                <c:pt idx="1">
                  <c:v>2.06E-2</c:v>
                </c:pt>
                <c:pt idx="2">
                  <c:v>1.09E-2</c:v>
                </c:pt>
                <c:pt idx="3">
                  <c:v>1.5900000000000001E-2</c:v>
                </c:pt>
                <c:pt idx="4">
                  <c:v>1.52E-2</c:v>
                </c:pt>
                <c:pt idx="5">
                  <c:v>1.6299999999999999E-2</c:v>
                </c:pt>
                <c:pt idx="6">
                  <c:v>1.21E-2</c:v>
                </c:pt>
                <c:pt idx="7">
                  <c:v>2.4400000000000002E-2</c:v>
                </c:pt>
                <c:pt idx="8">
                  <c:v>2.1499999999999998E-2</c:v>
                </c:pt>
                <c:pt idx="9">
                  <c:v>1.5900000000000001E-2</c:v>
                </c:pt>
                <c:pt idx="10">
                  <c:v>1.5599999999999999E-2</c:v>
                </c:pt>
                <c:pt idx="11">
                  <c:v>1.6500000000000001E-2</c:v>
                </c:pt>
                <c:pt idx="12">
                  <c:v>1.2E-2</c:v>
                </c:pt>
                <c:pt idx="13">
                  <c:v>1.0500000000000001E-2</c:v>
                </c:pt>
                <c:pt idx="14">
                  <c:v>1.11E-2</c:v>
                </c:pt>
                <c:pt idx="15">
                  <c:v>1.1299999999999999E-2</c:v>
                </c:pt>
                <c:pt idx="16">
                  <c:v>2.01E-2</c:v>
                </c:pt>
                <c:pt idx="17">
                  <c:v>1.5699999999999999E-2</c:v>
                </c:pt>
                <c:pt idx="18">
                  <c:v>1.15E-2</c:v>
                </c:pt>
                <c:pt idx="19">
                  <c:v>1.0699999999999999E-2</c:v>
                </c:pt>
              </c:numCache>
            </c:numRef>
          </c:val>
          <c:smooth val="0"/>
          <c:extLst>
            <c:ext xmlns:c16="http://schemas.microsoft.com/office/drawing/2014/chart" uri="{C3380CC4-5D6E-409C-BE32-E72D297353CC}">
              <c16:uniqueId val="{00000001-B48F-484F-856A-55A605578A8E}"/>
            </c:ext>
          </c:extLst>
        </c:ser>
        <c:ser>
          <c:idx val="2"/>
          <c:order val="2"/>
          <c:tx>
            <c:strRef>
              <c:f>Sheet1!$D$1</c:f>
              <c:strCache>
                <c:ptCount val="1"/>
                <c:pt idx="0">
                  <c:v>权益乘数</c:v>
                </c:pt>
              </c:strCache>
            </c:strRef>
          </c:tx>
          <c:spPr>
            <a:ln w="12701">
              <a:solidFill>
                <a:srgbClr val="FFFF00"/>
              </a:solidFill>
              <a:prstDash val="solid"/>
            </a:ln>
          </c:spPr>
          <c:marker>
            <c:symbol val="triangle"/>
            <c:size val="5"/>
            <c:spPr>
              <a:solidFill>
                <a:srgbClr val="FFFF00"/>
              </a:solidFill>
              <a:ln>
                <a:solidFill>
                  <a:srgbClr val="FFFF00"/>
                </a:solidFill>
                <a:prstDash val="solid"/>
              </a:ln>
            </c:spPr>
          </c:marker>
          <c:cat>
            <c:numRef>
              <c:f>Sheet1!$A$2:$A$21</c:f>
              <c:numCache>
                <c:formatCode>General</c:formatCode>
                <c:ptCount val="20"/>
                <c:pt idx="0">
                  <c:v>2012</c:v>
                </c:pt>
                <c:pt idx="1">
                  <c:v>2011</c:v>
                </c:pt>
                <c:pt idx="2">
                  <c:v>2010</c:v>
                </c:pt>
                <c:pt idx="3">
                  <c:v>2009</c:v>
                </c:pt>
                <c:pt idx="4">
                  <c:v>2008</c:v>
                </c:pt>
                <c:pt idx="5">
                  <c:v>2007</c:v>
                </c:pt>
                <c:pt idx="6">
                  <c:v>2006</c:v>
                </c:pt>
                <c:pt idx="7">
                  <c:v>2005</c:v>
                </c:pt>
                <c:pt idx="8">
                  <c:v>2004</c:v>
                </c:pt>
                <c:pt idx="9">
                  <c:v>2003</c:v>
                </c:pt>
                <c:pt idx="10">
                  <c:v>2002</c:v>
                </c:pt>
                <c:pt idx="11">
                  <c:v>2001</c:v>
                </c:pt>
                <c:pt idx="12">
                  <c:v>2000</c:v>
                </c:pt>
                <c:pt idx="13">
                  <c:v>1999</c:v>
                </c:pt>
                <c:pt idx="14">
                  <c:v>1998</c:v>
                </c:pt>
                <c:pt idx="15">
                  <c:v>1997</c:v>
                </c:pt>
                <c:pt idx="16">
                  <c:v>1996</c:v>
                </c:pt>
                <c:pt idx="17">
                  <c:v>1995</c:v>
                </c:pt>
                <c:pt idx="18">
                  <c:v>1994</c:v>
                </c:pt>
                <c:pt idx="19">
                  <c:v>1993</c:v>
                </c:pt>
              </c:numCache>
            </c:numRef>
          </c:cat>
          <c:val>
            <c:numRef>
              <c:f>Sheet1!$D$2:$D$21</c:f>
              <c:numCache>
                <c:formatCode>0.00%</c:formatCode>
                <c:ptCount val="20"/>
                <c:pt idx="0">
                  <c:v>1.15E-2</c:v>
                </c:pt>
                <c:pt idx="1">
                  <c:v>1.12E-2</c:v>
                </c:pt>
                <c:pt idx="2">
                  <c:v>1.21E-2</c:v>
                </c:pt>
                <c:pt idx="3">
                  <c:v>1.29E-2</c:v>
                </c:pt>
                <c:pt idx="4">
                  <c:v>1.49E-2</c:v>
                </c:pt>
                <c:pt idx="5">
                  <c:v>1.43E-2</c:v>
                </c:pt>
                <c:pt idx="6">
                  <c:v>1.3299999999999999E-2</c:v>
                </c:pt>
                <c:pt idx="7">
                  <c:v>1.21E-2</c:v>
                </c:pt>
                <c:pt idx="8">
                  <c:v>1.24E-2</c:v>
                </c:pt>
                <c:pt idx="9">
                  <c:v>1.37E-2</c:v>
                </c:pt>
                <c:pt idx="10">
                  <c:v>1.4500000000000001E-2</c:v>
                </c:pt>
                <c:pt idx="11">
                  <c:v>1.41E-2</c:v>
                </c:pt>
                <c:pt idx="12">
                  <c:v>1.41E-2</c:v>
                </c:pt>
                <c:pt idx="13">
                  <c:v>1.46E-2</c:v>
                </c:pt>
                <c:pt idx="14">
                  <c:v>1.8599999999999998E-2</c:v>
                </c:pt>
                <c:pt idx="15">
                  <c:v>2.12E-2</c:v>
                </c:pt>
                <c:pt idx="16">
                  <c:v>1.4500000000000001E-2</c:v>
                </c:pt>
                <c:pt idx="17">
                  <c:v>1.5900000000000001E-2</c:v>
                </c:pt>
                <c:pt idx="18">
                  <c:v>1.21E-2</c:v>
                </c:pt>
                <c:pt idx="19">
                  <c:v>1.3100000000000001E-2</c:v>
                </c:pt>
              </c:numCache>
            </c:numRef>
          </c:val>
          <c:smooth val="0"/>
          <c:extLst>
            <c:ext xmlns:c16="http://schemas.microsoft.com/office/drawing/2014/chart" uri="{C3380CC4-5D6E-409C-BE32-E72D297353CC}">
              <c16:uniqueId val="{00000002-B48F-484F-856A-55A605578A8E}"/>
            </c:ext>
          </c:extLst>
        </c:ser>
        <c:ser>
          <c:idx val="3"/>
          <c:order val="3"/>
          <c:tx>
            <c:strRef>
              <c:f>Sheet1!$E$1</c:f>
              <c:strCache>
                <c:ptCount val="1"/>
                <c:pt idx="0">
                  <c:v>ROE</c:v>
                </c:pt>
              </c:strCache>
            </c:strRef>
          </c:tx>
          <c:spPr>
            <a:ln w="12701">
              <a:solidFill>
                <a:srgbClr val="00FFFF"/>
              </a:solidFill>
              <a:prstDash val="solid"/>
            </a:ln>
          </c:spPr>
          <c:marker>
            <c:symbol val="x"/>
            <c:size val="5"/>
            <c:spPr>
              <a:noFill/>
              <a:ln>
                <a:solidFill>
                  <a:srgbClr val="00FFFF"/>
                </a:solidFill>
                <a:prstDash val="solid"/>
              </a:ln>
            </c:spPr>
          </c:marker>
          <c:cat>
            <c:numRef>
              <c:f>Sheet1!$A$2:$A$21</c:f>
              <c:numCache>
                <c:formatCode>General</c:formatCode>
                <c:ptCount val="20"/>
                <c:pt idx="0">
                  <c:v>2012</c:v>
                </c:pt>
                <c:pt idx="1">
                  <c:v>2011</c:v>
                </c:pt>
                <c:pt idx="2">
                  <c:v>2010</c:v>
                </c:pt>
                <c:pt idx="3">
                  <c:v>2009</c:v>
                </c:pt>
                <c:pt idx="4">
                  <c:v>2008</c:v>
                </c:pt>
                <c:pt idx="5">
                  <c:v>2007</c:v>
                </c:pt>
                <c:pt idx="6">
                  <c:v>2006</c:v>
                </c:pt>
                <c:pt idx="7">
                  <c:v>2005</c:v>
                </c:pt>
                <c:pt idx="8">
                  <c:v>2004</c:v>
                </c:pt>
                <c:pt idx="9">
                  <c:v>2003</c:v>
                </c:pt>
                <c:pt idx="10">
                  <c:v>2002</c:v>
                </c:pt>
                <c:pt idx="11">
                  <c:v>2001</c:v>
                </c:pt>
                <c:pt idx="12">
                  <c:v>2000</c:v>
                </c:pt>
                <c:pt idx="13">
                  <c:v>1999</c:v>
                </c:pt>
                <c:pt idx="14">
                  <c:v>1998</c:v>
                </c:pt>
                <c:pt idx="15">
                  <c:v>1997</c:v>
                </c:pt>
                <c:pt idx="16">
                  <c:v>1996</c:v>
                </c:pt>
                <c:pt idx="17">
                  <c:v>1995</c:v>
                </c:pt>
                <c:pt idx="18">
                  <c:v>1994</c:v>
                </c:pt>
                <c:pt idx="19">
                  <c:v>1993</c:v>
                </c:pt>
              </c:numCache>
            </c:numRef>
          </c:cat>
          <c:val>
            <c:numRef>
              <c:f>Sheet1!$E$2:$E$21</c:f>
              <c:numCache>
                <c:formatCode>0.00%</c:formatCode>
                <c:ptCount val="20"/>
                <c:pt idx="0">
                  <c:v>8.4199999999999997E-2</c:v>
                </c:pt>
                <c:pt idx="1">
                  <c:v>8.2699999999999996E-2</c:v>
                </c:pt>
                <c:pt idx="2">
                  <c:v>5.2999999999999999E-2</c:v>
                </c:pt>
                <c:pt idx="3">
                  <c:v>8.14E-2</c:v>
                </c:pt>
                <c:pt idx="4">
                  <c:v>7.2900000000000006E-2</c:v>
                </c:pt>
                <c:pt idx="5">
                  <c:v>8.1799999999999998E-2</c:v>
                </c:pt>
                <c:pt idx="6">
                  <c:v>8.3699999999999997E-2</c:v>
                </c:pt>
                <c:pt idx="7">
                  <c:v>4.2799999999999998E-2</c:v>
                </c:pt>
                <c:pt idx="8">
                  <c:v>6.4299999999999996E-2</c:v>
                </c:pt>
                <c:pt idx="9">
                  <c:v>6.88E-2</c:v>
                </c:pt>
                <c:pt idx="10">
                  <c:v>7.7799999999999994E-2</c:v>
                </c:pt>
                <c:pt idx="11">
                  <c:v>0.12559999999999999</c:v>
                </c:pt>
                <c:pt idx="12">
                  <c:v>0.14749999999999999</c:v>
                </c:pt>
                <c:pt idx="13">
                  <c:v>0.11990000000000001</c:v>
                </c:pt>
                <c:pt idx="14">
                  <c:v>0.14799999999999999</c:v>
                </c:pt>
                <c:pt idx="15">
                  <c:v>0.15310000000000001</c:v>
                </c:pt>
                <c:pt idx="16">
                  <c:v>0.19639999999999999</c:v>
                </c:pt>
                <c:pt idx="17">
                  <c:v>0.1915</c:v>
                </c:pt>
                <c:pt idx="18">
                  <c:v>0.1449</c:v>
                </c:pt>
                <c:pt idx="19">
                  <c:v>0.1225</c:v>
                </c:pt>
              </c:numCache>
            </c:numRef>
          </c:val>
          <c:smooth val="0"/>
          <c:extLst>
            <c:ext xmlns:c16="http://schemas.microsoft.com/office/drawing/2014/chart" uri="{C3380CC4-5D6E-409C-BE32-E72D297353CC}">
              <c16:uniqueId val="{00000003-B48F-484F-856A-55A605578A8E}"/>
            </c:ext>
          </c:extLst>
        </c:ser>
        <c:dLbls>
          <c:showLegendKey val="0"/>
          <c:showVal val="0"/>
          <c:showCatName val="0"/>
          <c:showSerName val="0"/>
          <c:showPercent val="0"/>
          <c:showBubbleSize val="0"/>
        </c:dLbls>
        <c:marker val="1"/>
        <c:smooth val="0"/>
        <c:axId val="281523016"/>
        <c:axId val="281522624"/>
      </c:lineChart>
      <c:catAx>
        <c:axId val="281523016"/>
        <c:scaling>
          <c:orientation val="minMax"/>
        </c:scaling>
        <c:delete val="0"/>
        <c:axPos val="b"/>
        <c:numFmt formatCode="General" sourceLinked="1"/>
        <c:majorTickMark val="in"/>
        <c:minorTickMark val="none"/>
        <c:tickLblPos val="nextTo"/>
        <c:spPr>
          <a:ln w="3175">
            <a:solidFill>
              <a:srgbClr val="000000"/>
            </a:solidFill>
            <a:prstDash val="solid"/>
          </a:ln>
        </c:spPr>
        <c:txPr>
          <a:bodyPr rot="-2700000" vert="horz"/>
          <a:lstStyle/>
          <a:p>
            <a:pPr>
              <a:defRPr sz="1100" b="0" i="0" u="none" strike="noStrike" baseline="0">
                <a:solidFill>
                  <a:srgbClr val="000000"/>
                </a:solidFill>
                <a:latin typeface="宋体"/>
                <a:ea typeface="宋体"/>
                <a:cs typeface="宋体"/>
              </a:defRPr>
            </a:pPr>
            <a:endParaRPr lang="zh-CN"/>
          </a:p>
        </c:txPr>
        <c:crossAx val="281522624"/>
        <c:crosses val="autoZero"/>
        <c:auto val="1"/>
        <c:lblAlgn val="ctr"/>
        <c:lblOffset val="100"/>
        <c:tickLblSkip val="2"/>
        <c:tickMarkSkip val="1"/>
        <c:noMultiLvlLbl val="0"/>
      </c:catAx>
      <c:valAx>
        <c:axId val="281522624"/>
        <c:scaling>
          <c:orientation val="minMax"/>
        </c:scaling>
        <c:delete val="0"/>
        <c:axPos val="l"/>
        <c:majorGridlines>
          <c:spPr>
            <a:ln w="3175">
              <a:solidFill>
                <a:srgbClr val="000000"/>
              </a:solidFill>
              <a:prstDash val="solid"/>
            </a:ln>
          </c:spPr>
        </c:majorGridlines>
        <c:numFmt formatCode="0.00%" sourceLinked="1"/>
        <c:majorTickMark val="in"/>
        <c:minorTickMark val="none"/>
        <c:tickLblPos val="nextTo"/>
        <c:spPr>
          <a:ln w="3175">
            <a:solidFill>
              <a:srgbClr val="000000"/>
            </a:solidFill>
            <a:prstDash val="solid"/>
          </a:ln>
        </c:spPr>
        <c:txPr>
          <a:bodyPr rot="0" vert="horz"/>
          <a:lstStyle/>
          <a:p>
            <a:pPr>
              <a:defRPr sz="1100" b="0" i="0" u="none" strike="noStrike" baseline="0">
                <a:solidFill>
                  <a:srgbClr val="000000"/>
                </a:solidFill>
                <a:latin typeface="宋体"/>
                <a:ea typeface="宋体"/>
                <a:cs typeface="宋体"/>
              </a:defRPr>
            </a:pPr>
            <a:endParaRPr lang="zh-CN"/>
          </a:p>
        </c:txPr>
        <c:crossAx val="281523016"/>
        <c:crosses val="autoZero"/>
        <c:crossBetween val="between"/>
      </c:valAx>
      <c:spPr>
        <a:solidFill>
          <a:srgbClr val="C0C0C0"/>
        </a:solidFill>
        <a:ln w="12701">
          <a:solidFill>
            <a:srgbClr val="808080"/>
          </a:solidFill>
          <a:prstDash val="solid"/>
        </a:ln>
      </c:spPr>
    </c:plotArea>
    <c:legend>
      <c:legendPos val="r"/>
      <c:layout>
        <c:manualLayout>
          <c:xMode val="edge"/>
          <c:yMode val="edge"/>
          <c:x val="0.75"/>
          <c:y val="0.17837837837837839"/>
          <c:w val="0.24159663865546219"/>
          <c:h val="0.43783783783783786"/>
        </c:manualLayout>
      </c:layout>
      <c:overlay val="0"/>
      <c:spPr>
        <a:solidFill>
          <a:srgbClr val="FFFFFF"/>
        </a:solidFill>
        <a:ln w="3175">
          <a:solidFill>
            <a:srgbClr val="000000"/>
          </a:solidFill>
          <a:prstDash val="solid"/>
        </a:ln>
      </c:spPr>
      <c:txPr>
        <a:bodyPr/>
        <a:lstStyle/>
        <a:p>
          <a:pPr>
            <a:defRPr sz="1010" b="0" i="0" u="none" strike="noStrike" baseline="0">
              <a:solidFill>
                <a:srgbClr val="000000"/>
              </a:solidFill>
              <a:latin typeface="宋体"/>
              <a:ea typeface="宋体"/>
              <a:cs typeface="宋体"/>
            </a:defRPr>
          </a:pPr>
          <a:endParaRPr lang="zh-CN"/>
        </a:p>
      </c:txPr>
    </c:legend>
    <c:plotVisOnly val="1"/>
    <c:dispBlanksAs val="gap"/>
    <c:showDLblsOverMax val="0"/>
  </c:chart>
  <c:spPr>
    <a:solidFill>
      <a:srgbClr val="FFFFFF"/>
    </a:solidFill>
    <a:ln w="3175">
      <a:solidFill>
        <a:srgbClr val="000000"/>
      </a:solidFill>
      <a:prstDash val="solid"/>
    </a:ln>
  </c:spPr>
  <c:txPr>
    <a:bodyPr/>
    <a:lstStyle/>
    <a:p>
      <a:pPr>
        <a:defRPr sz="1100" b="0" i="0" u="none" strike="noStrike" baseline="0">
          <a:solidFill>
            <a:srgbClr val="000000"/>
          </a:solidFill>
          <a:latin typeface="宋体"/>
          <a:ea typeface="宋体"/>
          <a:cs typeface="宋体"/>
        </a:defRPr>
      </a:pPr>
      <a:endParaRPr lang="zh-CN"/>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0504201680672269"/>
          <c:y val="0.11891891891891893"/>
          <c:w val="0.69117647058823528"/>
          <c:h val="0.34594594594594597"/>
        </c:manualLayout>
      </c:layout>
      <c:barChart>
        <c:barDir val="col"/>
        <c:grouping val="clustered"/>
        <c:varyColors val="0"/>
        <c:ser>
          <c:idx val="0"/>
          <c:order val="0"/>
          <c:tx>
            <c:strRef>
              <c:f>Sheet1!$A$2</c:f>
              <c:strCache>
                <c:ptCount val="1"/>
                <c:pt idx="0">
                  <c:v>青岛海尔</c:v>
                </c:pt>
              </c:strCache>
            </c:strRef>
          </c:tx>
          <c:spPr>
            <a:solidFill>
              <a:srgbClr val="9999FF"/>
            </a:solidFill>
            <a:ln w="12701">
              <a:solidFill>
                <a:srgbClr val="000000"/>
              </a:solidFill>
              <a:prstDash val="solid"/>
            </a:ln>
          </c:spPr>
          <c:invertIfNegative val="0"/>
          <c:cat>
            <c:strRef>
              <c:f>Sheet1!$B$1:$E$1</c:f>
              <c:strCache>
                <c:ptCount val="4"/>
                <c:pt idx="0">
                  <c:v>净资产收益率</c:v>
                </c:pt>
                <c:pt idx="1">
                  <c:v>销售净利率</c:v>
                </c:pt>
                <c:pt idx="2">
                  <c:v>资产周转率</c:v>
                </c:pt>
                <c:pt idx="3">
                  <c:v>权益乘数</c:v>
                </c:pt>
              </c:strCache>
            </c:strRef>
          </c:cat>
          <c:val>
            <c:numRef>
              <c:f>Sheet1!$B$2:$E$2</c:f>
              <c:numCache>
                <c:formatCode>General</c:formatCode>
                <c:ptCount val="4"/>
                <c:pt idx="0">
                  <c:v>5.85</c:v>
                </c:pt>
                <c:pt idx="1">
                  <c:v>2.34</c:v>
                </c:pt>
                <c:pt idx="2">
                  <c:v>2.06</c:v>
                </c:pt>
                <c:pt idx="3">
                  <c:v>1.27</c:v>
                </c:pt>
              </c:numCache>
            </c:numRef>
          </c:val>
          <c:extLst>
            <c:ext xmlns:c16="http://schemas.microsoft.com/office/drawing/2014/chart" uri="{C3380CC4-5D6E-409C-BE32-E72D297353CC}">
              <c16:uniqueId val="{00000000-CFC0-478D-9AB2-AC2748CAD53A}"/>
            </c:ext>
          </c:extLst>
        </c:ser>
        <c:ser>
          <c:idx val="1"/>
          <c:order val="1"/>
          <c:tx>
            <c:strRef>
              <c:f>Sheet1!$A$3</c:f>
              <c:strCache>
                <c:ptCount val="1"/>
                <c:pt idx="0">
                  <c:v>格力电器</c:v>
                </c:pt>
              </c:strCache>
            </c:strRef>
          </c:tx>
          <c:spPr>
            <a:solidFill>
              <a:srgbClr val="993366"/>
            </a:solidFill>
            <a:ln w="12701">
              <a:solidFill>
                <a:srgbClr val="000000"/>
              </a:solidFill>
              <a:prstDash val="solid"/>
            </a:ln>
          </c:spPr>
          <c:invertIfNegative val="0"/>
          <c:cat>
            <c:strRef>
              <c:f>Sheet1!$B$1:$E$1</c:f>
              <c:strCache>
                <c:ptCount val="4"/>
                <c:pt idx="0">
                  <c:v>净资产收益率</c:v>
                </c:pt>
                <c:pt idx="1">
                  <c:v>销售净利率</c:v>
                </c:pt>
                <c:pt idx="2">
                  <c:v>资产周转率</c:v>
                </c:pt>
                <c:pt idx="3">
                  <c:v>权益乘数</c:v>
                </c:pt>
              </c:strCache>
            </c:strRef>
          </c:cat>
          <c:val>
            <c:numRef>
              <c:f>Sheet1!$B$3:$E$3</c:f>
              <c:numCache>
                <c:formatCode>General</c:formatCode>
                <c:ptCount val="4"/>
                <c:pt idx="0">
                  <c:v>17.14</c:v>
                </c:pt>
                <c:pt idx="1">
                  <c:v>3.06</c:v>
                </c:pt>
                <c:pt idx="2">
                  <c:v>1.24</c:v>
                </c:pt>
                <c:pt idx="3">
                  <c:v>4.57</c:v>
                </c:pt>
              </c:numCache>
            </c:numRef>
          </c:val>
          <c:extLst>
            <c:ext xmlns:c16="http://schemas.microsoft.com/office/drawing/2014/chart" uri="{C3380CC4-5D6E-409C-BE32-E72D297353CC}">
              <c16:uniqueId val="{00000001-CFC0-478D-9AB2-AC2748CAD53A}"/>
            </c:ext>
          </c:extLst>
        </c:ser>
        <c:dLbls>
          <c:showLegendKey val="0"/>
          <c:showVal val="0"/>
          <c:showCatName val="0"/>
          <c:showSerName val="0"/>
          <c:showPercent val="0"/>
          <c:showBubbleSize val="0"/>
        </c:dLbls>
        <c:gapWidth val="150"/>
        <c:axId val="281524584"/>
        <c:axId val="281524192"/>
      </c:barChart>
      <c:catAx>
        <c:axId val="281524584"/>
        <c:scaling>
          <c:orientation val="minMax"/>
        </c:scaling>
        <c:delete val="0"/>
        <c:axPos val="b"/>
        <c:numFmt formatCode="General" sourceLinked="1"/>
        <c:majorTickMark val="in"/>
        <c:minorTickMark val="none"/>
        <c:tickLblPos val="nextTo"/>
        <c:spPr>
          <a:ln w="3175">
            <a:solidFill>
              <a:srgbClr val="000000"/>
            </a:solidFill>
            <a:prstDash val="solid"/>
          </a:ln>
        </c:spPr>
        <c:txPr>
          <a:bodyPr rot="-2700000" vert="horz"/>
          <a:lstStyle/>
          <a:p>
            <a:pPr>
              <a:defRPr sz="1100" b="0" i="0" u="none" strike="noStrike" baseline="0">
                <a:solidFill>
                  <a:srgbClr val="000000"/>
                </a:solidFill>
                <a:latin typeface="宋体"/>
                <a:ea typeface="宋体"/>
                <a:cs typeface="宋体"/>
              </a:defRPr>
            </a:pPr>
            <a:endParaRPr lang="zh-CN"/>
          </a:p>
        </c:txPr>
        <c:crossAx val="281524192"/>
        <c:crosses val="autoZero"/>
        <c:auto val="1"/>
        <c:lblAlgn val="ctr"/>
        <c:lblOffset val="100"/>
        <c:tickLblSkip val="1"/>
        <c:tickMarkSkip val="1"/>
        <c:noMultiLvlLbl val="0"/>
      </c:catAx>
      <c:valAx>
        <c:axId val="281524192"/>
        <c:scaling>
          <c:orientation val="minMax"/>
        </c:scaling>
        <c:delete val="0"/>
        <c:axPos val="l"/>
        <c:majorGridlines>
          <c:spPr>
            <a:ln w="3175">
              <a:solidFill>
                <a:srgbClr val="000000"/>
              </a:solidFill>
              <a:prstDash val="solid"/>
            </a:ln>
          </c:spPr>
        </c:majorGridlines>
        <c:numFmt formatCode="General" sourceLinked="1"/>
        <c:majorTickMark val="in"/>
        <c:minorTickMark val="none"/>
        <c:tickLblPos val="nextTo"/>
        <c:spPr>
          <a:ln w="3175">
            <a:solidFill>
              <a:srgbClr val="000000"/>
            </a:solidFill>
            <a:prstDash val="solid"/>
          </a:ln>
        </c:spPr>
        <c:txPr>
          <a:bodyPr rot="0" vert="horz"/>
          <a:lstStyle/>
          <a:p>
            <a:pPr>
              <a:defRPr sz="1100" b="0" i="0" u="none" strike="noStrike" baseline="0">
                <a:solidFill>
                  <a:srgbClr val="000000"/>
                </a:solidFill>
                <a:latin typeface="宋体"/>
                <a:ea typeface="宋体"/>
                <a:cs typeface="宋体"/>
              </a:defRPr>
            </a:pPr>
            <a:endParaRPr lang="zh-CN"/>
          </a:p>
        </c:txPr>
        <c:crossAx val="281524584"/>
        <c:crosses val="autoZero"/>
        <c:crossBetween val="between"/>
      </c:valAx>
      <c:spPr>
        <a:solidFill>
          <a:srgbClr val="C0C0C0"/>
        </a:solidFill>
        <a:ln w="12701">
          <a:solidFill>
            <a:srgbClr val="808080"/>
          </a:solidFill>
          <a:prstDash val="solid"/>
        </a:ln>
      </c:spPr>
    </c:plotArea>
    <c:legend>
      <c:legendPos val="r"/>
      <c:layout>
        <c:manualLayout>
          <c:xMode val="edge"/>
          <c:yMode val="edge"/>
          <c:x val="0.8172268907563025"/>
          <c:y val="0.17837837837837839"/>
          <c:w val="0.17436974789915966"/>
          <c:h val="0.22162162162162163"/>
        </c:manualLayout>
      </c:layout>
      <c:overlay val="0"/>
      <c:spPr>
        <a:solidFill>
          <a:srgbClr val="FFFFFF"/>
        </a:solidFill>
        <a:ln w="3175">
          <a:solidFill>
            <a:srgbClr val="000000"/>
          </a:solidFill>
          <a:prstDash val="solid"/>
        </a:ln>
      </c:spPr>
      <c:txPr>
        <a:bodyPr/>
        <a:lstStyle/>
        <a:p>
          <a:pPr>
            <a:defRPr sz="1010" b="0" i="0" u="none" strike="noStrike" baseline="0">
              <a:solidFill>
                <a:srgbClr val="000000"/>
              </a:solidFill>
              <a:latin typeface="宋体"/>
              <a:ea typeface="宋体"/>
              <a:cs typeface="宋体"/>
            </a:defRPr>
          </a:pPr>
          <a:endParaRPr lang="zh-CN"/>
        </a:p>
      </c:txPr>
    </c:legend>
    <c:plotVisOnly val="1"/>
    <c:dispBlanksAs val="gap"/>
    <c:showDLblsOverMax val="0"/>
  </c:chart>
  <c:spPr>
    <a:solidFill>
      <a:srgbClr val="FFFFFF"/>
    </a:solidFill>
    <a:ln w="3175">
      <a:solidFill>
        <a:srgbClr val="000000"/>
      </a:solidFill>
      <a:prstDash val="solid"/>
    </a:ln>
  </c:spPr>
  <c:txPr>
    <a:bodyPr/>
    <a:lstStyle/>
    <a:p>
      <a:pPr>
        <a:defRPr sz="1100" b="0" i="0" u="none" strike="noStrike" baseline="0">
          <a:solidFill>
            <a:srgbClr val="000000"/>
          </a:solidFill>
          <a:latin typeface="宋体"/>
          <a:ea typeface="宋体"/>
          <a:cs typeface="宋体"/>
        </a:defRPr>
      </a:pPr>
      <a:endParaRPr lang="zh-CN"/>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336134453781514"/>
          <c:y val="0.11891891891891893"/>
          <c:w val="0.6428571428571429"/>
          <c:h val="0.35135135135135137"/>
        </c:manualLayout>
      </c:layout>
      <c:barChart>
        <c:barDir val="col"/>
        <c:grouping val="clustered"/>
        <c:varyColors val="0"/>
        <c:ser>
          <c:idx val="0"/>
          <c:order val="0"/>
          <c:tx>
            <c:strRef>
              <c:f>Sheet1!$A$2</c:f>
              <c:strCache>
                <c:ptCount val="1"/>
                <c:pt idx="0">
                  <c:v>青岛海尔</c:v>
                </c:pt>
              </c:strCache>
            </c:strRef>
          </c:tx>
          <c:spPr>
            <a:solidFill>
              <a:srgbClr val="9999FF"/>
            </a:solidFill>
            <a:ln w="12701">
              <a:solidFill>
                <a:srgbClr val="000000"/>
              </a:solidFill>
              <a:prstDash val="solid"/>
            </a:ln>
          </c:spPr>
          <c:invertIfNegative val="0"/>
          <c:cat>
            <c:strRef>
              <c:f>Sheet1!$B$1:$D$1</c:f>
              <c:strCache>
                <c:ptCount val="3"/>
                <c:pt idx="0">
                  <c:v>毛利率</c:v>
                </c:pt>
                <c:pt idx="1">
                  <c:v>销售和管理费用率</c:v>
                </c:pt>
                <c:pt idx="2">
                  <c:v>销售净利率</c:v>
                </c:pt>
              </c:strCache>
            </c:strRef>
          </c:cat>
          <c:val>
            <c:numRef>
              <c:f>Sheet1!$B$2:$D$2</c:f>
              <c:numCache>
                <c:formatCode>0.00%</c:formatCode>
                <c:ptCount val="3"/>
                <c:pt idx="0">
                  <c:v>0.13789999999999999</c:v>
                </c:pt>
                <c:pt idx="1">
                  <c:v>8.6800000000000002E-2</c:v>
                </c:pt>
                <c:pt idx="2">
                  <c:v>3.1699999999999999E-2</c:v>
                </c:pt>
              </c:numCache>
            </c:numRef>
          </c:val>
          <c:extLst>
            <c:ext xmlns:c16="http://schemas.microsoft.com/office/drawing/2014/chart" uri="{C3380CC4-5D6E-409C-BE32-E72D297353CC}">
              <c16:uniqueId val="{00000000-E609-48AD-ADFB-F277399B9E79}"/>
            </c:ext>
          </c:extLst>
        </c:ser>
        <c:ser>
          <c:idx val="1"/>
          <c:order val="1"/>
          <c:tx>
            <c:strRef>
              <c:f>Sheet1!$A$3</c:f>
              <c:strCache>
                <c:ptCount val="1"/>
                <c:pt idx="0">
                  <c:v>格力电器</c:v>
                </c:pt>
              </c:strCache>
            </c:strRef>
          </c:tx>
          <c:spPr>
            <a:solidFill>
              <a:srgbClr val="993366"/>
            </a:solidFill>
            <a:ln w="12701">
              <a:solidFill>
                <a:srgbClr val="000000"/>
              </a:solidFill>
              <a:prstDash val="solid"/>
            </a:ln>
          </c:spPr>
          <c:invertIfNegative val="0"/>
          <c:cat>
            <c:strRef>
              <c:f>Sheet1!$B$1:$D$1</c:f>
              <c:strCache>
                <c:ptCount val="3"/>
                <c:pt idx="0">
                  <c:v>毛利率</c:v>
                </c:pt>
                <c:pt idx="1">
                  <c:v>销售和管理费用率</c:v>
                </c:pt>
                <c:pt idx="2">
                  <c:v>销售净利率</c:v>
                </c:pt>
              </c:strCache>
            </c:strRef>
          </c:cat>
          <c:val>
            <c:numRef>
              <c:f>Sheet1!$B$3:$D$3</c:f>
              <c:numCache>
                <c:formatCode>0.00%</c:formatCode>
                <c:ptCount val="3"/>
                <c:pt idx="0">
                  <c:v>0.187</c:v>
                </c:pt>
                <c:pt idx="1">
                  <c:v>0.15659999999999999</c:v>
                </c:pt>
                <c:pt idx="2">
                  <c:v>3.5099999999999999E-2</c:v>
                </c:pt>
              </c:numCache>
            </c:numRef>
          </c:val>
          <c:extLst>
            <c:ext xmlns:c16="http://schemas.microsoft.com/office/drawing/2014/chart" uri="{C3380CC4-5D6E-409C-BE32-E72D297353CC}">
              <c16:uniqueId val="{00000001-E609-48AD-ADFB-F277399B9E79}"/>
            </c:ext>
          </c:extLst>
        </c:ser>
        <c:dLbls>
          <c:showLegendKey val="0"/>
          <c:showVal val="0"/>
          <c:showCatName val="0"/>
          <c:showSerName val="0"/>
          <c:showPercent val="0"/>
          <c:showBubbleSize val="0"/>
        </c:dLbls>
        <c:gapWidth val="150"/>
        <c:axId val="281525760"/>
        <c:axId val="281525368"/>
      </c:barChart>
      <c:catAx>
        <c:axId val="281525760"/>
        <c:scaling>
          <c:orientation val="minMax"/>
        </c:scaling>
        <c:delete val="0"/>
        <c:axPos val="b"/>
        <c:numFmt formatCode="General" sourceLinked="1"/>
        <c:majorTickMark val="in"/>
        <c:minorTickMark val="none"/>
        <c:tickLblPos val="nextTo"/>
        <c:spPr>
          <a:ln w="3175">
            <a:solidFill>
              <a:srgbClr val="000000"/>
            </a:solidFill>
            <a:prstDash val="solid"/>
          </a:ln>
        </c:spPr>
        <c:txPr>
          <a:bodyPr rot="-5400000" vert="horz"/>
          <a:lstStyle/>
          <a:p>
            <a:pPr>
              <a:defRPr sz="1100" b="0" i="0" u="none" strike="noStrike" baseline="0">
                <a:solidFill>
                  <a:srgbClr val="000000"/>
                </a:solidFill>
                <a:latin typeface="宋体"/>
                <a:ea typeface="宋体"/>
                <a:cs typeface="宋体"/>
              </a:defRPr>
            </a:pPr>
            <a:endParaRPr lang="zh-CN"/>
          </a:p>
        </c:txPr>
        <c:crossAx val="281525368"/>
        <c:crosses val="autoZero"/>
        <c:auto val="1"/>
        <c:lblAlgn val="ctr"/>
        <c:lblOffset val="100"/>
        <c:tickLblSkip val="1"/>
        <c:tickMarkSkip val="1"/>
        <c:noMultiLvlLbl val="0"/>
      </c:catAx>
      <c:valAx>
        <c:axId val="281525368"/>
        <c:scaling>
          <c:orientation val="minMax"/>
        </c:scaling>
        <c:delete val="0"/>
        <c:axPos val="l"/>
        <c:majorGridlines>
          <c:spPr>
            <a:ln w="3175">
              <a:solidFill>
                <a:srgbClr val="000000"/>
              </a:solidFill>
              <a:prstDash val="solid"/>
            </a:ln>
          </c:spPr>
        </c:majorGridlines>
        <c:numFmt formatCode="0.00%" sourceLinked="1"/>
        <c:majorTickMark val="in"/>
        <c:minorTickMark val="none"/>
        <c:tickLblPos val="nextTo"/>
        <c:spPr>
          <a:ln w="3175">
            <a:solidFill>
              <a:srgbClr val="000000"/>
            </a:solidFill>
            <a:prstDash val="solid"/>
          </a:ln>
        </c:spPr>
        <c:txPr>
          <a:bodyPr rot="0" vert="horz"/>
          <a:lstStyle/>
          <a:p>
            <a:pPr>
              <a:defRPr sz="1100" b="0" i="0" u="none" strike="noStrike" baseline="0">
                <a:solidFill>
                  <a:srgbClr val="000000"/>
                </a:solidFill>
                <a:latin typeface="宋体"/>
                <a:ea typeface="宋体"/>
                <a:cs typeface="宋体"/>
              </a:defRPr>
            </a:pPr>
            <a:endParaRPr lang="zh-CN"/>
          </a:p>
        </c:txPr>
        <c:crossAx val="281525760"/>
        <c:crosses val="autoZero"/>
        <c:crossBetween val="between"/>
      </c:valAx>
      <c:spPr>
        <a:solidFill>
          <a:srgbClr val="C0C0C0"/>
        </a:solidFill>
        <a:ln w="12701">
          <a:solidFill>
            <a:srgbClr val="808080"/>
          </a:solidFill>
          <a:prstDash val="solid"/>
        </a:ln>
      </c:spPr>
    </c:plotArea>
    <c:legend>
      <c:legendPos val="r"/>
      <c:layout>
        <c:manualLayout>
          <c:xMode val="edge"/>
          <c:yMode val="edge"/>
          <c:x val="0.8172268907563025"/>
          <c:y val="0.17837837837837839"/>
          <c:w val="0.17436974789915966"/>
          <c:h val="0.22162162162162163"/>
        </c:manualLayout>
      </c:layout>
      <c:overlay val="0"/>
      <c:spPr>
        <a:solidFill>
          <a:srgbClr val="FFFFFF"/>
        </a:solidFill>
        <a:ln w="3175">
          <a:solidFill>
            <a:srgbClr val="000000"/>
          </a:solidFill>
          <a:prstDash val="solid"/>
        </a:ln>
      </c:spPr>
      <c:txPr>
        <a:bodyPr/>
        <a:lstStyle/>
        <a:p>
          <a:pPr>
            <a:defRPr sz="1010" b="0" i="0" u="none" strike="noStrike" baseline="0">
              <a:solidFill>
                <a:srgbClr val="000000"/>
              </a:solidFill>
              <a:latin typeface="宋体"/>
              <a:ea typeface="宋体"/>
              <a:cs typeface="宋体"/>
            </a:defRPr>
          </a:pPr>
          <a:endParaRPr lang="zh-CN"/>
        </a:p>
      </c:txPr>
    </c:legend>
    <c:plotVisOnly val="1"/>
    <c:dispBlanksAs val="gap"/>
    <c:showDLblsOverMax val="0"/>
  </c:chart>
  <c:spPr>
    <a:solidFill>
      <a:srgbClr val="FFFFFF"/>
    </a:solidFill>
    <a:ln w="3175">
      <a:solidFill>
        <a:srgbClr val="000000"/>
      </a:solidFill>
      <a:prstDash val="solid"/>
    </a:ln>
  </c:spPr>
  <c:txPr>
    <a:bodyPr/>
    <a:lstStyle/>
    <a:p>
      <a:pPr>
        <a:defRPr sz="1100" b="0" i="0" u="none" strike="noStrike" baseline="0">
          <a:solidFill>
            <a:srgbClr val="000000"/>
          </a:solidFill>
          <a:latin typeface="宋体"/>
          <a:ea typeface="宋体"/>
          <a:cs typeface="宋体"/>
        </a:defRPr>
      </a:pPr>
      <a:endParaRPr lang="zh-CN"/>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45"/>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7731092436974791E-2"/>
          <c:y val="7.0270270270270274E-2"/>
          <c:w val="0.71638655462184875"/>
          <c:h val="0.74054054054054053"/>
        </c:manualLayout>
      </c:layout>
      <c:bar3DChart>
        <c:barDir val="col"/>
        <c:grouping val="clustered"/>
        <c:varyColors val="0"/>
        <c:ser>
          <c:idx val="0"/>
          <c:order val="0"/>
          <c:tx>
            <c:strRef>
              <c:f>Sheet1!$B$1</c:f>
              <c:strCache>
                <c:ptCount val="1"/>
                <c:pt idx="0">
                  <c:v>青岛海尔</c:v>
                </c:pt>
              </c:strCache>
            </c:strRef>
          </c:tx>
          <c:spPr>
            <a:solidFill>
              <a:srgbClr val="9999FF"/>
            </a:solidFill>
            <a:ln w="12701">
              <a:solidFill>
                <a:srgbClr val="000000"/>
              </a:solidFill>
              <a:prstDash val="solid"/>
            </a:ln>
          </c:spPr>
          <c:invertIfNegative val="0"/>
          <c:cat>
            <c:strRef>
              <c:f>Sheet1!$A$2:$A$9</c:f>
              <c:strCache>
                <c:ptCount val="8"/>
                <c:pt idx="0">
                  <c:v>应收账款周转率</c:v>
                </c:pt>
                <c:pt idx="1">
                  <c:v>应收账款周转天数</c:v>
                </c:pt>
                <c:pt idx="2">
                  <c:v>存货周转率</c:v>
                </c:pt>
                <c:pt idx="3">
                  <c:v>存货周转天数</c:v>
                </c:pt>
                <c:pt idx="4">
                  <c:v>应付账款周转率</c:v>
                </c:pt>
                <c:pt idx="5">
                  <c:v>营业营运资本周转率</c:v>
                </c:pt>
                <c:pt idx="6">
                  <c:v>固定资产周转率</c:v>
                </c:pt>
                <c:pt idx="7">
                  <c:v>总资产周转率</c:v>
                </c:pt>
              </c:strCache>
            </c:strRef>
          </c:cat>
          <c:val>
            <c:numRef>
              <c:f>Sheet1!$B$2:$B$9</c:f>
              <c:numCache>
                <c:formatCode>General</c:formatCode>
                <c:ptCount val="8"/>
                <c:pt idx="0">
                  <c:v>16.760000000000002</c:v>
                </c:pt>
                <c:pt idx="1">
                  <c:v>21.78</c:v>
                </c:pt>
                <c:pt idx="2">
                  <c:v>16.84</c:v>
                </c:pt>
                <c:pt idx="3">
                  <c:v>18.27</c:v>
                </c:pt>
                <c:pt idx="4">
                  <c:v>44.28</c:v>
                </c:pt>
                <c:pt idx="5">
                  <c:v>12.24</c:v>
                </c:pt>
                <c:pt idx="6">
                  <c:v>10.46</c:v>
                </c:pt>
                <c:pt idx="7">
                  <c:v>2.38</c:v>
                </c:pt>
              </c:numCache>
            </c:numRef>
          </c:val>
          <c:extLst>
            <c:ext xmlns:c16="http://schemas.microsoft.com/office/drawing/2014/chart" uri="{C3380CC4-5D6E-409C-BE32-E72D297353CC}">
              <c16:uniqueId val="{00000000-768E-4BE9-9563-AD81798ED631}"/>
            </c:ext>
          </c:extLst>
        </c:ser>
        <c:ser>
          <c:idx val="1"/>
          <c:order val="1"/>
          <c:tx>
            <c:strRef>
              <c:f>Sheet1!$C$1</c:f>
              <c:strCache>
                <c:ptCount val="1"/>
                <c:pt idx="0">
                  <c:v>格力电器</c:v>
                </c:pt>
              </c:strCache>
            </c:strRef>
          </c:tx>
          <c:spPr>
            <a:solidFill>
              <a:srgbClr val="993366"/>
            </a:solidFill>
            <a:ln w="12701">
              <a:solidFill>
                <a:srgbClr val="000000"/>
              </a:solidFill>
              <a:prstDash val="solid"/>
            </a:ln>
          </c:spPr>
          <c:invertIfNegative val="0"/>
          <c:cat>
            <c:strRef>
              <c:f>Sheet1!$A$2:$A$9</c:f>
              <c:strCache>
                <c:ptCount val="8"/>
                <c:pt idx="0">
                  <c:v>应收账款周转率</c:v>
                </c:pt>
                <c:pt idx="1">
                  <c:v>应收账款周转天数</c:v>
                </c:pt>
                <c:pt idx="2">
                  <c:v>存货周转率</c:v>
                </c:pt>
                <c:pt idx="3">
                  <c:v>存货周转天数</c:v>
                </c:pt>
                <c:pt idx="4">
                  <c:v>应付账款周转率</c:v>
                </c:pt>
                <c:pt idx="5">
                  <c:v>营业营运资本周转率</c:v>
                </c:pt>
                <c:pt idx="6">
                  <c:v>固定资产周转率</c:v>
                </c:pt>
                <c:pt idx="7">
                  <c:v>总资产周转率</c:v>
                </c:pt>
              </c:strCache>
            </c:strRef>
          </c:cat>
          <c:val>
            <c:numRef>
              <c:f>Sheet1!$C$2:$C$9</c:f>
              <c:numCache>
                <c:formatCode>General</c:formatCode>
                <c:ptCount val="8"/>
                <c:pt idx="0">
                  <c:v>17.38</c:v>
                </c:pt>
                <c:pt idx="1">
                  <c:v>21</c:v>
                </c:pt>
                <c:pt idx="2">
                  <c:v>4.4400000000000004</c:v>
                </c:pt>
                <c:pt idx="3">
                  <c:v>82.21</c:v>
                </c:pt>
                <c:pt idx="4">
                  <c:v>2.99</c:v>
                </c:pt>
                <c:pt idx="5">
                  <c:v>-8.99</c:v>
                </c:pt>
                <c:pt idx="6">
                  <c:v>8.3800000000000008</c:v>
                </c:pt>
                <c:pt idx="7">
                  <c:v>1.43</c:v>
                </c:pt>
              </c:numCache>
            </c:numRef>
          </c:val>
          <c:extLst>
            <c:ext xmlns:c16="http://schemas.microsoft.com/office/drawing/2014/chart" uri="{C3380CC4-5D6E-409C-BE32-E72D297353CC}">
              <c16:uniqueId val="{00000001-768E-4BE9-9563-AD81798ED631}"/>
            </c:ext>
          </c:extLst>
        </c:ser>
        <c:dLbls>
          <c:showLegendKey val="0"/>
          <c:showVal val="0"/>
          <c:showCatName val="0"/>
          <c:showSerName val="0"/>
          <c:showPercent val="0"/>
          <c:showBubbleSize val="0"/>
        </c:dLbls>
        <c:gapWidth val="150"/>
        <c:shape val="box"/>
        <c:axId val="281526936"/>
        <c:axId val="281526544"/>
        <c:axId val="0"/>
      </c:bar3DChart>
      <c:catAx>
        <c:axId val="281526936"/>
        <c:scaling>
          <c:orientation val="minMax"/>
        </c:scaling>
        <c:delete val="0"/>
        <c:axPos val="b"/>
        <c:numFmt formatCode="General" sourceLinked="1"/>
        <c:majorTickMark val="in"/>
        <c:minorTickMark val="none"/>
        <c:tickLblPos val="low"/>
        <c:spPr>
          <a:ln w="3175">
            <a:solidFill>
              <a:srgbClr val="000000"/>
            </a:solidFill>
            <a:prstDash val="solid"/>
          </a:ln>
        </c:spPr>
        <c:txPr>
          <a:bodyPr rot="0" vert="horz"/>
          <a:lstStyle/>
          <a:p>
            <a:pPr>
              <a:defRPr sz="1100" b="0" i="0" u="none" strike="noStrike" baseline="0">
                <a:solidFill>
                  <a:srgbClr val="000000"/>
                </a:solidFill>
                <a:latin typeface="宋体"/>
                <a:ea typeface="宋体"/>
                <a:cs typeface="宋体"/>
              </a:defRPr>
            </a:pPr>
            <a:endParaRPr lang="zh-CN"/>
          </a:p>
        </c:txPr>
        <c:crossAx val="281526544"/>
        <c:crosses val="autoZero"/>
        <c:auto val="1"/>
        <c:lblAlgn val="ctr"/>
        <c:lblOffset val="100"/>
        <c:tickLblSkip val="4"/>
        <c:tickMarkSkip val="1"/>
        <c:noMultiLvlLbl val="0"/>
      </c:catAx>
      <c:valAx>
        <c:axId val="281526544"/>
        <c:scaling>
          <c:orientation val="minMax"/>
        </c:scaling>
        <c:delete val="0"/>
        <c:axPos val="l"/>
        <c:majorGridlines>
          <c:spPr>
            <a:ln w="3175">
              <a:solidFill>
                <a:srgbClr val="000000"/>
              </a:solidFill>
              <a:prstDash val="solid"/>
            </a:ln>
          </c:spPr>
        </c:majorGridlines>
        <c:numFmt formatCode="General" sourceLinked="1"/>
        <c:majorTickMark val="in"/>
        <c:minorTickMark val="none"/>
        <c:tickLblPos val="nextTo"/>
        <c:spPr>
          <a:ln w="3175">
            <a:solidFill>
              <a:srgbClr val="000000"/>
            </a:solidFill>
            <a:prstDash val="solid"/>
          </a:ln>
        </c:spPr>
        <c:txPr>
          <a:bodyPr rot="0" vert="horz"/>
          <a:lstStyle/>
          <a:p>
            <a:pPr>
              <a:defRPr sz="1100" b="0" i="0" u="none" strike="noStrike" baseline="0">
                <a:solidFill>
                  <a:srgbClr val="000000"/>
                </a:solidFill>
                <a:latin typeface="宋体"/>
                <a:ea typeface="宋体"/>
                <a:cs typeface="宋体"/>
              </a:defRPr>
            </a:pPr>
            <a:endParaRPr lang="zh-CN"/>
          </a:p>
        </c:txPr>
        <c:crossAx val="281526936"/>
        <c:crosses val="autoZero"/>
        <c:crossBetween val="between"/>
      </c:valAx>
      <c:spPr>
        <a:noFill/>
        <a:ln w="25403">
          <a:noFill/>
        </a:ln>
      </c:spPr>
    </c:plotArea>
    <c:legend>
      <c:legendPos val="r"/>
      <c:layout>
        <c:manualLayout>
          <c:xMode val="edge"/>
          <c:yMode val="edge"/>
          <c:x val="0.8172268907563025"/>
          <c:y val="0.38918918918918921"/>
          <c:w val="0.17436974789915966"/>
          <c:h val="0.22162162162162163"/>
        </c:manualLayout>
      </c:layout>
      <c:overlay val="0"/>
      <c:spPr>
        <a:solidFill>
          <a:srgbClr val="FFFFFF"/>
        </a:solidFill>
        <a:ln w="3175">
          <a:solidFill>
            <a:srgbClr val="000000"/>
          </a:solidFill>
          <a:prstDash val="solid"/>
        </a:ln>
      </c:spPr>
      <c:txPr>
        <a:bodyPr/>
        <a:lstStyle/>
        <a:p>
          <a:pPr>
            <a:defRPr sz="1010" b="0" i="0" u="none" strike="noStrike" baseline="0">
              <a:solidFill>
                <a:srgbClr val="000000"/>
              </a:solidFill>
              <a:latin typeface="宋体"/>
              <a:ea typeface="宋体"/>
              <a:cs typeface="宋体"/>
            </a:defRPr>
          </a:pPr>
          <a:endParaRPr lang="zh-CN"/>
        </a:p>
      </c:txPr>
    </c:legend>
    <c:plotVisOnly val="1"/>
    <c:dispBlanksAs val="gap"/>
    <c:showDLblsOverMax val="0"/>
  </c:chart>
  <c:spPr>
    <a:solidFill>
      <a:srgbClr val="FFFFFF"/>
    </a:solidFill>
    <a:ln w="3175">
      <a:solidFill>
        <a:srgbClr val="000000"/>
      </a:solidFill>
      <a:prstDash val="solid"/>
    </a:ln>
  </c:spPr>
  <c:txPr>
    <a:bodyPr/>
    <a:lstStyle/>
    <a:p>
      <a:pPr>
        <a:defRPr sz="1100" b="0" i="0" u="none" strike="noStrike" baseline="0">
          <a:solidFill>
            <a:srgbClr val="000000"/>
          </a:solidFill>
          <a:latin typeface="宋体"/>
          <a:ea typeface="宋体"/>
          <a:cs typeface="宋体"/>
        </a:defRPr>
      </a:pPr>
      <a:endParaRPr lang="zh-CN"/>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655462184873948"/>
          <c:y val="0.11891891891891893"/>
          <c:w val="0.52941176470588236"/>
          <c:h val="0.63783783783783787"/>
        </c:manualLayout>
      </c:layout>
      <c:lineChart>
        <c:grouping val="standard"/>
        <c:varyColors val="0"/>
        <c:ser>
          <c:idx val="0"/>
          <c:order val="0"/>
          <c:tx>
            <c:strRef>
              <c:f>Sheet1!$A$2</c:f>
              <c:strCache>
                <c:ptCount val="1"/>
                <c:pt idx="0">
                  <c:v>经营现金净流量</c:v>
                </c:pt>
              </c:strCache>
            </c:strRef>
          </c:tx>
          <c:spPr>
            <a:ln w="12701">
              <a:solidFill>
                <a:srgbClr val="000080"/>
              </a:solidFill>
              <a:prstDash val="solid"/>
            </a:ln>
          </c:spPr>
          <c:marker>
            <c:symbol val="diamond"/>
            <c:size val="5"/>
            <c:spPr>
              <a:solidFill>
                <a:srgbClr val="000080"/>
              </a:solidFill>
              <a:ln>
                <a:solidFill>
                  <a:srgbClr val="000080"/>
                </a:solidFill>
                <a:prstDash val="solid"/>
              </a:ln>
            </c:spPr>
          </c:marker>
          <c:cat>
            <c:strRef>
              <c:f>Sheet1!$B$1:$F$1</c:f>
              <c:strCache>
                <c:ptCount val="5"/>
                <c:pt idx="0">
                  <c:v>2008年</c:v>
                </c:pt>
                <c:pt idx="1">
                  <c:v>2009年</c:v>
                </c:pt>
                <c:pt idx="2">
                  <c:v>2010年</c:v>
                </c:pt>
                <c:pt idx="3">
                  <c:v>2011年</c:v>
                </c:pt>
                <c:pt idx="4">
                  <c:v>2012年</c:v>
                </c:pt>
              </c:strCache>
            </c:strRef>
          </c:cat>
          <c:val>
            <c:numRef>
              <c:f>Sheet1!$B$2:$F$2</c:f>
              <c:numCache>
                <c:formatCode>0.00%</c:formatCode>
                <c:ptCount val="5"/>
                <c:pt idx="0" formatCode="0%">
                  <c:v>1</c:v>
                </c:pt>
                <c:pt idx="1">
                  <c:v>3.2685</c:v>
                </c:pt>
                <c:pt idx="2" formatCode="General">
                  <c:v>4.9033934217024475</c:v>
                </c:pt>
                <c:pt idx="3" formatCode="General">
                  <c:v>1.63967013602685</c:v>
                </c:pt>
                <c:pt idx="4" formatCode="General">
                  <c:v>1.6585137261041107</c:v>
                </c:pt>
              </c:numCache>
            </c:numRef>
          </c:val>
          <c:smooth val="0"/>
          <c:extLst>
            <c:ext xmlns:c16="http://schemas.microsoft.com/office/drawing/2014/chart" uri="{C3380CC4-5D6E-409C-BE32-E72D297353CC}">
              <c16:uniqueId val="{00000000-B853-442A-B9E2-A6301CD2053D}"/>
            </c:ext>
          </c:extLst>
        </c:ser>
        <c:ser>
          <c:idx val="1"/>
          <c:order val="1"/>
          <c:tx>
            <c:strRef>
              <c:f>Sheet1!$A$3</c:f>
              <c:strCache>
                <c:ptCount val="1"/>
                <c:pt idx="0">
                  <c:v>投资现金净流量</c:v>
                </c:pt>
              </c:strCache>
            </c:strRef>
          </c:tx>
          <c:spPr>
            <a:ln w="12701">
              <a:solidFill>
                <a:srgbClr val="FF00FF"/>
              </a:solidFill>
              <a:prstDash val="solid"/>
            </a:ln>
          </c:spPr>
          <c:marker>
            <c:symbol val="square"/>
            <c:size val="5"/>
            <c:spPr>
              <a:solidFill>
                <a:srgbClr val="FF00FF"/>
              </a:solidFill>
              <a:ln>
                <a:solidFill>
                  <a:srgbClr val="FF00FF"/>
                </a:solidFill>
                <a:prstDash val="solid"/>
              </a:ln>
            </c:spPr>
          </c:marker>
          <c:cat>
            <c:strRef>
              <c:f>Sheet1!$B$1:$F$1</c:f>
              <c:strCache>
                <c:ptCount val="5"/>
                <c:pt idx="0">
                  <c:v>2008年</c:v>
                </c:pt>
                <c:pt idx="1">
                  <c:v>2009年</c:v>
                </c:pt>
                <c:pt idx="2">
                  <c:v>2010年</c:v>
                </c:pt>
                <c:pt idx="3">
                  <c:v>2011年</c:v>
                </c:pt>
                <c:pt idx="4">
                  <c:v>2012年</c:v>
                </c:pt>
              </c:strCache>
            </c:strRef>
          </c:cat>
          <c:val>
            <c:numRef>
              <c:f>Sheet1!$B$3:$F$3</c:f>
              <c:numCache>
                <c:formatCode>0.00%</c:formatCode>
                <c:ptCount val="5"/>
                <c:pt idx="0" formatCode="0%">
                  <c:v>1</c:v>
                </c:pt>
                <c:pt idx="1">
                  <c:v>-0.26369999999999999</c:v>
                </c:pt>
                <c:pt idx="2" formatCode="General">
                  <c:v>2.5774909034436142</c:v>
                </c:pt>
                <c:pt idx="3" formatCode="General">
                  <c:v>0.54018374734947927</c:v>
                </c:pt>
                <c:pt idx="4" formatCode="General">
                  <c:v>-0.14838715575560313</c:v>
                </c:pt>
              </c:numCache>
            </c:numRef>
          </c:val>
          <c:smooth val="0"/>
          <c:extLst>
            <c:ext xmlns:c16="http://schemas.microsoft.com/office/drawing/2014/chart" uri="{C3380CC4-5D6E-409C-BE32-E72D297353CC}">
              <c16:uniqueId val="{00000001-B853-442A-B9E2-A6301CD2053D}"/>
            </c:ext>
          </c:extLst>
        </c:ser>
        <c:ser>
          <c:idx val="2"/>
          <c:order val="2"/>
          <c:tx>
            <c:strRef>
              <c:f>Sheet1!$A$4</c:f>
              <c:strCache>
                <c:ptCount val="1"/>
                <c:pt idx="0">
                  <c:v>筹资现金净流量</c:v>
                </c:pt>
              </c:strCache>
            </c:strRef>
          </c:tx>
          <c:spPr>
            <a:ln w="12701">
              <a:solidFill>
                <a:srgbClr val="FFFF00"/>
              </a:solidFill>
              <a:prstDash val="solid"/>
            </a:ln>
          </c:spPr>
          <c:marker>
            <c:symbol val="triangle"/>
            <c:size val="5"/>
            <c:spPr>
              <a:solidFill>
                <a:srgbClr val="FFFF00"/>
              </a:solidFill>
              <a:ln>
                <a:solidFill>
                  <a:srgbClr val="FFFF00"/>
                </a:solidFill>
                <a:prstDash val="solid"/>
              </a:ln>
            </c:spPr>
          </c:marker>
          <c:cat>
            <c:strRef>
              <c:f>Sheet1!$B$1:$F$1</c:f>
              <c:strCache>
                <c:ptCount val="5"/>
                <c:pt idx="0">
                  <c:v>2008年</c:v>
                </c:pt>
                <c:pt idx="1">
                  <c:v>2009年</c:v>
                </c:pt>
                <c:pt idx="2">
                  <c:v>2010年</c:v>
                </c:pt>
                <c:pt idx="3">
                  <c:v>2011年</c:v>
                </c:pt>
                <c:pt idx="4">
                  <c:v>2012年</c:v>
                </c:pt>
              </c:strCache>
            </c:strRef>
          </c:cat>
          <c:val>
            <c:numRef>
              <c:f>Sheet1!$B$4:$F$4</c:f>
              <c:numCache>
                <c:formatCode>0.00%</c:formatCode>
                <c:ptCount val="5"/>
                <c:pt idx="0" formatCode="0%">
                  <c:v>1</c:v>
                </c:pt>
                <c:pt idx="1">
                  <c:v>0.78610000000000002</c:v>
                </c:pt>
                <c:pt idx="2" formatCode="General">
                  <c:v>1.6197921442718379</c:v>
                </c:pt>
                <c:pt idx="3" formatCode="General">
                  <c:v>0.89209777963258496</c:v>
                </c:pt>
                <c:pt idx="4" formatCode="General">
                  <c:v>0.95434015572040398</c:v>
                </c:pt>
              </c:numCache>
            </c:numRef>
          </c:val>
          <c:smooth val="0"/>
          <c:extLst>
            <c:ext xmlns:c16="http://schemas.microsoft.com/office/drawing/2014/chart" uri="{C3380CC4-5D6E-409C-BE32-E72D297353CC}">
              <c16:uniqueId val="{00000002-B853-442A-B9E2-A6301CD2053D}"/>
            </c:ext>
          </c:extLst>
        </c:ser>
        <c:ser>
          <c:idx val="3"/>
          <c:order val="3"/>
          <c:tx>
            <c:strRef>
              <c:f>Sheet1!$A$5</c:f>
              <c:strCache>
                <c:ptCount val="1"/>
                <c:pt idx="0">
                  <c:v>现金期末余额</c:v>
                </c:pt>
              </c:strCache>
            </c:strRef>
          </c:tx>
          <c:spPr>
            <a:ln w="12701">
              <a:solidFill>
                <a:srgbClr val="00FFFF"/>
              </a:solidFill>
              <a:prstDash val="solid"/>
            </a:ln>
          </c:spPr>
          <c:marker>
            <c:symbol val="x"/>
            <c:size val="5"/>
            <c:spPr>
              <a:noFill/>
              <a:ln>
                <a:solidFill>
                  <a:srgbClr val="00FFFF"/>
                </a:solidFill>
                <a:prstDash val="solid"/>
              </a:ln>
            </c:spPr>
          </c:marker>
          <c:cat>
            <c:strRef>
              <c:f>Sheet1!$B$1:$F$1</c:f>
              <c:strCache>
                <c:ptCount val="5"/>
                <c:pt idx="0">
                  <c:v>2008年</c:v>
                </c:pt>
                <c:pt idx="1">
                  <c:v>2009年</c:v>
                </c:pt>
                <c:pt idx="2">
                  <c:v>2010年</c:v>
                </c:pt>
                <c:pt idx="3">
                  <c:v>2011年</c:v>
                </c:pt>
                <c:pt idx="4">
                  <c:v>2012年</c:v>
                </c:pt>
              </c:strCache>
            </c:strRef>
          </c:cat>
          <c:val>
            <c:numRef>
              <c:f>Sheet1!$B$5:$F$5</c:f>
              <c:numCache>
                <c:formatCode>0.00%</c:formatCode>
                <c:ptCount val="5"/>
                <c:pt idx="0" formatCode="0%">
                  <c:v>1</c:v>
                </c:pt>
                <c:pt idx="1">
                  <c:v>4.0481999999999996</c:v>
                </c:pt>
                <c:pt idx="2" formatCode="General">
                  <c:v>0.92504217264798827</c:v>
                </c:pt>
                <c:pt idx="3" formatCode="General">
                  <c:v>0.29408157397117329</c:v>
                </c:pt>
                <c:pt idx="4" formatCode="General">
                  <c:v>1.2907328348046831</c:v>
                </c:pt>
              </c:numCache>
            </c:numRef>
          </c:val>
          <c:smooth val="0"/>
          <c:extLst>
            <c:ext xmlns:c16="http://schemas.microsoft.com/office/drawing/2014/chart" uri="{C3380CC4-5D6E-409C-BE32-E72D297353CC}">
              <c16:uniqueId val="{00000003-B853-442A-B9E2-A6301CD2053D}"/>
            </c:ext>
          </c:extLst>
        </c:ser>
        <c:dLbls>
          <c:showLegendKey val="0"/>
          <c:showVal val="0"/>
          <c:showCatName val="0"/>
          <c:showSerName val="0"/>
          <c:showPercent val="0"/>
          <c:showBubbleSize val="0"/>
        </c:dLbls>
        <c:marker val="1"/>
        <c:smooth val="0"/>
        <c:axId val="281528112"/>
        <c:axId val="281527720"/>
      </c:lineChart>
      <c:catAx>
        <c:axId val="281528112"/>
        <c:scaling>
          <c:orientation val="minMax"/>
        </c:scaling>
        <c:delete val="0"/>
        <c:axPos val="b"/>
        <c:numFmt formatCode="General" sourceLinked="1"/>
        <c:majorTickMark val="in"/>
        <c:minorTickMark val="none"/>
        <c:tickLblPos val="nextTo"/>
        <c:spPr>
          <a:ln w="3175">
            <a:solidFill>
              <a:srgbClr val="000000"/>
            </a:solidFill>
            <a:prstDash val="solid"/>
          </a:ln>
        </c:spPr>
        <c:txPr>
          <a:bodyPr rot="-2700000" vert="horz"/>
          <a:lstStyle/>
          <a:p>
            <a:pPr>
              <a:defRPr sz="1100" b="0" i="0" u="none" strike="noStrike" baseline="0">
                <a:solidFill>
                  <a:srgbClr val="000000"/>
                </a:solidFill>
                <a:latin typeface="宋体"/>
                <a:ea typeface="宋体"/>
                <a:cs typeface="宋体"/>
              </a:defRPr>
            </a:pPr>
            <a:endParaRPr lang="zh-CN"/>
          </a:p>
        </c:txPr>
        <c:crossAx val="281527720"/>
        <c:crosses val="autoZero"/>
        <c:auto val="1"/>
        <c:lblAlgn val="ctr"/>
        <c:lblOffset val="100"/>
        <c:tickLblSkip val="1"/>
        <c:tickMarkSkip val="1"/>
        <c:noMultiLvlLbl val="0"/>
      </c:catAx>
      <c:valAx>
        <c:axId val="281527720"/>
        <c:scaling>
          <c:orientation val="minMax"/>
        </c:scaling>
        <c:delete val="0"/>
        <c:axPos val="l"/>
        <c:majorGridlines>
          <c:spPr>
            <a:ln w="3175">
              <a:solidFill>
                <a:srgbClr val="000000"/>
              </a:solidFill>
              <a:prstDash val="solid"/>
            </a:ln>
          </c:spPr>
        </c:majorGridlines>
        <c:numFmt formatCode="0%" sourceLinked="1"/>
        <c:majorTickMark val="in"/>
        <c:minorTickMark val="none"/>
        <c:tickLblPos val="nextTo"/>
        <c:spPr>
          <a:ln w="3175">
            <a:solidFill>
              <a:srgbClr val="000000"/>
            </a:solidFill>
            <a:prstDash val="solid"/>
          </a:ln>
        </c:spPr>
        <c:txPr>
          <a:bodyPr rot="0" vert="horz"/>
          <a:lstStyle/>
          <a:p>
            <a:pPr>
              <a:defRPr sz="1100" b="0" i="0" u="none" strike="noStrike" baseline="0">
                <a:solidFill>
                  <a:srgbClr val="000000"/>
                </a:solidFill>
                <a:latin typeface="宋体"/>
                <a:ea typeface="宋体"/>
                <a:cs typeface="宋体"/>
              </a:defRPr>
            </a:pPr>
            <a:endParaRPr lang="zh-CN"/>
          </a:p>
        </c:txPr>
        <c:crossAx val="281528112"/>
        <c:crosses val="autoZero"/>
        <c:crossBetween val="between"/>
      </c:valAx>
      <c:spPr>
        <a:solidFill>
          <a:srgbClr val="C0C0C0"/>
        </a:solidFill>
        <a:ln w="12701">
          <a:solidFill>
            <a:srgbClr val="808080"/>
          </a:solidFill>
          <a:prstDash val="solid"/>
        </a:ln>
      </c:spPr>
    </c:plotArea>
    <c:legend>
      <c:legendPos val="r"/>
      <c:layout>
        <c:manualLayout>
          <c:xMode val="edge"/>
          <c:yMode val="edge"/>
          <c:x val="0.68697478991596639"/>
          <c:y val="0.21621621621621623"/>
          <c:w val="0.30462184873949577"/>
          <c:h val="0.43783783783783786"/>
        </c:manualLayout>
      </c:layout>
      <c:overlay val="0"/>
      <c:spPr>
        <a:solidFill>
          <a:srgbClr val="FFFFFF"/>
        </a:solidFill>
        <a:ln w="3175">
          <a:solidFill>
            <a:srgbClr val="000000"/>
          </a:solidFill>
          <a:prstDash val="solid"/>
        </a:ln>
      </c:spPr>
      <c:txPr>
        <a:bodyPr/>
        <a:lstStyle/>
        <a:p>
          <a:pPr>
            <a:defRPr sz="1010" b="0" i="0" u="none" strike="noStrike" baseline="0">
              <a:solidFill>
                <a:srgbClr val="000000"/>
              </a:solidFill>
              <a:latin typeface="宋体"/>
              <a:ea typeface="宋体"/>
              <a:cs typeface="宋体"/>
            </a:defRPr>
          </a:pPr>
          <a:endParaRPr lang="zh-CN"/>
        </a:p>
      </c:txPr>
    </c:legend>
    <c:plotVisOnly val="1"/>
    <c:dispBlanksAs val="gap"/>
    <c:showDLblsOverMax val="0"/>
  </c:chart>
  <c:spPr>
    <a:solidFill>
      <a:srgbClr val="FFFFFF"/>
    </a:solidFill>
    <a:ln w="3175">
      <a:solidFill>
        <a:srgbClr val="000000"/>
      </a:solidFill>
      <a:prstDash val="solid"/>
    </a:ln>
  </c:spPr>
  <c:txPr>
    <a:bodyPr/>
    <a:lstStyle/>
    <a:p>
      <a:pPr>
        <a:defRPr sz="1100" b="0" i="0" u="none" strike="noStrike" baseline="0">
          <a:solidFill>
            <a:srgbClr val="000000"/>
          </a:solidFill>
          <a:latin typeface="宋体"/>
          <a:ea typeface="宋体"/>
          <a:cs typeface="宋体"/>
        </a:defRPr>
      </a:pPr>
      <a:endParaRPr lang="zh-CN"/>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6134453781512604E-2"/>
          <c:y val="0.11891891891891893"/>
          <c:w val="0.54831932773109249"/>
          <c:h val="0.6594594594594595"/>
        </c:manualLayout>
      </c:layout>
      <c:lineChart>
        <c:grouping val="standard"/>
        <c:varyColors val="0"/>
        <c:ser>
          <c:idx val="0"/>
          <c:order val="0"/>
          <c:tx>
            <c:strRef>
              <c:f>Sheet1!$A$2</c:f>
              <c:strCache>
                <c:ptCount val="1"/>
                <c:pt idx="0">
                  <c:v>销售商品、提供劳务收到的现金</c:v>
                </c:pt>
              </c:strCache>
            </c:strRef>
          </c:tx>
          <c:spPr>
            <a:ln w="12701">
              <a:solidFill>
                <a:srgbClr val="000080"/>
              </a:solidFill>
              <a:prstDash val="solid"/>
            </a:ln>
          </c:spPr>
          <c:marker>
            <c:symbol val="diamond"/>
            <c:size val="5"/>
            <c:spPr>
              <a:solidFill>
                <a:srgbClr val="000080"/>
              </a:solidFill>
              <a:ln>
                <a:solidFill>
                  <a:srgbClr val="000080"/>
                </a:solidFill>
                <a:prstDash val="solid"/>
              </a:ln>
            </c:spPr>
          </c:marker>
          <c:cat>
            <c:strRef>
              <c:f>Sheet1!$B$1:$F$1</c:f>
              <c:strCache>
                <c:ptCount val="5"/>
                <c:pt idx="0">
                  <c:v>2008年</c:v>
                </c:pt>
                <c:pt idx="1">
                  <c:v>2009年</c:v>
                </c:pt>
                <c:pt idx="2">
                  <c:v>2010年</c:v>
                </c:pt>
                <c:pt idx="3">
                  <c:v>2011年</c:v>
                </c:pt>
                <c:pt idx="4">
                  <c:v>2012年</c:v>
                </c:pt>
              </c:strCache>
            </c:strRef>
          </c:cat>
          <c:val>
            <c:numRef>
              <c:f>Sheet1!$B$2:$F$2</c:f>
              <c:numCache>
                <c:formatCode>General</c:formatCode>
                <c:ptCount val="5"/>
                <c:pt idx="0">
                  <c:v>11.64</c:v>
                </c:pt>
                <c:pt idx="1">
                  <c:v>18.86</c:v>
                </c:pt>
                <c:pt idx="2">
                  <c:v>28.52</c:v>
                </c:pt>
                <c:pt idx="3">
                  <c:v>17.600000000000001</c:v>
                </c:pt>
                <c:pt idx="4">
                  <c:v>17.64</c:v>
                </c:pt>
              </c:numCache>
            </c:numRef>
          </c:val>
          <c:smooth val="0"/>
          <c:extLst>
            <c:ext xmlns:c16="http://schemas.microsoft.com/office/drawing/2014/chart" uri="{C3380CC4-5D6E-409C-BE32-E72D297353CC}">
              <c16:uniqueId val="{00000000-2030-407A-B646-7C88264BABA1}"/>
            </c:ext>
          </c:extLst>
        </c:ser>
        <c:ser>
          <c:idx val="1"/>
          <c:order val="1"/>
          <c:tx>
            <c:strRef>
              <c:f>Sheet1!$A$3</c:f>
              <c:strCache>
                <c:ptCount val="1"/>
                <c:pt idx="0">
                  <c:v>购买商品、接受劳务支付的现金</c:v>
                </c:pt>
              </c:strCache>
            </c:strRef>
          </c:tx>
          <c:spPr>
            <a:ln w="12701">
              <a:solidFill>
                <a:srgbClr val="FF00FF"/>
              </a:solidFill>
              <a:prstDash val="solid"/>
            </a:ln>
          </c:spPr>
          <c:marker>
            <c:symbol val="square"/>
            <c:size val="5"/>
            <c:spPr>
              <a:solidFill>
                <a:srgbClr val="FF00FF"/>
              </a:solidFill>
              <a:ln>
                <a:solidFill>
                  <a:srgbClr val="FF00FF"/>
                </a:solidFill>
                <a:prstDash val="solid"/>
              </a:ln>
            </c:spPr>
          </c:marker>
          <c:cat>
            <c:strRef>
              <c:f>Sheet1!$B$1:$F$1</c:f>
              <c:strCache>
                <c:ptCount val="5"/>
                <c:pt idx="0">
                  <c:v>2008年</c:v>
                </c:pt>
                <c:pt idx="1">
                  <c:v>2009年</c:v>
                </c:pt>
                <c:pt idx="2">
                  <c:v>2010年</c:v>
                </c:pt>
                <c:pt idx="3">
                  <c:v>2011年</c:v>
                </c:pt>
                <c:pt idx="4">
                  <c:v>2012年</c:v>
                </c:pt>
              </c:strCache>
            </c:strRef>
          </c:cat>
          <c:val>
            <c:numRef>
              <c:f>Sheet1!$B$3:$F$3</c:f>
              <c:numCache>
                <c:formatCode>General</c:formatCode>
                <c:ptCount val="5"/>
                <c:pt idx="0">
                  <c:v>3.59</c:v>
                </c:pt>
                <c:pt idx="1">
                  <c:v>7.02</c:v>
                </c:pt>
                <c:pt idx="2">
                  <c:v>11.22</c:v>
                </c:pt>
                <c:pt idx="3">
                  <c:v>9.4</c:v>
                </c:pt>
                <c:pt idx="4">
                  <c:v>7.51</c:v>
                </c:pt>
              </c:numCache>
            </c:numRef>
          </c:val>
          <c:smooth val="0"/>
          <c:extLst>
            <c:ext xmlns:c16="http://schemas.microsoft.com/office/drawing/2014/chart" uri="{C3380CC4-5D6E-409C-BE32-E72D297353CC}">
              <c16:uniqueId val="{00000001-2030-407A-B646-7C88264BABA1}"/>
            </c:ext>
          </c:extLst>
        </c:ser>
        <c:ser>
          <c:idx val="2"/>
          <c:order val="2"/>
          <c:tx>
            <c:strRef>
              <c:f>Sheet1!$A$4</c:f>
              <c:strCache>
                <c:ptCount val="1"/>
                <c:pt idx="0">
                  <c:v>主营业务收入</c:v>
                </c:pt>
              </c:strCache>
            </c:strRef>
          </c:tx>
          <c:spPr>
            <a:ln w="12701">
              <a:solidFill>
                <a:srgbClr val="FFFF00"/>
              </a:solidFill>
              <a:prstDash val="solid"/>
            </a:ln>
          </c:spPr>
          <c:marker>
            <c:symbol val="triangle"/>
            <c:size val="5"/>
            <c:spPr>
              <a:solidFill>
                <a:srgbClr val="FFFF00"/>
              </a:solidFill>
              <a:ln>
                <a:solidFill>
                  <a:srgbClr val="FFFF00"/>
                </a:solidFill>
                <a:prstDash val="solid"/>
              </a:ln>
            </c:spPr>
          </c:marker>
          <c:cat>
            <c:strRef>
              <c:f>Sheet1!$B$1:$F$1</c:f>
              <c:strCache>
                <c:ptCount val="5"/>
                <c:pt idx="0">
                  <c:v>2008年</c:v>
                </c:pt>
                <c:pt idx="1">
                  <c:v>2009年</c:v>
                </c:pt>
                <c:pt idx="2">
                  <c:v>2010年</c:v>
                </c:pt>
                <c:pt idx="3">
                  <c:v>2011年</c:v>
                </c:pt>
                <c:pt idx="4">
                  <c:v>2012年</c:v>
                </c:pt>
              </c:strCache>
            </c:strRef>
          </c:cat>
          <c:val>
            <c:numRef>
              <c:f>Sheet1!$B$4:$F$4</c:f>
              <c:numCache>
                <c:formatCode>0.00_ </c:formatCode>
                <c:ptCount val="5"/>
                <c:pt idx="0">
                  <c:v>24.21</c:v>
                </c:pt>
                <c:pt idx="1">
                  <c:v>30.1</c:v>
                </c:pt>
                <c:pt idx="2">
                  <c:v>35.299999999999997</c:v>
                </c:pt>
                <c:pt idx="3">
                  <c:v>35.78</c:v>
                </c:pt>
                <c:pt idx="4">
                  <c:v>27.9</c:v>
                </c:pt>
              </c:numCache>
            </c:numRef>
          </c:val>
          <c:smooth val="0"/>
          <c:extLst>
            <c:ext xmlns:c16="http://schemas.microsoft.com/office/drawing/2014/chart" uri="{C3380CC4-5D6E-409C-BE32-E72D297353CC}">
              <c16:uniqueId val="{00000002-2030-407A-B646-7C88264BABA1}"/>
            </c:ext>
          </c:extLst>
        </c:ser>
        <c:ser>
          <c:idx val="3"/>
          <c:order val="3"/>
          <c:tx>
            <c:strRef>
              <c:f>Sheet1!$A$5</c:f>
              <c:strCache>
                <c:ptCount val="1"/>
                <c:pt idx="0">
                  <c:v>主营业务成本</c:v>
                </c:pt>
              </c:strCache>
            </c:strRef>
          </c:tx>
          <c:spPr>
            <a:ln w="12701">
              <a:solidFill>
                <a:srgbClr val="00FFFF"/>
              </a:solidFill>
              <a:prstDash val="solid"/>
            </a:ln>
          </c:spPr>
          <c:marker>
            <c:symbol val="x"/>
            <c:size val="5"/>
            <c:spPr>
              <a:noFill/>
              <a:ln>
                <a:solidFill>
                  <a:srgbClr val="00FFFF"/>
                </a:solidFill>
                <a:prstDash val="solid"/>
              </a:ln>
            </c:spPr>
          </c:marker>
          <c:cat>
            <c:strRef>
              <c:f>Sheet1!$B$1:$F$1</c:f>
              <c:strCache>
                <c:ptCount val="5"/>
                <c:pt idx="0">
                  <c:v>2008年</c:v>
                </c:pt>
                <c:pt idx="1">
                  <c:v>2009年</c:v>
                </c:pt>
                <c:pt idx="2">
                  <c:v>2010年</c:v>
                </c:pt>
                <c:pt idx="3">
                  <c:v>2011年</c:v>
                </c:pt>
                <c:pt idx="4">
                  <c:v>2012年</c:v>
                </c:pt>
              </c:strCache>
            </c:strRef>
          </c:cat>
          <c:val>
            <c:numRef>
              <c:f>Sheet1!$B$5:$F$5</c:f>
              <c:numCache>
                <c:formatCode>0.00_ </c:formatCode>
                <c:ptCount val="5"/>
                <c:pt idx="0">
                  <c:v>18.3</c:v>
                </c:pt>
                <c:pt idx="1">
                  <c:v>22.62</c:v>
                </c:pt>
                <c:pt idx="2">
                  <c:v>27.52</c:v>
                </c:pt>
                <c:pt idx="3">
                  <c:v>25.87</c:v>
                </c:pt>
                <c:pt idx="4">
                  <c:v>19.18</c:v>
                </c:pt>
              </c:numCache>
            </c:numRef>
          </c:val>
          <c:smooth val="0"/>
          <c:extLst>
            <c:ext xmlns:c16="http://schemas.microsoft.com/office/drawing/2014/chart" uri="{C3380CC4-5D6E-409C-BE32-E72D297353CC}">
              <c16:uniqueId val="{00000003-2030-407A-B646-7C88264BABA1}"/>
            </c:ext>
          </c:extLst>
        </c:ser>
        <c:dLbls>
          <c:showLegendKey val="0"/>
          <c:showVal val="0"/>
          <c:showCatName val="0"/>
          <c:showSerName val="0"/>
          <c:showPercent val="0"/>
          <c:showBubbleSize val="0"/>
        </c:dLbls>
        <c:marker val="1"/>
        <c:smooth val="0"/>
        <c:axId val="280951944"/>
        <c:axId val="280952336"/>
      </c:lineChart>
      <c:catAx>
        <c:axId val="280951944"/>
        <c:scaling>
          <c:orientation val="minMax"/>
        </c:scaling>
        <c:delete val="0"/>
        <c:axPos val="b"/>
        <c:numFmt formatCode="General" sourceLinked="1"/>
        <c:majorTickMark val="in"/>
        <c:minorTickMark val="none"/>
        <c:tickLblPos val="nextTo"/>
        <c:spPr>
          <a:ln w="3175">
            <a:solidFill>
              <a:srgbClr val="000000"/>
            </a:solidFill>
            <a:prstDash val="solid"/>
          </a:ln>
        </c:spPr>
        <c:txPr>
          <a:bodyPr rot="0" vert="horz"/>
          <a:lstStyle/>
          <a:p>
            <a:pPr>
              <a:defRPr sz="1100" b="0" i="0" u="none" strike="noStrike" baseline="0">
                <a:solidFill>
                  <a:srgbClr val="000000"/>
                </a:solidFill>
                <a:latin typeface="宋体"/>
                <a:ea typeface="宋体"/>
                <a:cs typeface="宋体"/>
              </a:defRPr>
            </a:pPr>
            <a:endParaRPr lang="zh-CN"/>
          </a:p>
        </c:txPr>
        <c:crossAx val="280952336"/>
        <c:crosses val="autoZero"/>
        <c:auto val="1"/>
        <c:lblAlgn val="ctr"/>
        <c:lblOffset val="100"/>
        <c:tickLblSkip val="1"/>
        <c:tickMarkSkip val="1"/>
        <c:noMultiLvlLbl val="0"/>
      </c:catAx>
      <c:valAx>
        <c:axId val="280952336"/>
        <c:scaling>
          <c:orientation val="minMax"/>
        </c:scaling>
        <c:delete val="0"/>
        <c:axPos val="l"/>
        <c:majorGridlines>
          <c:spPr>
            <a:ln w="3175">
              <a:solidFill>
                <a:srgbClr val="000000"/>
              </a:solidFill>
              <a:prstDash val="solid"/>
            </a:ln>
          </c:spPr>
        </c:majorGridlines>
        <c:numFmt formatCode="General" sourceLinked="1"/>
        <c:majorTickMark val="in"/>
        <c:minorTickMark val="none"/>
        <c:tickLblPos val="nextTo"/>
        <c:spPr>
          <a:ln w="3175">
            <a:solidFill>
              <a:srgbClr val="000000"/>
            </a:solidFill>
            <a:prstDash val="solid"/>
          </a:ln>
        </c:spPr>
        <c:txPr>
          <a:bodyPr rot="0" vert="horz"/>
          <a:lstStyle/>
          <a:p>
            <a:pPr>
              <a:defRPr sz="1100" b="0" i="0" u="none" strike="noStrike" baseline="0">
                <a:solidFill>
                  <a:srgbClr val="000000"/>
                </a:solidFill>
                <a:latin typeface="宋体"/>
                <a:ea typeface="宋体"/>
                <a:cs typeface="宋体"/>
              </a:defRPr>
            </a:pPr>
            <a:endParaRPr lang="zh-CN"/>
          </a:p>
        </c:txPr>
        <c:crossAx val="280951944"/>
        <c:crosses val="autoZero"/>
        <c:crossBetween val="between"/>
      </c:valAx>
      <c:spPr>
        <a:solidFill>
          <a:srgbClr val="C0C0C0"/>
        </a:solidFill>
        <a:ln w="12701">
          <a:solidFill>
            <a:srgbClr val="808080"/>
          </a:solidFill>
          <a:prstDash val="solid"/>
        </a:ln>
      </c:spPr>
    </c:plotArea>
    <c:legend>
      <c:legendPos val="r"/>
      <c:layout>
        <c:manualLayout>
          <c:xMode val="edge"/>
          <c:yMode val="edge"/>
          <c:x val="0.65546218487394958"/>
          <c:y val="9.7297297297297303E-2"/>
          <c:w val="0.33613445378151263"/>
          <c:h val="0.80540540540540539"/>
        </c:manualLayout>
      </c:layout>
      <c:overlay val="0"/>
      <c:spPr>
        <a:solidFill>
          <a:srgbClr val="FFFFFF"/>
        </a:solidFill>
        <a:ln w="3175">
          <a:solidFill>
            <a:srgbClr val="000000"/>
          </a:solidFill>
          <a:prstDash val="solid"/>
        </a:ln>
      </c:spPr>
      <c:txPr>
        <a:bodyPr/>
        <a:lstStyle/>
        <a:p>
          <a:pPr>
            <a:defRPr sz="1010" b="0" i="0" u="none" strike="noStrike" baseline="0">
              <a:solidFill>
                <a:srgbClr val="000000"/>
              </a:solidFill>
              <a:latin typeface="宋体"/>
              <a:ea typeface="宋体"/>
              <a:cs typeface="宋体"/>
            </a:defRPr>
          </a:pPr>
          <a:endParaRPr lang="zh-CN"/>
        </a:p>
      </c:txPr>
    </c:legend>
    <c:plotVisOnly val="1"/>
    <c:dispBlanksAs val="gap"/>
    <c:showDLblsOverMax val="0"/>
  </c:chart>
  <c:spPr>
    <a:solidFill>
      <a:srgbClr val="FFFFFF"/>
    </a:solidFill>
    <a:ln w="3175">
      <a:solidFill>
        <a:srgbClr val="000000"/>
      </a:solidFill>
      <a:prstDash val="solid"/>
    </a:ln>
  </c:spPr>
  <c:txPr>
    <a:bodyPr/>
    <a:lstStyle/>
    <a:p>
      <a:pPr>
        <a:defRPr sz="1100" b="0" i="0" u="none" strike="noStrike" baseline="0">
          <a:solidFill>
            <a:srgbClr val="000000"/>
          </a:solidFill>
          <a:latin typeface="宋体"/>
          <a:ea typeface="宋体"/>
          <a:cs typeface="宋体"/>
        </a:defRPr>
      </a:pPr>
      <a:endParaRPr lang="zh-CN"/>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4896</Words>
  <Characters>27910</Characters>
  <Application>Microsoft Office Word</Application>
  <DocSecurity>0</DocSecurity>
  <Lines>232</Lines>
  <Paragraphs>65</Paragraphs>
  <ScaleCrop>false</ScaleCrop>
  <Company>微软中国</Company>
  <LinksUpToDate>false</LinksUpToDate>
  <CharactersWithSpaces>32741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第三章 会计分析</dc:title>
  <dc:subject/>
  <dc:creator>微软用户</dc:creator>
  <cp:keywords/>
  <cp:lastModifiedBy>张艳坤</cp:lastModifiedBy>
  <cp:revision>3</cp:revision>
  <dcterms:created xsi:type="dcterms:W3CDTF">2014-08-04T23:13:00Z</dcterms:created>
  <dcterms:modified xsi:type="dcterms:W3CDTF">2017-01-18T19:40:00Z</dcterms:modified>
</cp:coreProperties>
</file>