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5BB6" w:rsidRPr="006F7560" w:rsidRDefault="00081914" w:rsidP="00B12527">
      <w:pPr>
        <w:pStyle w:val="a4"/>
        <w:rPr>
          <w:rFonts w:ascii="仿宋" w:eastAsia="仿宋" w:hAnsi="仿宋"/>
          <w:sz w:val="40"/>
        </w:rPr>
      </w:pPr>
      <w:r w:rsidRPr="006F7560">
        <w:rPr>
          <w:rFonts w:ascii="仿宋" w:eastAsia="仿宋" w:hAnsi="仿宋" w:hint="eastAsia"/>
          <w:sz w:val="40"/>
        </w:rPr>
        <w:t>最高人民法院关于金融资产管理公司收购、处置银行不良资产有关问题的补充通知</w:t>
      </w:r>
    </w:p>
    <w:p w:rsidR="00995BB6" w:rsidRPr="004E20D1" w:rsidRDefault="00081914" w:rsidP="00995BB6">
      <w:pPr>
        <w:widowControl/>
        <w:wordWrap w:val="0"/>
        <w:spacing w:line="288" w:lineRule="auto"/>
        <w:jc w:val="center"/>
        <w:rPr>
          <w:rFonts w:ascii="仿宋" w:eastAsia="仿宋" w:hAnsi="仿宋" w:cs="Arial"/>
          <w:color w:val="000000"/>
          <w:kern w:val="0"/>
          <w:szCs w:val="21"/>
        </w:rPr>
      </w:pPr>
      <w:r w:rsidRPr="004E20D1">
        <w:rPr>
          <w:rFonts w:ascii="仿宋" w:eastAsia="仿宋" w:hAnsi="仿宋" w:cs="Arial" w:hint="eastAsia"/>
          <w:bCs/>
          <w:smallCaps/>
          <w:color w:val="000000"/>
          <w:kern w:val="0"/>
          <w:sz w:val="22"/>
          <w:szCs w:val="22"/>
        </w:rPr>
        <w:t>（法发[2005]62号）</w:t>
      </w:r>
      <w:bookmarkStart w:id="0" w:name="_GoBack"/>
      <w:bookmarkEnd w:id="0"/>
    </w:p>
    <w:p w:rsidR="00995BB6" w:rsidRPr="004E20D1" w:rsidRDefault="00081914" w:rsidP="00B46A46">
      <w:pPr>
        <w:widowControl/>
        <w:spacing w:line="288" w:lineRule="auto"/>
        <w:jc w:val="left"/>
        <w:rPr>
          <w:rFonts w:ascii="仿宋" w:eastAsia="仿宋" w:hAnsi="仿宋" w:cs="Arial"/>
          <w:b/>
          <w:color w:val="000000"/>
          <w:kern w:val="0"/>
          <w:sz w:val="28"/>
          <w:szCs w:val="28"/>
        </w:rPr>
      </w:pPr>
      <w:r w:rsidRPr="004E20D1">
        <w:rPr>
          <w:rFonts w:ascii="仿宋" w:eastAsia="仿宋" w:hAnsi="仿宋" w:cs="Arial"/>
          <w:b/>
          <w:color w:val="000000"/>
          <w:kern w:val="0"/>
          <w:sz w:val="28"/>
          <w:szCs w:val="28"/>
        </w:rPr>
        <w:t>各省、自治区、直辖市高级人民法院，新疆维吾尔自治区高级人民法院生产建设兵团分院：</w:t>
      </w:r>
    </w:p>
    <w:p w:rsidR="00995BB6" w:rsidRPr="004E20D1" w:rsidRDefault="00081914" w:rsidP="00B46A46">
      <w:pPr>
        <w:widowControl/>
        <w:wordWrap w:val="0"/>
        <w:spacing w:line="288" w:lineRule="auto"/>
        <w:jc w:val="left"/>
        <w:rPr>
          <w:rFonts w:ascii="仿宋" w:eastAsia="仿宋" w:hAnsi="仿宋" w:cs="Arial"/>
          <w:color w:val="000000"/>
          <w:kern w:val="0"/>
          <w:sz w:val="28"/>
          <w:szCs w:val="28"/>
        </w:rPr>
      </w:pPr>
      <w:r w:rsidRPr="004E20D1">
        <w:rPr>
          <w:rFonts w:ascii="仿宋" w:eastAsia="仿宋" w:hAnsi="仿宋" w:cs="Arial"/>
          <w:color w:val="000000"/>
          <w:kern w:val="0"/>
          <w:sz w:val="28"/>
          <w:szCs w:val="28"/>
        </w:rPr>
        <w:t>为了深化金融改革，规范金融秩序，本院先后下发了《关于审理金融资产管理公司收购、管理、处置国有银行不良贷款形成的资产的案件适用法律若干问题的规定》、《关于贯彻执行最高人民法院“十二条”司法解释有关问题的函的答复》和《关于国有金融资产管理公司处置国有商业银行不良资产案件交纳诉讼费用的通知》。最近，根据国务院关于国有独资商业银行股份制改革的总体部署，中国信达资产管理公司收购了中国银行、中国建设银行和交通银行剥离的不良资产。为了维护金融资产安全，降低不良资产处置成本，现将审理金融资产管理公司在收购、处置不良资产发生的纠纷案件的有关问题补充通知如下：</w:t>
      </w:r>
      <w:bookmarkStart w:id="1" w:name="1"/>
    </w:p>
    <w:p w:rsidR="00A8405C" w:rsidRPr="004E20D1" w:rsidRDefault="00081914" w:rsidP="00A8405C">
      <w:pPr>
        <w:widowControl/>
        <w:wordWrap w:val="0"/>
        <w:spacing w:line="288" w:lineRule="auto"/>
        <w:jc w:val="left"/>
        <w:rPr>
          <w:rFonts w:ascii="仿宋" w:eastAsia="仿宋" w:hAnsi="仿宋" w:cs="Arial" w:hint="eastAsia"/>
          <w:color w:val="000000"/>
          <w:kern w:val="0"/>
          <w:sz w:val="28"/>
          <w:szCs w:val="28"/>
        </w:rPr>
      </w:pPr>
      <w:r w:rsidRPr="004E20D1">
        <w:rPr>
          <w:rFonts w:ascii="仿宋" w:eastAsia="仿宋" w:hAnsi="仿宋" w:cs="Arial" w:hint="eastAsia"/>
          <w:b/>
          <w:bCs/>
          <w:smallCaps/>
          <w:color w:val="000000"/>
          <w:kern w:val="0"/>
          <w:sz w:val="28"/>
          <w:szCs w:val="28"/>
        </w:rPr>
        <w:t>一、</w:t>
      </w:r>
      <w:bookmarkEnd w:id="1"/>
      <w:r w:rsidRPr="004E20D1">
        <w:rPr>
          <w:rFonts w:ascii="仿宋" w:eastAsia="仿宋" w:hAnsi="仿宋" w:cs="Arial"/>
          <w:color w:val="000000"/>
          <w:kern w:val="0"/>
          <w:sz w:val="28"/>
          <w:szCs w:val="28"/>
        </w:rPr>
        <w:t>国有商业银行(包括国有控股银行)向金融资产管理公司转让不良贷款，或者金融资产管理公司受让不良贷款后，通过债权转让方式处置不良资产的，可以适用本院发布的上述规定。</w:t>
      </w:r>
      <w:bookmarkStart w:id="2" w:name="2"/>
    </w:p>
    <w:p w:rsidR="00A8405C" w:rsidRPr="004E20D1" w:rsidRDefault="00081914" w:rsidP="00A8405C">
      <w:pPr>
        <w:widowControl/>
        <w:wordWrap w:val="0"/>
        <w:spacing w:line="288" w:lineRule="auto"/>
        <w:jc w:val="left"/>
        <w:rPr>
          <w:rFonts w:ascii="仿宋" w:eastAsia="仿宋" w:hAnsi="仿宋" w:cs="Arial" w:hint="eastAsia"/>
          <w:color w:val="000000"/>
          <w:kern w:val="0"/>
          <w:sz w:val="28"/>
          <w:szCs w:val="28"/>
        </w:rPr>
      </w:pPr>
      <w:r w:rsidRPr="004E20D1">
        <w:rPr>
          <w:rFonts w:ascii="仿宋" w:eastAsia="仿宋" w:hAnsi="仿宋" w:cs="Arial" w:hint="eastAsia"/>
          <w:b/>
          <w:bCs/>
          <w:smallCaps/>
          <w:color w:val="000000"/>
          <w:kern w:val="0"/>
          <w:sz w:val="28"/>
          <w:szCs w:val="28"/>
        </w:rPr>
        <w:t>二、</w:t>
      </w:r>
      <w:bookmarkEnd w:id="2"/>
      <w:r w:rsidRPr="004E20D1">
        <w:rPr>
          <w:rFonts w:ascii="仿宋" w:eastAsia="仿宋" w:hAnsi="仿宋" w:cs="Arial"/>
          <w:color w:val="000000"/>
          <w:kern w:val="0"/>
          <w:sz w:val="28"/>
          <w:szCs w:val="28"/>
        </w:rPr>
        <w:t>国有商业银行(包括国有控股银行)向金融资产管理公司转让不良贷款，或者金融资产管理公司收购、处置不良贷款的，担保债权同时转让无须征得担保人的同意，担保人仍应在原担保范围内对受让人继续承担担保责任。担保合同中关于合同变更需经担保人同意的约定，对债权人转让债权没有约束力。</w:t>
      </w:r>
      <w:bookmarkStart w:id="3" w:name="3"/>
    </w:p>
    <w:p w:rsidR="00A8405C" w:rsidRPr="004E20D1" w:rsidRDefault="00081914" w:rsidP="00A8405C">
      <w:pPr>
        <w:widowControl/>
        <w:wordWrap w:val="0"/>
        <w:spacing w:line="288" w:lineRule="auto"/>
        <w:jc w:val="left"/>
        <w:rPr>
          <w:rFonts w:ascii="仿宋" w:eastAsia="仿宋" w:hAnsi="仿宋" w:cs="Arial" w:hint="eastAsia"/>
          <w:color w:val="000000"/>
          <w:kern w:val="0"/>
          <w:sz w:val="28"/>
          <w:szCs w:val="28"/>
        </w:rPr>
      </w:pPr>
      <w:r w:rsidRPr="004E20D1">
        <w:rPr>
          <w:rFonts w:ascii="仿宋" w:eastAsia="仿宋" w:hAnsi="仿宋" w:cs="Arial" w:hint="eastAsia"/>
          <w:b/>
          <w:bCs/>
          <w:smallCaps/>
          <w:color w:val="000000"/>
          <w:kern w:val="0"/>
          <w:sz w:val="28"/>
          <w:szCs w:val="28"/>
        </w:rPr>
        <w:t>三、</w:t>
      </w:r>
      <w:bookmarkEnd w:id="3"/>
      <w:r w:rsidRPr="004E20D1">
        <w:rPr>
          <w:rFonts w:ascii="仿宋" w:eastAsia="仿宋" w:hAnsi="仿宋" w:cs="Arial"/>
          <w:color w:val="000000"/>
          <w:kern w:val="0"/>
          <w:sz w:val="28"/>
          <w:szCs w:val="28"/>
        </w:rPr>
        <w:t>金融资产管理公司转让、处置已经涉及诉讼、执行或者破产等程序的不良债权时，人民法院应当根据债权转让协议和转让人或者受让人的申请，裁定变更诉讼或者执行主体。</w:t>
      </w:r>
    </w:p>
    <w:p w:rsidR="00A8405C" w:rsidRPr="004E20D1" w:rsidRDefault="00081914" w:rsidP="00A8405C">
      <w:pPr>
        <w:widowControl/>
        <w:wordWrap w:val="0"/>
        <w:spacing w:line="288" w:lineRule="auto"/>
        <w:jc w:val="left"/>
        <w:rPr>
          <w:rFonts w:ascii="仿宋" w:eastAsia="仿宋" w:hAnsi="仿宋" w:cs="Arial" w:hint="eastAsia"/>
          <w:color w:val="000000"/>
          <w:kern w:val="0"/>
          <w:sz w:val="28"/>
          <w:szCs w:val="28"/>
        </w:rPr>
      </w:pPr>
      <w:r w:rsidRPr="004E20D1">
        <w:rPr>
          <w:rFonts w:ascii="仿宋" w:eastAsia="仿宋" w:hAnsi="仿宋" w:cs="Arial"/>
          <w:color w:val="000000"/>
          <w:kern w:val="0"/>
          <w:sz w:val="28"/>
          <w:szCs w:val="28"/>
        </w:rPr>
        <w:t>最高人民法院</w:t>
      </w:r>
    </w:p>
    <w:p w:rsidR="009C67B8" w:rsidRPr="004E20D1" w:rsidRDefault="00081914" w:rsidP="00A8405C">
      <w:pPr>
        <w:widowControl/>
        <w:wordWrap w:val="0"/>
        <w:spacing w:line="288" w:lineRule="auto"/>
        <w:jc w:val="left"/>
        <w:rPr>
          <w:rFonts w:ascii="仿宋" w:eastAsia="仿宋" w:hAnsi="仿宋" w:cs="Arial"/>
          <w:color w:val="000000"/>
          <w:kern w:val="0"/>
          <w:sz w:val="28"/>
          <w:szCs w:val="28"/>
        </w:rPr>
      </w:pPr>
      <w:r w:rsidRPr="004E20D1">
        <w:rPr>
          <w:rFonts w:ascii="仿宋" w:eastAsia="仿宋" w:hAnsi="仿宋" w:cs="Arial"/>
          <w:color w:val="000000"/>
          <w:kern w:val="0"/>
          <w:sz w:val="28"/>
          <w:szCs w:val="28"/>
        </w:rPr>
        <w:t>二</w:t>
      </w:r>
      <w:proofErr w:type="gramStart"/>
      <w:r w:rsidRPr="004E20D1">
        <w:rPr>
          <w:rFonts w:ascii="仿宋" w:eastAsia="仿宋" w:hAnsi="仿宋" w:cs="Arial"/>
          <w:color w:val="000000"/>
          <w:kern w:val="0"/>
          <w:sz w:val="28"/>
          <w:szCs w:val="28"/>
        </w:rPr>
        <w:t>00</w:t>
      </w:r>
      <w:proofErr w:type="gramEnd"/>
      <w:r w:rsidRPr="004E20D1">
        <w:rPr>
          <w:rFonts w:ascii="仿宋" w:eastAsia="仿宋" w:hAnsi="仿宋" w:cs="Arial"/>
          <w:color w:val="000000"/>
          <w:kern w:val="0"/>
          <w:sz w:val="28"/>
          <w:szCs w:val="28"/>
        </w:rPr>
        <w:t>五年五月三十日</w:t>
      </w:r>
    </w:p>
    <w:sectPr w:rsidR="009C67B8" w:rsidRPr="004E20D1" w:rsidSect="00E65E17">
      <w:pgSz w:w="11906" w:h="16838" w:code="9"/>
      <w:pgMar w:top="1418" w:right="1797" w:bottom="1474" w:left="1797" w:header="720" w:footer="720" w:gutter="0"/>
      <w:cols w:space="425"/>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0"/>
  <w:drawingGridVerticalSpacing w:val="13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1914"/>
    <w:rsid w:val="00081914"/>
    <w:rsid w:val="004B6DB3"/>
    <w:rsid w:val="004E20D1"/>
    <w:rsid w:val="005D2E40"/>
    <w:rsid w:val="006F7560"/>
    <w:rsid w:val="00995BB6"/>
    <w:rsid w:val="009C67B8"/>
    <w:rsid w:val="00A8405C"/>
    <w:rsid w:val="00AE68DE"/>
    <w:rsid w:val="00B12527"/>
    <w:rsid w:val="00B46A46"/>
    <w:rsid w:val="00E65E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81914"/>
    <w:pPr>
      <w:widowControl/>
      <w:jc w:val="left"/>
    </w:pPr>
    <w:rPr>
      <w:rFonts w:ascii="宋体" w:hAnsi="宋体" w:cs="宋体"/>
      <w:color w:val="000000"/>
      <w:kern w:val="0"/>
      <w:sz w:val="24"/>
    </w:rPr>
  </w:style>
  <w:style w:type="paragraph" w:styleId="a4">
    <w:name w:val="Title"/>
    <w:basedOn w:val="a"/>
    <w:next w:val="a"/>
    <w:link w:val="Char"/>
    <w:qFormat/>
    <w:rsid w:val="00B12527"/>
    <w:pPr>
      <w:spacing w:before="240" w:after="60"/>
      <w:jc w:val="center"/>
      <w:outlineLvl w:val="0"/>
    </w:pPr>
    <w:rPr>
      <w:rFonts w:asciiTheme="majorHAnsi" w:hAnsiTheme="majorHAnsi" w:cstheme="majorBidi"/>
      <w:b/>
      <w:bCs/>
      <w:sz w:val="32"/>
      <w:szCs w:val="32"/>
    </w:rPr>
  </w:style>
  <w:style w:type="character" w:customStyle="1" w:styleId="Char">
    <w:name w:val="标题 Char"/>
    <w:basedOn w:val="a0"/>
    <w:link w:val="a4"/>
    <w:rsid w:val="00B12527"/>
    <w:rPr>
      <w:rFonts w:asciiTheme="majorHAnsi" w:hAnsiTheme="majorHAnsi" w:cstheme="majorBidi"/>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81914"/>
    <w:pPr>
      <w:widowControl/>
      <w:jc w:val="left"/>
    </w:pPr>
    <w:rPr>
      <w:rFonts w:ascii="宋体" w:hAnsi="宋体" w:cs="宋体"/>
      <w:color w:val="000000"/>
      <w:kern w:val="0"/>
      <w:sz w:val="24"/>
    </w:rPr>
  </w:style>
  <w:style w:type="paragraph" w:styleId="a4">
    <w:name w:val="Title"/>
    <w:basedOn w:val="a"/>
    <w:next w:val="a"/>
    <w:link w:val="Char"/>
    <w:qFormat/>
    <w:rsid w:val="00B12527"/>
    <w:pPr>
      <w:spacing w:before="240" w:after="60"/>
      <w:jc w:val="center"/>
      <w:outlineLvl w:val="0"/>
    </w:pPr>
    <w:rPr>
      <w:rFonts w:asciiTheme="majorHAnsi" w:hAnsiTheme="majorHAnsi" w:cstheme="majorBidi"/>
      <w:b/>
      <w:bCs/>
      <w:sz w:val="32"/>
      <w:szCs w:val="32"/>
    </w:rPr>
  </w:style>
  <w:style w:type="character" w:customStyle="1" w:styleId="Char">
    <w:name w:val="标题 Char"/>
    <w:basedOn w:val="a0"/>
    <w:link w:val="a4"/>
    <w:rsid w:val="00B12527"/>
    <w:rPr>
      <w:rFonts w:asciiTheme="majorHAnsi" w:hAnsiTheme="majorHAnsi" w:cstheme="majorBidi"/>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2770581">
      <w:bodyDiv w:val="1"/>
      <w:marLeft w:val="0"/>
      <w:marRight w:val="0"/>
      <w:marTop w:val="0"/>
      <w:marBottom w:val="0"/>
      <w:divBdr>
        <w:top w:val="none" w:sz="0" w:space="0" w:color="auto"/>
        <w:left w:val="none" w:sz="0" w:space="0" w:color="auto"/>
        <w:bottom w:val="none" w:sz="0" w:space="0" w:color="auto"/>
        <w:right w:val="none" w:sz="0" w:space="0" w:color="auto"/>
      </w:divBdr>
      <w:divsChild>
        <w:div w:id="18783974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101</Words>
  <Characters>581</Characters>
  <Application>Microsoft Office Word</Application>
  <DocSecurity>0</DocSecurity>
  <Lines>4</Lines>
  <Paragraphs>1</Paragraphs>
  <ScaleCrop>false</ScaleCrop>
  <Company>番茄花园</Company>
  <LinksUpToDate>false</LinksUpToDate>
  <CharactersWithSpaces>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最高人民法院关于金融资产管理公司收购、</dc:title>
  <dc:creator>番茄花园</dc:creator>
  <cp:lastModifiedBy>张艳坤</cp:lastModifiedBy>
  <cp:revision>8</cp:revision>
  <dcterms:created xsi:type="dcterms:W3CDTF">2016-12-06T01:54:00Z</dcterms:created>
  <dcterms:modified xsi:type="dcterms:W3CDTF">2016-12-06T01:55:00Z</dcterms:modified>
</cp:coreProperties>
</file>