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line="360" w:lineRule="auto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宋体" w:cs="Arial" w:hint="eastAsia"/>
          <w:b/>
          <w:sz w:val="30"/>
          <w:szCs w:val="30"/>
        </w:rPr>
        <w:t>ABN</w:t>
      </w:r>
      <w:r>
        <w:rPr>
          <w:rFonts w:ascii="Arial" w:hAnsi="宋体" w:cs="Arial" w:hint="eastAsia"/>
          <w:b/>
          <w:sz w:val="30"/>
          <w:szCs w:val="30"/>
        </w:rPr>
        <w:t>项目</w:t>
      </w:r>
      <w:bookmarkStart w:id="0" w:name="_GoBack"/>
      <w:bookmarkEnd w:id="0"/>
      <w:r>
        <w:rPr>
          <w:rFonts w:ascii="Arial" w:hAnsi="宋体" w:cs="Arial" w:hint="eastAsia"/>
          <w:b/>
          <w:sz w:val="30"/>
          <w:szCs w:val="30"/>
        </w:rPr>
        <w:t>尽职调查资料清单（企业版）</w:t>
      </w:r>
    </w:p>
    <w:p>
      <w:pPr>
        <w:spacing w:line="360" w:lineRule="auto"/>
        <w:jc w:val="center"/>
        <w:rPr>
          <w:rFonts w:ascii="Arial" w:hAnsi="Arial" w:cs="Arial"/>
          <w:b/>
          <w:szCs w:val="21"/>
        </w:rPr>
      </w:pPr>
    </w:p>
    <w:p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宋体" w:cs="Arial" w:hint="eastAsia"/>
          <w:b/>
          <w:sz w:val="24"/>
        </w:rPr>
        <w:t>一、公司基础资料</w:t>
      </w:r>
    </w:p>
    <w:p>
      <w:pPr>
        <w:spacing w:line="360" w:lineRule="auto"/>
        <w:ind w:firstLineChars="200" w:firstLine="420"/>
        <w:rPr>
          <w:rFonts w:ascii="Arial" w:hAnsi="Arial" w:cs="Arial"/>
          <w:bCs/>
          <w:szCs w:val="21"/>
        </w:rPr>
      </w:pPr>
      <w:r>
        <w:rPr>
          <w:rFonts w:ascii="Arial" w:hAnsi="Arial" w:cs="Arial" w:hint="eastAsia"/>
          <w:bCs/>
          <w:szCs w:val="21"/>
        </w:rPr>
        <w:t>1</w:t>
      </w:r>
      <w:r>
        <w:rPr>
          <w:rFonts w:ascii="Arial" w:hAnsi="宋体" w:cs="Arial" w:hint="eastAsia"/>
          <w:bCs/>
          <w:szCs w:val="21"/>
        </w:rPr>
        <w:t>、公司及主要下属企业（指对整个集团经营具有重大影响并为公司所控制的子公司，下同）章程及最近一期验资报告、营业执照（正、副本）、组织机构代码证、税务登记证复印件；</w:t>
      </w:r>
    </w:p>
    <w:p>
      <w:pPr>
        <w:spacing w:line="360" w:lineRule="auto"/>
        <w:ind w:firstLineChars="200" w:firstLine="420"/>
        <w:rPr>
          <w:rFonts w:ascii="Arial" w:hAnsi="宋体" w:cs="Arial"/>
          <w:bCs/>
          <w:szCs w:val="21"/>
        </w:rPr>
      </w:pPr>
      <w:r>
        <w:rPr>
          <w:rFonts w:ascii="Arial" w:hAnsi="Arial" w:cs="Arial" w:hint="eastAsia"/>
          <w:bCs/>
          <w:szCs w:val="21"/>
        </w:rPr>
        <w:t>2</w:t>
      </w:r>
      <w:r>
        <w:rPr>
          <w:rFonts w:ascii="Arial" w:hAnsi="宋体" w:cs="Arial" w:hint="eastAsia"/>
          <w:bCs/>
          <w:szCs w:val="21"/>
        </w:rPr>
        <w:t>、公司基本情况简介，历史沿革资料：反映自发行人成立之日以来的历次变更（包括但不限于增加或减少其注册资本，股权转让、资产重组或进行其它资本变更）详情的明细表及相关股东会决议、董事会决议、合同、批准和登记文件。</w:t>
      </w:r>
    </w:p>
    <w:p>
      <w:pPr>
        <w:spacing w:line="360" w:lineRule="auto"/>
        <w:ind w:firstLineChars="200" w:firstLine="420"/>
        <w:rPr>
          <w:rFonts w:ascii="Arial" w:hAnsi="宋体" w:cs="Arial"/>
          <w:bCs/>
          <w:szCs w:val="21"/>
        </w:rPr>
      </w:pPr>
      <w:r>
        <w:rPr>
          <w:rFonts w:ascii="Arial" w:hAnsi="宋体" w:cs="Arial" w:hint="eastAsia"/>
          <w:bCs/>
          <w:szCs w:val="21"/>
        </w:rPr>
        <w:t>3</w:t>
      </w:r>
      <w:r>
        <w:rPr>
          <w:rFonts w:ascii="Arial" w:hAnsi="宋体" w:cs="Arial" w:hint="eastAsia"/>
          <w:bCs/>
          <w:szCs w:val="21"/>
        </w:rPr>
        <w:t>、公司控股股东、实际控制人、主要下属企业：基本情况（简介）、历史沿革及生产经营情况，</w:t>
      </w:r>
      <w:r>
        <w:rPr>
          <w:rFonts w:ascii="Arial" w:hAnsi="宋体" w:cs="Arial"/>
          <w:bCs/>
          <w:szCs w:val="21"/>
        </w:rPr>
        <w:t>2010</w:t>
      </w:r>
      <w:r>
        <w:rPr>
          <w:rFonts w:ascii="Arial" w:hAnsi="宋体" w:cs="Arial" w:hint="eastAsia"/>
          <w:bCs/>
          <w:szCs w:val="21"/>
        </w:rPr>
        <w:t>年末、</w:t>
      </w:r>
      <w:r>
        <w:rPr>
          <w:rFonts w:ascii="Arial" w:hAnsi="Arial" w:cs="Arial"/>
          <w:bCs/>
          <w:szCs w:val="21"/>
        </w:rPr>
        <w:t>2011</w:t>
      </w:r>
      <w:r>
        <w:rPr>
          <w:rFonts w:ascii="Arial" w:hAnsi="宋体" w:cs="Arial" w:hint="eastAsia"/>
          <w:bCs/>
          <w:szCs w:val="21"/>
        </w:rPr>
        <w:t>年末和</w:t>
      </w:r>
      <w:r>
        <w:rPr>
          <w:rFonts w:ascii="Arial" w:hAnsi="Arial" w:cs="Arial"/>
          <w:bCs/>
          <w:szCs w:val="21"/>
        </w:rPr>
        <w:t>2012</w:t>
      </w:r>
      <w:r>
        <w:rPr>
          <w:rFonts w:ascii="Arial" w:hAnsi="Arial" w:cs="Arial" w:hint="eastAsia"/>
          <w:bCs/>
          <w:szCs w:val="21"/>
        </w:rPr>
        <w:t>年末</w:t>
      </w:r>
      <w:r>
        <w:rPr>
          <w:rFonts w:ascii="Arial" w:hAnsi="宋体" w:cs="Arial" w:hint="eastAsia"/>
          <w:bCs/>
          <w:szCs w:val="21"/>
        </w:rPr>
        <w:t>主要财务数据（总资产、净资产、主营业务收入和净利润等）。</w:t>
      </w:r>
    </w:p>
    <w:p>
      <w:pPr>
        <w:spacing w:line="360" w:lineRule="auto"/>
        <w:ind w:firstLineChars="200" w:firstLine="420"/>
        <w:rPr>
          <w:rFonts w:ascii="Arial" w:hAnsi="Arial" w:cs="Arial"/>
          <w:bCs/>
          <w:szCs w:val="21"/>
        </w:rPr>
      </w:pPr>
      <w:r>
        <w:rPr>
          <w:rFonts w:ascii="Arial" w:hAnsi="宋体" w:cs="Arial" w:hint="eastAsia"/>
          <w:bCs/>
          <w:szCs w:val="21"/>
        </w:rPr>
        <w:t>截至</w:t>
      </w:r>
      <w:r>
        <w:rPr>
          <w:rFonts w:ascii="Arial" w:hAnsi="Arial" w:cs="Arial"/>
          <w:bCs/>
          <w:szCs w:val="21"/>
        </w:rPr>
        <w:t>2012</w:t>
      </w:r>
      <w:r>
        <w:rPr>
          <w:rFonts w:ascii="Arial" w:hAnsi="Arial" w:cs="Arial" w:hint="eastAsia"/>
          <w:bCs/>
          <w:szCs w:val="21"/>
        </w:rPr>
        <w:t>年末</w:t>
      </w:r>
      <w:r>
        <w:rPr>
          <w:rFonts w:ascii="Arial" w:hAnsi="宋体" w:cs="Arial" w:hint="eastAsia"/>
          <w:bCs/>
          <w:szCs w:val="21"/>
        </w:rPr>
        <w:t>，公司下属企业情况表：</w:t>
      </w:r>
    </w:p>
    <w:tbl>
      <w:tblPr>
        <w:tblW w:w="5102" w:type="pct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"/>
        <w:gridCol w:w="1633"/>
        <w:gridCol w:w="1632"/>
        <w:gridCol w:w="1632"/>
        <w:gridCol w:w="1844"/>
        <w:gridCol w:w="1036"/>
      </w:tblGrid>
      <w:tr>
        <w:trPr>
          <w:trHeight w:val="284"/>
          <w:tblHeader/>
          <w:jc w:val="center"/>
        </w:trPr>
        <w:tc>
          <w:tcPr>
            <w:tcW w:w="411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序号</w:t>
            </w:r>
          </w:p>
        </w:tc>
        <w:tc>
          <w:tcPr>
            <w:tcW w:w="96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公司名称</w:t>
            </w:r>
          </w:p>
        </w:tc>
        <w:tc>
          <w:tcPr>
            <w:tcW w:w="96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注册资本</w:t>
            </w:r>
          </w:p>
        </w:tc>
        <w:tc>
          <w:tcPr>
            <w:tcW w:w="96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经营范围</w:t>
            </w:r>
          </w:p>
        </w:tc>
        <w:tc>
          <w:tcPr>
            <w:tcW w:w="108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合计持股比例（％）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备注</w:t>
            </w:r>
          </w:p>
        </w:tc>
      </w:tr>
      <w:tr>
        <w:trPr>
          <w:trHeight w:val="284"/>
          <w:jc w:val="center"/>
        </w:trPr>
        <w:tc>
          <w:tcPr>
            <w:tcW w:w="411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411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411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vAlign w:val="center"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宋体" w:cs="Arial"/>
          <w:bCs/>
          <w:szCs w:val="21"/>
        </w:rPr>
      </w:pPr>
      <w:r>
        <w:rPr>
          <w:rFonts w:ascii="Arial" w:hAnsi="宋体" w:cs="Arial" w:hint="eastAsia"/>
          <w:bCs/>
          <w:szCs w:val="21"/>
        </w:rPr>
        <w:t>4</w:t>
      </w:r>
      <w:r>
        <w:rPr>
          <w:rFonts w:ascii="Arial" w:hAnsi="宋体" w:cs="Arial" w:hint="eastAsia"/>
          <w:bCs/>
          <w:szCs w:val="21"/>
        </w:rPr>
        <w:t>、公司控股股东、实际控制人持有公司股份质押及冻结情况；</w:t>
      </w:r>
    </w:p>
    <w:p>
      <w:pPr>
        <w:spacing w:line="360" w:lineRule="auto"/>
        <w:ind w:firstLineChars="200" w:firstLine="420"/>
        <w:rPr>
          <w:rFonts w:ascii="Arial" w:hAnsi="宋体" w:cs="Arial"/>
          <w:bCs/>
          <w:szCs w:val="21"/>
        </w:rPr>
      </w:pPr>
      <w:r>
        <w:rPr>
          <w:rFonts w:ascii="Arial" w:hAnsi="宋体" w:cs="Arial" w:hint="eastAsia"/>
          <w:bCs/>
          <w:szCs w:val="21"/>
        </w:rPr>
        <w:t>5</w:t>
      </w:r>
      <w:r>
        <w:rPr>
          <w:rFonts w:ascii="Arial" w:hAnsi="宋体" w:cs="Arial" w:hint="eastAsia"/>
          <w:bCs/>
          <w:szCs w:val="21"/>
        </w:rPr>
        <w:t>、公司与控股股东、实际控制人在资产、人员、机构、财务等方面相互独立情况；</w:t>
      </w:r>
    </w:p>
    <w:p>
      <w:pPr>
        <w:spacing w:line="360" w:lineRule="auto"/>
        <w:ind w:firstLineChars="200" w:firstLine="420"/>
        <w:rPr>
          <w:rFonts w:ascii="Arial" w:hAnsi="Arial" w:cs="Arial"/>
          <w:bCs/>
          <w:szCs w:val="21"/>
        </w:rPr>
      </w:pPr>
      <w:r>
        <w:rPr>
          <w:rFonts w:ascii="Arial" w:hAnsi="宋体" w:cs="Arial" w:hint="eastAsia"/>
          <w:bCs/>
          <w:szCs w:val="21"/>
        </w:rPr>
        <w:t>6</w:t>
      </w:r>
      <w:r>
        <w:rPr>
          <w:rFonts w:ascii="Arial" w:hAnsi="宋体" w:cs="Arial" w:hint="eastAsia"/>
          <w:bCs/>
          <w:szCs w:val="21"/>
        </w:rPr>
        <w:t>、公司股权结构图、内部组织结构图及各职能部门职责；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宋体" w:cs="Arial" w:hint="eastAsia"/>
          <w:szCs w:val="21"/>
        </w:rPr>
        <w:t>7</w:t>
      </w:r>
      <w:r>
        <w:rPr>
          <w:rFonts w:ascii="Arial" w:hAnsi="宋体" w:cs="Arial" w:hint="eastAsia"/>
          <w:szCs w:val="21"/>
        </w:rPr>
        <w:t>、公司高级管理管理制度、人员名单、任职起止年、详细履历及最新的聘请文件；公司员工</w:t>
      </w:r>
      <w:r>
        <w:rPr>
          <w:rFonts w:ascii="Arial" w:hAnsi="Arial" w:cs="Arial"/>
          <w:bCs/>
          <w:szCs w:val="21"/>
        </w:rPr>
        <w:t>2011</w:t>
      </w:r>
      <w:r>
        <w:rPr>
          <w:rFonts w:ascii="Arial" w:hAnsi="Arial" w:cs="Arial" w:hint="eastAsia"/>
          <w:bCs/>
          <w:szCs w:val="21"/>
        </w:rPr>
        <w:t>年末</w:t>
      </w:r>
      <w:r>
        <w:rPr>
          <w:rFonts w:ascii="Arial" w:hAnsi="宋体" w:cs="Arial" w:hint="eastAsia"/>
          <w:bCs/>
          <w:szCs w:val="21"/>
        </w:rPr>
        <w:t>和</w:t>
      </w:r>
      <w:r>
        <w:rPr>
          <w:rFonts w:ascii="Arial" w:hAnsi="Arial" w:cs="Arial"/>
          <w:bCs/>
          <w:szCs w:val="21"/>
        </w:rPr>
        <w:t>2012</w:t>
      </w:r>
      <w:r>
        <w:rPr>
          <w:rFonts w:ascii="Arial" w:hAnsi="Arial" w:cs="Arial" w:hint="eastAsia"/>
          <w:bCs/>
          <w:szCs w:val="21"/>
        </w:rPr>
        <w:t>年末</w:t>
      </w:r>
      <w:r>
        <w:rPr>
          <w:rFonts w:ascii="Arial" w:hAnsi="宋体" w:cs="Arial" w:hint="eastAsia"/>
          <w:szCs w:val="21"/>
        </w:rPr>
        <w:t>统计数据（按年龄、职称、受教育程度和岗位名称进行细分）；</w:t>
      </w:r>
    </w:p>
    <w:p>
      <w:pPr>
        <w:spacing w:line="360" w:lineRule="auto"/>
        <w:ind w:firstLineChars="200" w:firstLine="420"/>
        <w:rPr>
          <w:rFonts w:ascii="Arial" w:hAnsi="宋体" w:cs="Arial"/>
          <w:szCs w:val="21"/>
        </w:rPr>
      </w:pPr>
      <w:r>
        <w:rPr>
          <w:rFonts w:ascii="Arial" w:hAnsi="宋体" w:cs="Arial" w:hint="eastAsia"/>
          <w:szCs w:val="21"/>
        </w:rPr>
        <w:t>8</w:t>
      </w:r>
      <w:r>
        <w:rPr>
          <w:rFonts w:ascii="Arial" w:hAnsi="宋体" w:cs="Arial" w:hint="eastAsia"/>
          <w:szCs w:val="21"/>
        </w:rPr>
        <w:t>、公司及主要下属企业所获得的各种业务资质、行业特许经营许可证、专利认证等的复印件；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宋体" w:cs="Arial" w:hint="eastAsia"/>
          <w:szCs w:val="21"/>
        </w:rPr>
        <w:t>9</w:t>
      </w:r>
      <w:r>
        <w:rPr>
          <w:rFonts w:ascii="Arial" w:hAnsi="宋体" w:cs="Arial" w:hint="eastAsia"/>
          <w:szCs w:val="21"/>
        </w:rPr>
        <w:t>、</w:t>
      </w:r>
      <w:r>
        <w:rPr>
          <w:rFonts w:ascii="Arial" w:hAnsi="宋体" w:cs="Arial" w:hint="eastAsia"/>
          <w:szCs w:val="18"/>
        </w:rPr>
        <w:t>政府相关文件：包括国家</w:t>
      </w:r>
      <w:r>
        <w:rPr>
          <w:rFonts w:ascii="Arial" w:hAnsi="Arial" w:cs="Arial" w:hint="eastAsia"/>
          <w:szCs w:val="18"/>
        </w:rPr>
        <w:t>（</w:t>
      </w:r>
      <w:r>
        <w:rPr>
          <w:rFonts w:ascii="Arial" w:hAnsi="宋体" w:cs="Arial" w:hint="eastAsia"/>
          <w:szCs w:val="18"/>
        </w:rPr>
        <w:t>政府</w:t>
      </w:r>
      <w:r>
        <w:rPr>
          <w:rFonts w:ascii="Arial" w:hAnsi="Arial" w:cs="Arial" w:hint="eastAsia"/>
          <w:szCs w:val="18"/>
        </w:rPr>
        <w:t>）</w:t>
      </w:r>
      <w:r>
        <w:rPr>
          <w:rFonts w:ascii="Arial" w:hAnsi="宋体" w:cs="Arial" w:hint="eastAsia"/>
          <w:szCs w:val="18"/>
        </w:rPr>
        <w:t>对公司业务运营、财政税收优惠、资金支持等方面文件；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宋体" w:cs="Arial"/>
          <w:szCs w:val="21"/>
        </w:rPr>
        <w:t>1</w:t>
      </w:r>
      <w:r>
        <w:rPr>
          <w:rFonts w:ascii="Arial" w:hAnsi="宋体" w:cs="Arial" w:hint="eastAsia"/>
          <w:szCs w:val="21"/>
        </w:rPr>
        <w:t>0</w:t>
      </w:r>
      <w:r>
        <w:rPr>
          <w:rFonts w:ascii="Arial" w:hAnsi="宋体" w:cs="Arial" w:hint="eastAsia"/>
          <w:szCs w:val="21"/>
        </w:rPr>
        <w:t>、公司最新贷款卡信息复印件；</w:t>
      </w:r>
    </w:p>
    <w:p>
      <w:pPr>
        <w:spacing w:line="360" w:lineRule="auto"/>
        <w:ind w:firstLineChars="200" w:firstLine="420"/>
        <w:rPr>
          <w:rFonts w:ascii="Arial" w:hAnsi="Arial" w:cs="Arial"/>
          <w:b/>
          <w:szCs w:val="21"/>
        </w:rPr>
      </w:pPr>
      <w:r>
        <w:rPr>
          <w:rFonts w:ascii="Arial" w:hAnsi="宋体" w:cs="Arial"/>
          <w:szCs w:val="21"/>
        </w:rPr>
        <w:t>1</w:t>
      </w:r>
      <w:r>
        <w:rPr>
          <w:rFonts w:ascii="Arial" w:hAnsi="宋体" w:cs="Arial" w:hint="eastAsia"/>
          <w:szCs w:val="21"/>
        </w:rPr>
        <w:t>1</w:t>
      </w:r>
      <w:r>
        <w:rPr>
          <w:rFonts w:ascii="Arial" w:hAnsi="宋体" w:cs="Arial" w:hint="eastAsia"/>
          <w:szCs w:val="21"/>
        </w:rPr>
        <w:t>、公司最新董事会、监事会议事规则，资金使用管理制度、固定资产管理制度、采购管理制度、安全管理制度、环保制度、投融资管理制度、对外担保制度、关联交易控制制度、财务管理及内部审计制度、风险控制制度等。</w:t>
      </w:r>
    </w:p>
    <w:p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宋体" w:cs="Arial" w:hint="eastAsia"/>
          <w:b/>
          <w:sz w:val="24"/>
        </w:rPr>
        <w:lastRenderedPageBreak/>
        <w:t>二、行业资料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1</w:t>
      </w:r>
      <w:r>
        <w:rPr>
          <w:rFonts w:ascii="Arial" w:hAnsi="宋体" w:cs="Arial" w:hint="eastAsia"/>
          <w:szCs w:val="21"/>
        </w:rPr>
        <w:t>、宏观经济环境：宏观经济形势状况，尤其是国家针对行业的调控政策，对企业所在行业及关联行业的影响；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2</w:t>
      </w:r>
      <w:r>
        <w:rPr>
          <w:rFonts w:ascii="Arial" w:hAnsi="宋体" w:cs="Arial" w:hint="eastAsia"/>
          <w:szCs w:val="21"/>
        </w:rPr>
        <w:t>、地区经济环境：地区经济形势状况；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3</w:t>
      </w:r>
      <w:r>
        <w:rPr>
          <w:rFonts w:ascii="Arial" w:hAnsi="宋体" w:cs="Arial" w:hint="eastAsia"/>
          <w:szCs w:val="21"/>
        </w:rPr>
        <w:t>、行业状况：包括行业概况、行业政策、行业竞争状况（主要竞争对手资料）、行业周期资料（利润的波动性、稳定性和来源）、行业发展前景、公司市场占有率等情况；</w:t>
      </w:r>
    </w:p>
    <w:p>
      <w:pPr>
        <w:spacing w:line="360" w:lineRule="auto"/>
        <w:ind w:firstLineChars="200" w:firstLine="420"/>
        <w:rPr>
          <w:rFonts w:ascii="Arial" w:hAnsi="Arial" w:cs="Arial"/>
          <w:b/>
          <w:szCs w:val="21"/>
        </w:rPr>
      </w:pPr>
      <w:r>
        <w:rPr>
          <w:rFonts w:ascii="Arial" w:hAnsi="Arial" w:cs="Arial"/>
          <w:szCs w:val="21"/>
        </w:rPr>
        <w:t>4</w:t>
      </w:r>
      <w:r>
        <w:rPr>
          <w:rFonts w:ascii="Arial" w:hAnsi="宋体" w:cs="Arial" w:hint="eastAsia"/>
          <w:szCs w:val="21"/>
        </w:rPr>
        <w:t>、行业地位和竞争优势：简述公司在行业中的地位及竞争优势（包括但不限于政策支持的方式、途径和力度等）。</w:t>
      </w:r>
    </w:p>
    <w:p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宋体" w:cs="Arial" w:hint="eastAsia"/>
          <w:b/>
          <w:sz w:val="24"/>
        </w:rPr>
        <w:t>三、业务资料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1</w:t>
      </w:r>
      <w:r>
        <w:rPr>
          <w:rFonts w:ascii="Arial" w:hAnsi="宋体" w:cs="Arial" w:hint="eastAsia"/>
          <w:szCs w:val="21"/>
        </w:rPr>
        <w:t>、</w:t>
      </w:r>
      <w:r>
        <w:rPr>
          <w:rFonts w:ascii="Arial" w:hAnsi="Arial" w:cs="Arial"/>
          <w:szCs w:val="21"/>
        </w:rPr>
        <w:t>2010-2012</w:t>
      </w:r>
      <w:r>
        <w:rPr>
          <w:rFonts w:ascii="Arial" w:hAnsi="宋体" w:cs="Arial" w:hint="eastAsia"/>
          <w:szCs w:val="21"/>
        </w:rPr>
        <w:t>年度公司经理层及总经理工作总结报告、各主要业务部门工作总结，以及生产经营分析报告；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2</w:t>
      </w:r>
      <w:r>
        <w:rPr>
          <w:rFonts w:ascii="Arial" w:hAnsi="宋体" w:cs="Arial" w:hint="eastAsia"/>
          <w:szCs w:val="21"/>
        </w:rPr>
        <w:t>、公司经营中面临的主要风险（政策风险、经营风险、财务风险、管理风险等）及对策；</w:t>
      </w:r>
    </w:p>
    <w:p>
      <w:pPr>
        <w:spacing w:line="360" w:lineRule="auto"/>
        <w:ind w:firstLineChars="200" w:firstLine="420"/>
        <w:rPr>
          <w:rFonts w:ascii="Arial" w:hAnsi="宋体" w:cs="Arial"/>
          <w:szCs w:val="21"/>
        </w:rPr>
      </w:pPr>
      <w:r>
        <w:rPr>
          <w:rFonts w:ascii="Arial" w:hAnsi="Arial" w:cs="Arial"/>
          <w:szCs w:val="21"/>
        </w:rPr>
        <w:t>3</w:t>
      </w:r>
      <w:r>
        <w:rPr>
          <w:rFonts w:ascii="Arial" w:hAnsi="宋体" w:cs="Arial" w:hint="eastAsia"/>
          <w:szCs w:val="21"/>
        </w:rPr>
        <w:t>、公司及对公司收入、利润贡献较大的重要子公司的原材料采购、生产、销售、科研、安全、环保等方面的</w:t>
      </w:r>
      <w:r>
        <w:rPr>
          <w:rFonts w:ascii="Arial" w:hAnsi="宋体" w:cs="Arial" w:hint="eastAsia"/>
          <w:szCs w:val="21"/>
          <w:highlight w:val="yellow"/>
        </w:rPr>
        <w:t>合同</w:t>
      </w:r>
      <w:r>
        <w:rPr>
          <w:rFonts w:ascii="Arial" w:hAnsi="宋体" w:cs="Arial" w:hint="eastAsia"/>
          <w:szCs w:val="21"/>
        </w:rPr>
        <w:t>等详细资料（</w:t>
      </w:r>
      <w:r>
        <w:rPr>
          <w:rFonts w:ascii="Arial" w:hAnsi="Arial" w:cs="Arial"/>
          <w:szCs w:val="21"/>
        </w:rPr>
        <w:t>2010-2012</w:t>
      </w:r>
      <w:r>
        <w:rPr>
          <w:rFonts w:ascii="Arial" w:hAnsi="宋体" w:cs="Arial" w:hint="eastAsia"/>
          <w:szCs w:val="21"/>
        </w:rPr>
        <w:t>年度）；</w:t>
      </w:r>
    </w:p>
    <w:p>
      <w:pPr>
        <w:spacing w:line="360" w:lineRule="auto"/>
        <w:ind w:firstLineChars="200" w:firstLine="420"/>
        <w:rPr>
          <w:rFonts w:ascii="Arial" w:hAnsi="宋体" w:cs="Arial"/>
          <w:szCs w:val="21"/>
        </w:rPr>
      </w:pPr>
      <w:r>
        <w:rPr>
          <w:rFonts w:ascii="Arial" w:hAnsi="Arial" w:cs="Arial"/>
          <w:szCs w:val="21"/>
        </w:rPr>
        <w:t>4</w:t>
      </w:r>
      <w:r>
        <w:rPr>
          <w:rFonts w:ascii="Arial" w:hAnsi="宋体" w:cs="Arial" w:hint="eastAsia"/>
          <w:szCs w:val="21"/>
        </w:rPr>
        <w:t>、公司及下属企业在建项目清单、工程进度以及未来三年筹建项目：包括项目名称、可行性研究报告、</w:t>
      </w:r>
      <w:r>
        <w:rPr>
          <w:rFonts w:ascii="Arial" w:hAnsi="宋体" w:cs="Arial" w:hint="eastAsia"/>
          <w:szCs w:val="21"/>
          <w:highlight w:val="yellow"/>
        </w:rPr>
        <w:t>项目核准批文</w:t>
      </w:r>
      <w:r>
        <w:rPr>
          <w:rFonts w:ascii="Arial" w:hAnsi="宋体" w:cs="Arial" w:hint="eastAsia"/>
          <w:szCs w:val="21"/>
        </w:rPr>
        <w:t>、建设期、投资起止年、股权比例、资本金比例、计划投资总额、已实际完成投资、未来三年投资额分配情况、筹资来源、银行贷款承诺函及经济效益预测等；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公司</w:t>
      </w:r>
      <w:r>
        <w:rPr>
          <w:rFonts w:ascii="Arial" w:hAnsi="Arial" w:cs="Arial"/>
          <w:szCs w:val="21"/>
        </w:rPr>
        <w:t>2012</w:t>
      </w:r>
      <w:r>
        <w:rPr>
          <w:rFonts w:ascii="Arial" w:hAnsi="Arial" w:cs="Arial" w:hint="eastAsia"/>
          <w:szCs w:val="21"/>
        </w:rPr>
        <w:t>年末在建工程情况（简表）：</w:t>
      </w:r>
    </w:p>
    <w:tbl>
      <w:tblPr>
        <w:tblW w:w="9075" w:type="dxa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36"/>
        <w:gridCol w:w="1336"/>
        <w:gridCol w:w="1336"/>
        <w:gridCol w:w="1337"/>
        <w:gridCol w:w="1336"/>
        <w:gridCol w:w="1226"/>
        <w:gridCol w:w="1168"/>
      </w:tblGrid>
      <w:tr>
        <w:trPr>
          <w:trHeight w:val="312"/>
          <w:tblHeader/>
          <w:jc w:val="center"/>
        </w:trPr>
        <w:tc>
          <w:tcPr>
            <w:tcW w:w="1335" w:type="dxa"/>
            <w:vMerge w:val="restar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工程名称</w:t>
            </w:r>
          </w:p>
        </w:tc>
        <w:tc>
          <w:tcPr>
            <w:tcW w:w="133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开工时间</w:t>
            </w:r>
          </w:p>
        </w:tc>
        <w:tc>
          <w:tcPr>
            <w:tcW w:w="133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预计竣工时间</w:t>
            </w:r>
          </w:p>
        </w:tc>
        <w:tc>
          <w:tcPr>
            <w:tcW w:w="133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预计投资总额</w:t>
            </w:r>
          </w:p>
        </w:tc>
        <w:tc>
          <w:tcPr>
            <w:tcW w:w="133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2012年末已完成投资额</w:t>
            </w:r>
          </w:p>
        </w:tc>
        <w:tc>
          <w:tcPr>
            <w:tcW w:w="122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剩余投资额资金来源</w:t>
            </w:r>
          </w:p>
        </w:tc>
        <w:tc>
          <w:tcPr>
            <w:tcW w:w="1167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项目审批</w:t>
            </w:r>
          </w:p>
        </w:tc>
      </w:tr>
      <w:tr>
        <w:trPr>
          <w:trHeight w:val="312"/>
          <w:jc w:val="center"/>
        </w:trPr>
        <w:tc>
          <w:tcPr>
            <w:tcW w:w="1335" w:type="dxa"/>
            <w:vMerge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25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67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13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rPr>
          <w:trHeight w:val="284"/>
          <w:jc w:val="center"/>
        </w:trPr>
        <w:tc>
          <w:tcPr>
            <w:tcW w:w="13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rPr>
          <w:trHeight w:val="284"/>
          <w:jc w:val="center"/>
        </w:trPr>
        <w:tc>
          <w:tcPr>
            <w:tcW w:w="133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合  计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公司未来五年项目投资计划（简表）：</w:t>
      </w:r>
    </w:p>
    <w:tbl>
      <w:tblPr>
        <w:tblW w:w="9105" w:type="dxa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8"/>
        <w:gridCol w:w="1187"/>
        <w:gridCol w:w="1080"/>
        <w:gridCol w:w="1080"/>
        <w:gridCol w:w="1080"/>
        <w:gridCol w:w="1080"/>
        <w:gridCol w:w="1080"/>
        <w:gridCol w:w="1080"/>
      </w:tblGrid>
      <w:tr>
        <w:trPr>
          <w:trHeight w:val="285"/>
          <w:tblHeader/>
          <w:jc w:val="center"/>
        </w:trPr>
        <w:tc>
          <w:tcPr>
            <w:tcW w:w="1440" w:type="dxa"/>
            <w:vMerge w:val="restar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投资项目</w:t>
            </w:r>
          </w:p>
        </w:tc>
        <w:tc>
          <w:tcPr>
            <w:tcW w:w="118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计划总投资</w:t>
            </w:r>
          </w:p>
        </w:tc>
        <w:tc>
          <w:tcPr>
            <w:tcW w:w="4320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各年投入</w:t>
            </w: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资金来源</w:t>
            </w: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项目审批</w:t>
            </w:r>
          </w:p>
        </w:tc>
      </w:tr>
      <w:tr>
        <w:trPr>
          <w:trHeight w:val="285"/>
          <w:tblHeader/>
          <w:jc w:val="center"/>
        </w:trPr>
        <w:tc>
          <w:tcPr>
            <w:tcW w:w="1440" w:type="dxa"/>
            <w:vMerge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189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已投入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2013年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……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2017年</w:t>
            </w:r>
          </w:p>
        </w:tc>
        <w:tc>
          <w:tcPr>
            <w:tcW w:w="1080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>
        <w:trPr>
          <w:trHeight w:val="285"/>
          <w:jc w:val="center"/>
        </w:trPr>
        <w:tc>
          <w:tcPr>
            <w:tcW w:w="14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>
        <w:trPr>
          <w:trHeight w:val="285"/>
          <w:jc w:val="center"/>
        </w:trPr>
        <w:tc>
          <w:tcPr>
            <w:tcW w:w="144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合  计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righ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noWrap/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</w:tbl>
    <w:p>
      <w:pPr>
        <w:spacing w:line="360" w:lineRule="auto"/>
        <w:ind w:firstLineChars="200" w:firstLine="420"/>
        <w:rPr>
          <w:rFonts w:ascii="Arial" w:hAnsi="宋体" w:cs="Arial"/>
          <w:szCs w:val="21"/>
        </w:rPr>
      </w:pPr>
      <w:r>
        <w:rPr>
          <w:rFonts w:ascii="Arial" w:hAnsi="Arial" w:cs="Arial"/>
          <w:szCs w:val="21"/>
        </w:rPr>
        <w:t>5</w:t>
      </w:r>
      <w:r>
        <w:rPr>
          <w:rFonts w:ascii="Arial" w:hAnsi="宋体" w:cs="Arial" w:hint="eastAsia"/>
          <w:szCs w:val="21"/>
        </w:rPr>
        <w:t>、公司历次重大股权转让或收购情况，重大股权投资项目协议履行及投资回报情况；</w:t>
      </w:r>
      <w:r>
        <w:rPr>
          <w:rFonts w:ascii="Arial" w:hAnsi="宋体" w:cs="Arial" w:hint="eastAsia"/>
          <w:szCs w:val="21"/>
        </w:rPr>
        <w:lastRenderedPageBreak/>
        <w:t>公司未来三年重大的资产购并计划，包括资本筹集方案、投资、盈利、资本支出与现金流量预测数据；未来三年重大资产出售计划，包括预计出售时间、出售金额等；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6</w:t>
      </w:r>
      <w:r>
        <w:rPr>
          <w:rFonts w:ascii="Arial" w:hAnsi="宋体" w:cs="Arial" w:hint="eastAsia"/>
          <w:szCs w:val="21"/>
        </w:rPr>
        <w:t>、公司未来五年发展战略及发展规划；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7</w:t>
      </w:r>
      <w:r>
        <w:rPr>
          <w:rFonts w:ascii="Arial" w:hAnsi="宋体" w:cs="Arial" w:hint="eastAsia"/>
          <w:szCs w:val="21"/>
        </w:rPr>
        <w:t>、公司</w:t>
      </w:r>
      <w:r>
        <w:rPr>
          <w:rFonts w:ascii="Arial" w:hAnsi="Arial" w:cs="Arial"/>
          <w:szCs w:val="21"/>
        </w:rPr>
        <w:t>2010-2012</w:t>
      </w:r>
      <w:r>
        <w:rPr>
          <w:rFonts w:ascii="Arial" w:hAnsi="宋体" w:cs="Arial" w:hint="eastAsia"/>
          <w:szCs w:val="21"/>
        </w:rPr>
        <w:t>年度用于环保、技改、减排方面的支出及采取的相关措施；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8</w:t>
      </w:r>
      <w:r>
        <w:rPr>
          <w:rFonts w:ascii="Arial" w:hAnsi="宋体" w:cs="Arial" w:hint="eastAsia"/>
          <w:szCs w:val="21"/>
        </w:rPr>
        <w:t>、反映公司经营状况的其他资料。</w:t>
      </w:r>
    </w:p>
    <w:p>
      <w:pPr>
        <w:spacing w:line="360" w:lineRule="auto"/>
        <w:rPr>
          <w:rFonts w:ascii="Arial" w:hAnsi="Arial" w:cs="Arial"/>
          <w:b/>
          <w:sz w:val="24"/>
        </w:rPr>
      </w:pPr>
      <w:r>
        <w:rPr>
          <w:rFonts w:ascii="Arial" w:hAnsi="宋体" w:cs="Arial" w:hint="eastAsia"/>
          <w:b/>
          <w:sz w:val="24"/>
        </w:rPr>
        <w:t>四、财务资料</w:t>
      </w:r>
    </w:p>
    <w:p>
      <w:pPr>
        <w:spacing w:line="360" w:lineRule="auto"/>
        <w:ind w:firstLineChars="250" w:firstLine="525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1</w:t>
      </w:r>
      <w:r>
        <w:rPr>
          <w:rFonts w:ascii="Arial" w:hAnsi="宋体" w:cs="Arial" w:hint="eastAsia"/>
          <w:szCs w:val="21"/>
        </w:rPr>
        <w:t>、公司及主要子公司</w:t>
      </w:r>
      <w:r>
        <w:rPr>
          <w:rFonts w:ascii="Arial" w:hAnsi="Arial" w:cs="Arial"/>
          <w:szCs w:val="21"/>
        </w:rPr>
        <w:t>2010-2012</w:t>
      </w:r>
      <w:r>
        <w:rPr>
          <w:rFonts w:ascii="Arial" w:hAnsi="宋体" w:cs="Arial" w:hint="eastAsia"/>
          <w:szCs w:val="21"/>
        </w:rPr>
        <w:t>年度经审计的财务报告（含会计附注、合并工作底稿【如有】）；公司</w:t>
      </w:r>
      <w:r>
        <w:rPr>
          <w:rFonts w:ascii="Arial" w:hAnsi="Arial" w:cs="Arial"/>
          <w:szCs w:val="21"/>
        </w:rPr>
        <w:t>2010-2012</w:t>
      </w:r>
      <w:r>
        <w:rPr>
          <w:rFonts w:ascii="Arial" w:hAnsi="宋体" w:cs="Arial" w:hint="eastAsia"/>
          <w:szCs w:val="21"/>
        </w:rPr>
        <w:t>年度财务报表合并范围及其变化情况；公司</w:t>
      </w:r>
      <w:r>
        <w:rPr>
          <w:rFonts w:ascii="Arial" w:hAnsi="Arial" w:cs="Arial"/>
          <w:szCs w:val="21"/>
        </w:rPr>
        <w:t>2010-2012</w:t>
      </w:r>
      <w:r>
        <w:rPr>
          <w:rFonts w:ascii="Arial" w:hAnsi="宋体" w:cs="Arial" w:hint="eastAsia"/>
          <w:szCs w:val="21"/>
        </w:rPr>
        <w:t>年度审计报告如为非标准无保留意见，请公司和会计师事务所出具说明；</w:t>
      </w:r>
    </w:p>
    <w:p>
      <w:pPr>
        <w:spacing w:line="360" w:lineRule="auto"/>
        <w:ind w:firstLineChars="250" w:firstLine="525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2</w:t>
      </w:r>
      <w:r>
        <w:rPr>
          <w:rFonts w:ascii="Arial" w:hAnsi="宋体" w:cs="Arial" w:hint="eastAsia"/>
          <w:szCs w:val="21"/>
        </w:rPr>
        <w:t>、公司</w:t>
      </w:r>
      <w:r>
        <w:rPr>
          <w:rFonts w:ascii="Arial" w:hAnsi="Arial" w:cs="Arial"/>
          <w:szCs w:val="21"/>
        </w:rPr>
        <w:t>2010-2012</w:t>
      </w:r>
      <w:r>
        <w:rPr>
          <w:rFonts w:ascii="Arial" w:hAnsi="宋体" w:cs="Arial" w:hint="eastAsia"/>
          <w:szCs w:val="21"/>
        </w:rPr>
        <w:t>年度财务报表重要科目明细，如货币资金、应收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 w:hint="eastAsia"/>
          <w:szCs w:val="21"/>
        </w:rPr>
        <w:t>应付票据、应收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 w:hint="eastAsia"/>
          <w:szCs w:val="21"/>
        </w:rPr>
        <w:t>应付账款、预付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 w:hint="eastAsia"/>
          <w:szCs w:val="21"/>
        </w:rPr>
        <w:t>预收账款、其他应收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 w:hint="eastAsia"/>
          <w:szCs w:val="21"/>
        </w:rPr>
        <w:t>应付账款、存货、在建工程、固定资产等；应收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 w:hint="eastAsia"/>
          <w:szCs w:val="21"/>
        </w:rPr>
        <w:t>其他应收账款的账龄、坏账准备计提比例情况，</w:t>
      </w:r>
      <w:r>
        <w:rPr>
          <w:rFonts w:ascii="Arial" w:hAnsi="Arial" w:cs="Arial" w:hint="eastAsia"/>
          <w:szCs w:val="21"/>
        </w:rPr>
        <w:t>赊销政策、最近三年坏账情况，公司内部信用风险管理体系情况；</w:t>
      </w:r>
      <w:r>
        <w:rPr>
          <w:rFonts w:ascii="Arial" w:hAnsi="宋体" w:cs="Arial" w:hint="eastAsia"/>
          <w:szCs w:val="21"/>
        </w:rPr>
        <w:t>应收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 w:hint="eastAsia"/>
          <w:szCs w:val="21"/>
        </w:rPr>
        <w:t>应付账款、其他应收</w:t>
      </w:r>
      <w:r>
        <w:rPr>
          <w:rFonts w:ascii="Arial" w:hAnsi="Arial" w:cs="Arial"/>
          <w:szCs w:val="21"/>
        </w:rPr>
        <w:t>/</w:t>
      </w:r>
      <w:r>
        <w:rPr>
          <w:rFonts w:ascii="Arial" w:hAnsi="宋体" w:cs="Arial" w:hint="eastAsia"/>
          <w:szCs w:val="21"/>
        </w:rPr>
        <w:t>应付账款前五名客户、金额、占比情况；公司经营活动、投资活动、筹资活动现金流变动情况及说明；如有，请提供</w:t>
      </w:r>
      <w:r>
        <w:rPr>
          <w:rFonts w:ascii="Arial" w:hAnsi="Arial" w:cs="Arial"/>
          <w:szCs w:val="21"/>
        </w:rPr>
        <w:t>“</w:t>
      </w:r>
      <w:r>
        <w:rPr>
          <w:rFonts w:ascii="Arial" w:hAnsi="宋体" w:cs="Arial" w:hint="eastAsia"/>
          <w:szCs w:val="21"/>
        </w:rPr>
        <w:t>销售商品、提供劳务收到的现金</w:t>
      </w:r>
      <w:r>
        <w:rPr>
          <w:rFonts w:ascii="Arial" w:hAnsi="Arial" w:cs="Arial"/>
          <w:szCs w:val="21"/>
        </w:rPr>
        <w:t>”</w:t>
      </w:r>
      <w:r>
        <w:rPr>
          <w:rFonts w:ascii="Arial" w:hAnsi="宋体" w:cs="Arial" w:hint="eastAsia"/>
          <w:szCs w:val="21"/>
        </w:rPr>
        <w:t>、</w:t>
      </w:r>
      <w:r>
        <w:rPr>
          <w:rFonts w:ascii="Arial" w:hAnsi="Arial" w:cs="Arial"/>
          <w:szCs w:val="21"/>
        </w:rPr>
        <w:t>“</w:t>
      </w:r>
      <w:r>
        <w:rPr>
          <w:rFonts w:ascii="Arial" w:hAnsi="宋体" w:cs="Arial" w:hint="eastAsia"/>
          <w:szCs w:val="21"/>
        </w:rPr>
        <w:t>收到其他与经营活动有关的现金</w:t>
      </w:r>
      <w:r>
        <w:rPr>
          <w:rFonts w:ascii="Arial" w:hAnsi="Arial" w:cs="Arial"/>
          <w:szCs w:val="21"/>
        </w:rPr>
        <w:t>”</w:t>
      </w:r>
      <w:r>
        <w:rPr>
          <w:rFonts w:ascii="Arial" w:hAnsi="宋体" w:cs="Arial" w:hint="eastAsia"/>
          <w:szCs w:val="21"/>
        </w:rPr>
        <w:t>、</w:t>
      </w:r>
      <w:r>
        <w:rPr>
          <w:rFonts w:ascii="Arial" w:hAnsi="Arial" w:cs="Arial"/>
          <w:szCs w:val="21"/>
        </w:rPr>
        <w:t>”</w:t>
      </w:r>
      <w:r>
        <w:rPr>
          <w:rFonts w:ascii="Arial" w:hAnsi="宋体" w:cs="Arial" w:hint="eastAsia"/>
          <w:szCs w:val="21"/>
        </w:rPr>
        <w:t>购买商品、接受劳务支付的现金</w:t>
      </w:r>
      <w:r>
        <w:rPr>
          <w:rFonts w:ascii="Arial" w:hAnsi="Arial" w:cs="Arial"/>
          <w:szCs w:val="21"/>
        </w:rPr>
        <w:t>”</w:t>
      </w:r>
      <w:r>
        <w:rPr>
          <w:rFonts w:ascii="Arial" w:hAnsi="宋体" w:cs="Arial" w:hint="eastAsia"/>
          <w:szCs w:val="21"/>
        </w:rPr>
        <w:t>、</w:t>
      </w:r>
      <w:r>
        <w:rPr>
          <w:rFonts w:ascii="Arial" w:hAnsi="Arial" w:cs="Arial"/>
          <w:szCs w:val="21"/>
        </w:rPr>
        <w:t>“</w:t>
      </w:r>
      <w:r>
        <w:rPr>
          <w:rFonts w:ascii="Arial" w:hAnsi="宋体" w:cs="Arial" w:hint="eastAsia"/>
          <w:szCs w:val="21"/>
        </w:rPr>
        <w:t>支付其他与经营活动有关的现金</w:t>
      </w:r>
      <w:r>
        <w:rPr>
          <w:rFonts w:ascii="Arial" w:hAnsi="Arial" w:cs="Arial"/>
          <w:szCs w:val="21"/>
        </w:rPr>
        <w:t>”</w:t>
      </w:r>
      <w:r>
        <w:rPr>
          <w:rFonts w:ascii="Arial" w:hAnsi="宋体" w:cs="Arial" w:hint="eastAsia"/>
          <w:szCs w:val="21"/>
        </w:rPr>
        <w:t>明细；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3</w:t>
      </w:r>
      <w:r>
        <w:rPr>
          <w:rFonts w:ascii="Arial" w:hAnsi="宋体" w:cs="Arial" w:hint="eastAsia"/>
          <w:szCs w:val="21"/>
        </w:rPr>
        <w:t>、公司主营业务收入、主营业务成本的来源及构成：</w:t>
      </w:r>
    </w:p>
    <w:tbl>
      <w:tblPr>
        <w:tblW w:w="8376" w:type="dxa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8"/>
        <w:gridCol w:w="898"/>
        <w:gridCol w:w="1080"/>
        <w:gridCol w:w="1080"/>
        <w:gridCol w:w="1080"/>
        <w:gridCol w:w="1080"/>
        <w:gridCol w:w="1080"/>
        <w:gridCol w:w="1080"/>
      </w:tblGrid>
      <w:tr>
        <w:trPr>
          <w:trHeight w:val="285"/>
          <w:tblHeader/>
          <w:jc w:val="center"/>
        </w:trPr>
        <w:tc>
          <w:tcPr>
            <w:tcW w:w="1896" w:type="dxa"/>
            <w:gridSpan w:val="2"/>
            <w:vMerge w:val="restar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bookmarkStart w:id="1" w:name="RANGE!A1"/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业务类型</w:t>
            </w:r>
            <w:bookmarkEnd w:id="1"/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2012</w:t>
            </w: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年度</w:t>
            </w:r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2011</w:t>
            </w: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年度</w:t>
            </w:r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2010</w:t>
            </w: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年度</w:t>
            </w:r>
          </w:p>
        </w:tc>
      </w:tr>
      <w:tr>
        <w:trPr>
          <w:trHeight w:val="285"/>
          <w:tblHeader/>
          <w:jc w:val="center"/>
        </w:trPr>
        <w:tc>
          <w:tcPr>
            <w:tcW w:w="0" w:type="auto"/>
            <w:gridSpan w:val="2"/>
            <w:vMerge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金额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占比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金额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占比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金额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占比</w:t>
            </w:r>
          </w:p>
        </w:tc>
      </w:tr>
      <w:tr>
        <w:trPr>
          <w:trHeight w:val="285"/>
          <w:jc w:val="center"/>
        </w:trPr>
        <w:tc>
          <w:tcPr>
            <w:tcW w:w="998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主营业务收入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板块一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板块二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…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合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计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998" w:type="dxa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.</w:t>
            </w: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主营业务成本</w:t>
            </w: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板块一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板块二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>…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合</w:t>
            </w:r>
            <w:r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  <w:t xml:space="preserve">  </w:t>
            </w:r>
            <w:r>
              <w:rPr>
                <w:rFonts w:ascii="Arial" w:hAnsi="宋体" w:cs="Arial" w:hint="eastAsia"/>
                <w:color w:val="000000"/>
                <w:kern w:val="0"/>
                <w:sz w:val="18"/>
                <w:szCs w:val="18"/>
              </w:rPr>
              <w:t>计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4</w:t>
      </w:r>
      <w:r>
        <w:rPr>
          <w:rFonts w:ascii="Arial" w:hAnsi="Arial" w:cs="Arial" w:hint="eastAsia"/>
          <w:szCs w:val="21"/>
        </w:rPr>
        <w:t>、公司</w:t>
      </w:r>
      <w:r>
        <w:rPr>
          <w:rFonts w:ascii="Arial" w:hAnsi="Arial" w:cs="Arial"/>
          <w:szCs w:val="21"/>
        </w:rPr>
        <w:t>2010-2012</w:t>
      </w:r>
      <w:r>
        <w:rPr>
          <w:rFonts w:ascii="Arial" w:hAnsi="宋体" w:cs="Arial" w:hint="eastAsia"/>
          <w:szCs w:val="21"/>
        </w:rPr>
        <w:t>年度</w:t>
      </w:r>
      <w:r>
        <w:rPr>
          <w:rFonts w:ascii="Arial" w:hAnsi="Arial" w:cs="Arial" w:hint="eastAsia"/>
          <w:szCs w:val="21"/>
        </w:rPr>
        <w:t>资本化利息：</w:t>
      </w:r>
    </w:p>
    <w:tbl>
      <w:tblPr>
        <w:tblW w:w="7800" w:type="dxa"/>
        <w:jc w:val="center"/>
        <w:tblBorders>
          <w:top w:val="single" w:sz="12" w:space="0" w:color="auto"/>
          <w:bottom w:val="single" w:sz="12" w:space="0" w:color="auto"/>
          <w:insideH w:val="single" w:sz="2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3"/>
        <w:gridCol w:w="1577"/>
        <w:gridCol w:w="1580"/>
        <w:gridCol w:w="1580"/>
        <w:gridCol w:w="1580"/>
      </w:tblGrid>
      <w:tr>
        <w:trPr>
          <w:trHeight w:val="284"/>
          <w:tblHeader/>
          <w:jc w:val="center"/>
        </w:trPr>
        <w:tc>
          <w:tcPr>
            <w:tcW w:w="3060" w:type="dxa"/>
            <w:gridSpan w:val="2"/>
            <w:tcBorders>
              <w:top w:val="single" w:sz="12" w:space="0" w:color="auto"/>
              <w:left w:val="nil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项  目</w:t>
            </w:r>
          </w:p>
        </w:tc>
        <w:tc>
          <w:tcPr>
            <w:tcW w:w="1580" w:type="dxa"/>
            <w:tcBorders>
              <w:top w:val="single" w:sz="1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2012年度</w:t>
            </w:r>
          </w:p>
        </w:tc>
        <w:tc>
          <w:tcPr>
            <w:tcW w:w="1580" w:type="dxa"/>
            <w:tcBorders>
              <w:top w:val="single" w:sz="1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2011年度</w:t>
            </w:r>
          </w:p>
        </w:tc>
        <w:tc>
          <w:tcPr>
            <w:tcW w:w="1580" w:type="dxa"/>
            <w:tcBorders>
              <w:top w:val="single" w:sz="12" w:space="0" w:color="auto"/>
              <w:left w:val="single" w:sz="6" w:space="0" w:color="auto"/>
              <w:bottom w:val="single" w:sz="2" w:space="0" w:color="auto"/>
              <w:right w:val="nil"/>
            </w:tcBorders>
            <w:noWrap/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2010年度</w:t>
            </w:r>
          </w:p>
        </w:tc>
      </w:tr>
      <w:tr>
        <w:trPr>
          <w:trHeight w:val="284"/>
          <w:jc w:val="center"/>
        </w:trPr>
        <w:tc>
          <w:tcPr>
            <w:tcW w:w="1483" w:type="dxa"/>
            <w:vMerge w:val="restart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母公司</w:t>
            </w:r>
          </w:p>
        </w:tc>
        <w:tc>
          <w:tcPr>
            <w:tcW w:w="15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计入财务费用的利息支出</w:t>
            </w: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06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资本化利息支出</w:t>
            </w: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06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其中：在建工程</w:t>
            </w: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060" w:type="dxa"/>
            <w:vMerge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无形资产</w:t>
            </w: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1483" w:type="dxa"/>
            <w:vMerge w:val="restart"/>
            <w:tcBorders>
              <w:top w:val="single" w:sz="2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合并会计报表</w:t>
            </w:r>
          </w:p>
        </w:tc>
        <w:tc>
          <w:tcPr>
            <w:tcW w:w="15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计入财务费用的利息支出</w:t>
            </w: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060" w:type="dxa"/>
            <w:vMerge/>
            <w:tcBorders>
              <w:top w:val="single" w:sz="2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资本化利息支出</w:t>
            </w: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060" w:type="dxa"/>
            <w:vMerge/>
            <w:tcBorders>
              <w:top w:val="single" w:sz="2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其中：在建工程</w:t>
            </w: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060" w:type="dxa"/>
            <w:vMerge/>
            <w:tcBorders>
              <w:top w:val="single" w:sz="2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     无形资产</w:t>
            </w: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5</w:t>
      </w:r>
      <w:r>
        <w:rPr>
          <w:rFonts w:ascii="Arial" w:hAnsi="Arial" w:cs="Arial" w:hint="eastAsia"/>
          <w:szCs w:val="21"/>
        </w:rPr>
        <w:t>、公司</w:t>
      </w:r>
      <w:r>
        <w:rPr>
          <w:rFonts w:ascii="Arial" w:hAnsi="Arial" w:cs="Arial"/>
          <w:szCs w:val="21"/>
        </w:rPr>
        <w:t>2012</w:t>
      </w:r>
      <w:r>
        <w:rPr>
          <w:rFonts w:ascii="Arial" w:hAnsi="Arial" w:cs="Arial" w:hint="eastAsia"/>
          <w:szCs w:val="21"/>
        </w:rPr>
        <w:t>年末主要有息债务情况；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主要有息债务结构情况表</w:t>
      </w:r>
    </w:p>
    <w:tbl>
      <w:tblPr>
        <w:tblW w:w="2500" w:type="pct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34"/>
        <w:gridCol w:w="1319"/>
      </w:tblGrid>
      <w:tr>
        <w:trPr>
          <w:trHeight w:val="284"/>
          <w:tblHeader/>
          <w:jc w:val="center"/>
        </w:trPr>
        <w:tc>
          <w:tcPr>
            <w:tcW w:w="3412" w:type="pct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sz w:val="18"/>
                <w:szCs w:val="18"/>
              </w:rPr>
              <w:t>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hAnsi="宋体" w:cs="Arial" w:hint="eastAsia"/>
                <w:color w:val="000000"/>
                <w:sz w:val="18"/>
                <w:szCs w:val="18"/>
              </w:rPr>
              <w:t>目</w:t>
            </w:r>
          </w:p>
        </w:tc>
        <w:tc>
          <w:tcPr>
            <w:tcW w:w="158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2012年末</w:t>
            </w: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sz w:val="18"/>
                <w:szCs w:val="18"/>
              </w:rPr>
              <w:t>短期借款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其中：信用借款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 w:hint="eastAsia"/>
                <w:sz w:val="18"/>
                <w:szCs w:val="18"/>
              </w:rPr>
              <w:t>保证借款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 w:hint="eastAsia"/>
                <w:sz w:val="18"/>
                <w:szCs w:val="18"/>
              </w:rPr>
              <w:t>抵押借款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 w:hint="eastAsia"/>
                <w:sz w:val="18"/>
                <w:szCs w:val="18"/>
              </w:rPr>
              <w:t>质押借款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sz w:val="18"/>
                <w:szCs w:val="18"/>
              </w:rPr>
              <w:t>一年内到期的长期借款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其中：信用借款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 w:hint="eastAsia"/>
                <w:sz w:val="18"/>
                <w:szCs w:val="18"/>
              </w:rPr>
              <w:t>保证借款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 w:hint="eastAsia"/>
                <w:sz w:val="18"/>
                <w:szCs w:val="18"/>
              </w:rPr>
              <w:t>抵押借款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 w:hint="eastAsia"/>
                <w:sz w:val="18"/>
                <w:szCs w:val="18"/>
              </w:rPr>
              <w:t>质押借款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宋体" w:cs="Arial" w:hint="eastAsia"/>
                <w:color w:val="000000"/>
                <w:sz w:val="18"/>
                <w:szCs w:val="18"/>
              </w:rPr>
              <w:t>长期借款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其中：信用借款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 w:hint="eastAsia"/>
                <w:sz w:val="18"/>
                <w:szCs w:val="18"/>
              </w:rPr>
              <w:t>保证借款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 w:hint="eastAsia"/>
                <w:sz w:val="18"/>
                <w:szCs w:val="18"/>
              </w:rPr>
              <w:t>抵押借款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3412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>
              <w:rPr>
                <w:rFonts w:ascii="Arial" w:hAnsi="宋体" w:cs="Arial" w:hint="eastAsia"/>
                <w:sz w:val="18"/>
                <w:szCs w:val="18"/>
              </w:rPr>
              <w:t>质押借款</w:t>
            </w:r>
          </w:p>
        </w:tc>
        <w:tc>
          <w:tcPr>
            <w:tcW w:w="158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2012</w:t>
      </w:r>
      <w:r>
        <w:rPr>
          <w:rFonts w:ascii="Arial" w:hAnsi="Arial" w:cs="Arial" w:hint="eastAsia"/>
          <w:szCs w:val="21"/>
        </w:rPr>
        <w:t>年末主要有息债务明细情况表</w:t>
      </w:r>
    </w:p>
    <w:tbl>
      <w:tblPr>
        <w:tblW w:w="8512" w:type="dxa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5"/>
        <w:gridCol w:w="1309"/>
        <w:gridCol w:w="1310"/>
        <w:gridCol w:w="1309"/>
        <w:gridCol w:w="1310"/>
        <w:gridCol w:w="1309"/>
        <w:gridCol w:w="1310"/>
      </w:tblGrid>
      <w:tr>
        <w:trPr>
          <w:trHeight w:val="284"/>
          <w:tblHeader/>
          <w:jc w:val="center"/>
        </w:trPr>
        <w:tc>
          <w:tcPr>
            <w:tcW w:w="655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3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借款银行</w:t>
            </w:r>
          </w:p>
        </w:tc>
        <w:tc>
          <w:tcPr>
            <w:tcW w:w="13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借款金额</w:t>
            </w:r>
          </w:p>
        </w:tc>
        <w:tc>
          <w:tcPr>
            <w:tcW w:w="13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借款期限</w:t>
            </w:r>
          </w:p>
        </w:tc>
        <w:tc>
          <w:tcPr>
            <w:tcW w:w="13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利率（％）</w:t>
            </w:r>
          </w:p>
        </w:tc>
        <w:tc>
          <w:tcPr>
            <w:tcW w:w="13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授信用途</w:t>
            </w:r>
          </w:p>
        </w:tc>
        <w:tc>
          <w:tcPr>
            <w:tcW w:w="13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>
            <w:pPr>
              <w:widowControl/>
              <w:jc w:val="center"/>
              <w:rPr>
                <w:rFonts w:ascii="宋体" w:hAnsi="宋体" w:cs="宋体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8"/>
                <w:szCs w:val="18"/>
              </w:rPr>
              <w:t>担保方式</w:t>
            </w:r>
          </w:p>
        </w:tc>
      </w:tr>
      <w:tr>
        <w:trPr>
          <w:trHeight w:val="284"/>
          <w:jc w:val="center"/>
        </w:trPr>
        <w:tc>
          <w:tcPr>
            <w:tcW w:w="6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6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65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jc w:val="right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rPr>
          <w:trHeight w:val="284"/>
          <w:jc w:val="center"/>
        </w:trPr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6</w:t>
      </w:r>
      <w:r>
        <w:rPr>
          <w:rFonts w:ascii="Arial" w:hAnsi="Arial" w:cs="Arial" w:hint="eastAsia"/>
          <w:szCs w:val="21"/>
        </w:rPr>
        <w:t>、公司</w:t>
      </w:r>
      <w:r>
        <w:rPr>
          <w:rFonts w:ascii="Arial" w:hAnsi="Arial" w:cs="Arial"/>
          <w:szCs w:val="21"/>
        </w:rPr>
        <w:t>2012</w:t>
      </w:r>
      <w:r>
        <w:rPr>
          <w:rFonts w:ascii="Arial" w:hAnsi="Arial" w:cs="Arial" w:hint="eastAsia"/>
          <w:szCs w:val="21"/>
        </w:rPr>
        <w:t>年末关联交易情况，包括关联方简介、与关联公司之间的关联交易成因、定价模式及公允性保障措施；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7</w:t>
      </w:r>
      <w:r>
        <w:rPr>
          <w:rFonts w:ascii="Arial" w:hAnsi="Arial" w:cs="Arial" w:hint="eastAsia"/>
          <w:szCs w:val="21"/>
        </w:rPr>
        <w:t>、公司</w:t>
      </w:r>
      <w:r>
        <w:rPr>
          <w:rFonts w:ascii="Arial" w:hAnsi="Arial" w:cs="Arial"/>
          <w:szCs w:val="21"/>
        </w:rPr>
        <w:t>2012</w:t>
      </w:r>
      <w:r>
        <w:rPr>
          <w:rFonts w:ascii="Arial" w:hAnsi="Arial" w:cs="Arial" w:hint="eastAsia"/>
          <w:szCs w:val="21"/>
        </w:rPr>
        <w:t>年末或有事项情况，主要包括重大担保事项、重大诉讼或仲裁事项、重大承诺事项等。重大担保事项：区分对内担保和对外担保，分别披露被担保人简介、担保事项、担保金额、币种、到期时间等。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8</w:t>
      </w:r>
      <w:r>
        <w:rPr>
          <w:rFonts w:ascii="Arial" w:hAnsi="Arial" w:cs="Arial" w:hint="eastAsia"/>
          <w:szCs w:val="21"/>
        </w:rPr>
        <w:t>、公司</w:t>
      </w:r>
      <w:r>
        <w:rPr>
          <w:rFonts w:ascii="Arial" w:hAnsi="Arial" w:cs="Arial"/>
          <w:szCs w:val="21"/>
        </w:rPr>
        <w:t>2012</w:t>
      </w:r>
      <w:r>
        <w:rPr>
          <w:rFonts w:ascii="Arial" w:hAnsi="Arial" w:cs="Arial" w:hint="eastAsia"/>
          <w:szCs w:val="21"/>
        </w:rPr>
        <w:t>年末资产抵押、质押、担保和其他限制用途情况；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9</w:t>
      </w:r>
      <w:r>
        <w:rPr>
          <w:rFonts w:ascii="Arial" w:hAnsi="Arial" w:cs="Arial" w:hint="eastAsia"/>
          <w:szCs w:val="21"/>
        </w:rPr>
        <w:t>、公司</w:t>
      </w:r>
      <w:bookmarkStart w:id="2" w:name="_Toc240861765"/>
      <w:bookmarkStart w:id="3" w:name="_Toc222801019"/>
      <w:r>
        <w:rPr>
          <w:rFonts w:ascii="Arial" w:hAnsi="Arial" w:cs="Arial"/>
          <w:szCs w:val="21"/>
        </w:rPr>
        <w:t>2012</w:t>
      </w:r>
      <w:r>
        <w:rPr>
          <w:rFonts w:ascii="Arial" w:hAnsi="Arial" w:cs="Arial" w:hint="eastAsia"/>
          <w:szCs w:val="21"/>
        </w:rPr>
        <w:t>年末海外投资情况</w:t>
      </w:r>
      <w:bookmarkEnd w:id="2"/>
      <w:bookmarkEnd w:id="3"/>
      <w:r>
        <w:rPr>
          <w:rFonts w:ascii="Arial" w:hAnsi="Arial" w:cs="Arial" w:hint="eastAsia"/>
          <w:szCs w:val="21"/>
        </w:rPr>
        <w:t>，</w:t>
      </w:r>
      <w:bookmarkStart w:id="4" w:name="_Toc240861766"/>
      <w:r>
        <w:rPr>
          <w:rFonts w:ascii="Arial" w:hAnsi="Arial" w:cs="Arial" w:hint="eastAsia"/>
          <w:szCs w:val="21"/>
        </w:rPr>
        <w:t>金融衍生品、大宗商品期货和结构性理财产品投资</w:t>
      </w:r>
      <w:r>
        <w:rPr>
          <w:rFonts w:ascii="Arial" w:hAnsi="Arial" w:cs="Arial" w:hint="eastAsia"/>
          <w:szCs w:val="21"/>
        </w:rPr>
        <w:lastRenderedPageBreak/>
        <w:t>情况</w:t>
      </w:r>
      <w:bookmarkEnd w:id="4"/>
      <w:r>
        <w:rPr>
          <w:rFonts w:ascii="Arial" w:hAnsi="Arial" w:cs="Arial" w:hint="eastAsia"/>
          <w:szCs w:val="21"/>
        </w:rPr>
        <w:t>；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10</w:t>
      </w:r>
      <w:r>
        <w:rPr>
          <w:rFonts w:ascii="Arial" w:hAnsi="Arial" w:cs="Arial" w:hint="eastAsia"/>
          <w:szCs w:val="21"/>
        </w:rPr>
        <w:t>、公司</w:t>
      </w:r>
      <w:r>
        <w:rPr>
          <w:rFonts w:ascii="Arial" w:hAnsi="Arial" w:cs="Arial"/>
          <w:szCs w:val="21"/>
        </w:rPr>
        <w:t>2012</w:t>
      </w:r>
      <w:r>
        <w:rPr>
          <w:rFonts w:ascii="Arial" w:hAnsi="Arial" w:cs="Arial" w:hint="eastAsia"/>
          <w:szCs w:val="21"/>
        </w:rPr>
        <w:t>年末银行授信情况：（分别填表）</w:t>
      </w:r>
    </w:p>
    <w:tbl>
      <w:tblPr>
        <w:tblW w:w="8524" w:type="dxa"/>
        <w:jc w:val="center"/>
        <w:tblBorders>
          <w:top w:val="single" w:sz="12" w:space="0" w:color="auto"/>
          <w:bottom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5"/>
        <w:gridCol w:w="1066"/>
        <w:gridCol w:w="1271"/>
        <w:gridCol w:w="1375"/>
        <w:gridCol w:w="1573"/>
        <w:gridCol w:w="1866"/>
        <w:gridCol w:w="698"/>
      </w:tblGrid>
      <w:tr>
        <w:trPr>
          <w:cantSplit/>
          <w:trHeight w:val="284"/>
          <w:jc w:val="center"/>
        </w:trPr>
        <w:tc>
          <w:tcPr>
            <w:tcW w:w="675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序号</w:t>
            </w:r>
          </w:p>
        </w:tc>
        <w:tc>
          <w:tcPr>
            <w:tcW w:w="10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授信机构</w:t>
            </w:r>
          </w:p>
        </w:tc>
        <w:tc>
          <w:tcPr>
            <w:tcW w:w="127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授信总额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（亿元）</w:t>
            </w:r>
          </w:p>
        </w:tc>
        <w:tc>
          <w:tcPr>
            <w:tcW w:w="13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授信期限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（年月日）</w:t>
            </w:r>
          </w:p>
        </w:tc>
        <w:tc>
          <w:tcPr>
            <w:tcW w:w="15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授信类别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（公开</w:t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>
              <w:rPr>
                <w:rFonts w:ascii="Arial" w:hAnsi="宋体" w:cs="Arial" w:hint="eastAsia"/>
                <w:sz w:val="18"/>
                <w:szCs w:val="18"/>
              </w:rPr>
              <w:t>内部）</w:t>
            </w:r>
          </w:p>
        </w:tc>
        <w:tc>
          <w:tcPr>
            <w:tcW w:w="18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已使用授信额度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（亿元）</w:t>
            </w:r>
          </w:p>
        </w:tc>
        <w:tc>
          <w:tcPr>
            <w:tcW w:w="69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宋体" w:cs="Arial" w:hint="eastAsia"/>
                <w:sz w:val="18"/>
                <w:szCs w:val="18"/>
              </w:rPr>
              <w:t>备注</w:t>
            </w:r>
          </w:p>
        </w:tc>
      </w:tr>
      <w:tr>
        <w:trPr>
          <w:cantSplit/>
          <w:trHeight w:val="284"/>
          <w:jc w:val="center"/>
        </w:trPr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cantSplit/>
          <w:trHeight w:val="284"/>
          <w:jc w:val="center"/>
        </w:trPr>
        <w:tc>
          <w:tcPr>
            <w:tcW w:w="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rPr>
          <w:cantSplit/>
          <w:trHeight w:val="284"/>
          <w:jc w:val="center"/>
        </w:trPr>
        <w:tc>
          <w:tcPr>
            <w:tcW w:w="67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11</w:t>
      </w:r>
      <w:r>
        <w:rPr>
          <w:rFonts w:ascii="Arial" w:hAnsi="Arial" w:cs="Arial" w:hint="eastAsia"/>
          <w:szCs w:val="21"/>
        </w:rPr>
        <w:t>、公司未来</w:t>
      </w:r>
      <w:r>
        <w:rPr>
          <w:rFonts w:ascii="Arial" w:hAnsi="Arial" w:cs="Arial"/>
          <w:szCs w:val="21"/>
        </w:rPr>
        <w:t>5</w:t>
      </w:r>
      <w:r>
        <w:rPr>
          <w:rFonts w:ascii="Arial" w:hAnsi="Arial" w:cs="Arial" w:hint="eastAsia"/>
          <w:szCs w:val="21"/>
        </w:rPr>
        <w:t>年各年度投融资规划以及各年度盈利、现金流预测及预测依据；针对本期中期票据的偿债计划。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12</w:t>
      </w:r>
      <w:r>
        <w:rPr>
          <w:rFonts w:ascii="Arial" w:hAnsi="Arial" w:cs="Arial" w:hint="eastAsia"/>
          <w:szCs w:val="21"/>
        </w:rPr>
        <w:t>、公司其他重大事项资料。</w:t>
      </w:r>
    </w:p>
    <w:p>
      <w:pPr>
        <w:spacing w:line="360" w:lineRule="auto"/>
        <w:rPr>
          <w:rFonts w:ascii="Arial" w:hAnsi="宋体" w:cs="Arial"/>
          <w:b/>
          <w:sz w:val="24"/>
        </w:rPr>
      </w:pPr>
      <w:r>
        <w:rPr>
          <w:rFonts w:ascii="Arial" w:hAnsi="宋体" w:cs="Arial" w:hint="eastAsia"/>
          <w:b/>
          <w:sz w:val="24"/>
        </w:rPr>
        <w:t>五、公司其它资料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1</w:t>
      </w:r>
      <w:r>
        <w:rPr>
          <w:rFonts w:ascii="Arial" w:hAnsi="Arial" w:cs="Arial" w:hint="eastAsia"/>
          <w:szCs w:val="21"/>
        </w:rPr>
        <w:t>、劳动合同样本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2</w:t>
      </w:r>
      <w:r>
        <w:rPr>
          <w:rFonts w:ascii="Arial" w:hAnsi="Arial" w:cs="Arial" w:hint="eastAsia"/>
          <w:szCs w:val="21"/>
        </w:rPr>
        <w:t>、公司拥有或使用的不动产清单，包括已出租、抵押情况及相关证明文件。</w:t>
      </w:r>
    </w:p>
    <w:p>
      <w:pPr>
        <w:spacing w:line="360" w:lineRule="auto"/>
        <w:ind w:firstLineChars="200" w:firstLine="420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>3</w:t>
      </w:r>
      <w:r>
        <w:rPr>
          <w:rFonts w:ascii="Arial" w:hAnsi="Arial" w:cs="Arial" w:hint="eastAsia"/>
          <w:szCs w:val="21"/>
        </w:rPr>
        <w:t>、公司近三年的已经判决、和解的诉讼、仲裁或行政处罚案件的说明及相关文件；公司是否存在尚未了结的或可预见的重大诉讼、仲裁或行政处罚案件的说明或承诺。如存在，请提供相关资料，包括起诉状、答辩状、反诉状、上诉状、再审申请书、仲裁申请书、代理词、判决书、裁定书、行政处罚意见书、执行通知书及相关证据材料等；公司是否存在持续经营的法律障碍，是否曾因违法、违规行为受到行政处罚的说明。</w:t>
      </w:r>
    </w:p>
    <w:sectPr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a6"/>
      <w:pBdr>
        <w:bottom w:val="none" w:sz="0" w:space="0" w:color="auto"/>
      </w:pBdr>
      <w:rPr>
        <w:rFonts w:hint="eastAsia"/>
      </w:rPr>
    </w:pPr>
    <w:r>
      <w:rPr>
        <w:rFonts w:hint="eastAsia"/>
      </w:rPr>
      <w:t>融资租赁智库整理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98D9740-615F-47E8-A7D6-6C186C4FE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pPr>
      <w:snapToGrid w:val="0"/>
      <w:jc w:val="left"/>
    </w:pPr>
    <w:rPr>
      <w:rFonts w:eastAsia="仿宋_GB2312"/>
      <w:sz w:val="18"/>
      <w:szCs w:val="18"/>
    </w:rPr>
  </w:style>
  <w:style w:type="character" w:customStyle="1" w:styleId="a4">
    <w:name w:val="脚注文本 字符"/>
    <w:basedOn w:val="a0"/>
    <w:link w:val="a3"/>
    <w:semiHidden/>
    <w:rPr>
      <w:rFonts w:ascii="Times New Roman" w:eastAsia="仿宋_GB2312" w:hAnsi="Times New Roman" w:cs="Times New Roman"/>
      <w:sz w:val="18"/>
      <w:szCs w:val="18"/>
    </w:rPr>
  </w:style>
  <w:style w:type="character" w:styleId="a5">
    <w:name w:val="footnote reference"/>
    <w:basedOn w:val="a0"/>
    <w:semiHidden/>
    <w:unhideWhenUsed/>
    <w:rPr>
      <w:vertAlign w:val="superscript"/>
    </w:rPr>
  </w:style>
  <w:style w:type="paragraph" w:styleId="a6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8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503</Words>
  <Characters>2871</Characters>
  <Application>Microsoft Office Word</Application>
  <DocSecurity>0</DocSecurity>
  <Lines>23</Lines>
  <Paragraphs>6</Paragraphs>
  <ScaleCrop>false</ScaleCrop>
  <Company>Sky123.Org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张艳坤</cp:lastModifiedBy>
  <cp:revision>7</cp:revision>
  <dcterms:created xsi:type="dcterms:W3CDTF">2013-03-11T04:26:00Z</dcterms:created>
  <dcterms:modified xsi:type="dcterms:W3CDTF">2016-05-16T08:15:00Z</dcterms:modified>
</cp:coreProperties>
</file>