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00000" w:rsidRDefault="000A1C5E" w:rsidP="00A97F2B">
      <w:pPr>
        <w:autoSpaceDN w:val="0"/>
        <w:spacing w:before="141" w:after="141"/>
        <w:jc w:val="center"/>
        <w:rPr>
          <w:rFonts w:ascii="宋体" w:hAnsi="宋体"/>
          <w:b/>
          <w:sz w:val="42"/>
        </w:rPr>
      </w:pPr>
      <w:bookmarkStart w:id="0" w:name="_Toc286173051"/>
      <w:r>
        <w:rPr>
          <w:rFonts w:ascii="宋体" w:hAnsi="宋体"/>
          <w:b/>
          <w:sz w:val="42"/>
        </w:rPr>
        <w:t>医药制造行业</w:t>
      </w:r>
      <w:r>
        <w:rPr>
          <w:rFonts w:ascii="宋体" w:hAnsi="宋体"/>
          <w:b/>
          <w:sz w:val="42"/>
        </w:rPr>
        <w:t>政策及投向指引</w:t>
      </w:r>
      <w:bookmarkEnd w:id="0"/>
    </w:p>
    <w:p w:rsidR="00000000" w:rsidRDefault="000A1C5E">
      <w:pPr>
        <w:autoSpaceDN w:val="0"/>
        <w:spacing w:afterAutospacing="1"/>
        <w:ind w:firstLine="420"/>
        <w:rPr>
          <w:rFonts w:ascii="宋体" w:hAnsi="宋体"/>
          <w:b/>
          <w:sz w:val="31"/>
        </w:rPr>
      </w:pPr>
      <w:r>
        <w:rPr>
          <w:rFonts w:ascii="仿宋_GB2312" w:eastAsia="仿宋_GB2312" w:hAnsi="仿宋_GB2312"/>
          <w:b/>
          <w:sz w:val="31"/>
        </w:rPr>
        <w:t>一、适用范围</w:t>
      </w:r>
    </w:p>
    <w:p w:rsidR="00000000" w:rsidRDefault="000A1C5E">
      <w:pPr>
        <w:autoSpaceDN w:val="0"/>
        <w:spacing w:beforeAutospacing="1" w:afterAutospacing="1"/>
        <w:ind w:firstLine="420"/>
        <w:rPr>
          <w:rFonts w:ascii="宋体" w:hAnsi="宋体"/>
          <w:sz w:val="24"/>
        </w:rPr>
      </w:pPr>
      <w:r>
        <w:rPr>
          <w:rFonts w:ascii="宋体" w:hAnsi="宋体"/>
          <w:color w:val="000000"/>
        </w:rPr>
        <w:t>本指引中医药制造业对应《国民经济行业分类》（</w:t>
      </w:r>
      <w:r>
        <w:rPr>
          <w:rFonts w:ascii="宋体" w:hAnsi="宋体"/>
          <w:color w:val="000000"/>
        </w:rPr>
        <w:t>GB/T4754-2011</w:t>
      </w:r>
      <w:r>
        <w:rPr>
          <w:rFonts w:ascii="宋体" w:hAnsi="宋体"/>
          <w:color w:val="000000"/>
        </w:rPr>
        <w:t>）中医药制造业（行业代码</w:t>
      </w:r>
      <w:r>
        <w:rPr>
          <w:rFonts w:ascii="宋体" w:hAnsi="宋体"/>
          <w:color w:val="000000"/>
        </w:rPr>
        <w:t>C27</w:t>
      </w:r>
      <w:r>
        <w:rPr>
          <w:rFonts w:ascii="宋体" w:hAnsi="宋体"/>
          <w:color w:val="000000"/>
        </w:rPr>
        <w:t>）</w:t>
      </w:r>
      <w:r>
        <w:rPr>
          <w:rFonts w:ascii="宋体" w:hAnsi="宋体"/>
          <w:color w:val="000000"/>
        </w:rPr>
        <w:t>,</w:t>
      </w:r>
      <w:r>
        <w:rPr>
          <w:rFonts w:ascii="宋体" w:hAnsi="宋体"/>
          <w:color w:val="000000"/>
        </w:rPr>
        <w:t>包括化学药品原药制造（</w:t>
      </w:r>
      <w:r>
        <w:rPr>
          <w:rFonts w:ascii="宋体" w:hAnsi="宋体"/>
          <w:color w:val="000000"/>
        </w:rPr>
        <w:t>C271</w:t>
      </w:r>
      <w:r>
        <w:rPr>
          <w:rFonts w:ascii="宋体" w:hAnsi="宋体"/>
          <w:color w:val="000000"/>
        </w:rPr>
        <w:t>）、化学药品制剂制造</w:t>
      </w:r>
      <w:r>
        <w:rPr>
          <w:rFonts w:ascii="宋体" w:hAnsi="宋体"/>
          <w:color w:val="000000"/>
        </w:rPr>
        <w:t>(C272)</w:t>
      </w:r>
      <w:r>
        <w:rPr>
          <w:rFonts w:ascii="宋体" w:hAnsi="宋体"/>
          <w:color w:val="000000"/>
        </w:rPr>
        <w:t>、中药饮片加工</w:t>
      </w:r>
      <w:r>
        <w:rPr>
          <w:rFonts w:ascii="宋体" w:hAnsi="宋体"/>
          <w:color w:val="000000"/>
        </w:rPr>
        <w:t>(C273)</w:t>
      </w:r>
      <w:r>
        <w:rPr>
          <w:rFonts w:ascii="宋体" w:hAnsi="宋体"/>
          <w:color w:val="000000"/>
        </w:rPr>
        <w:t>、中成药生产</w:t>
      </w:r>
      <w:r>
        <w:rPr>
          <w:rFonts w:ascii="宋体" w:hAnsi="宋体"/>
          <w:color w:val="000000"/>
        </w:rPr>
        <w:t>(C274)</w:t>
      </w:r>
      <w:r>
        <w:rPr>
          <w:rFonts w:ascii="宋体" w:hAnsi="宋体"/>
          <w:color w:val="000000"/>
        </w:rPr>
        <w:t>、兽用药品制造（</w:t>
      </w:r>
      <w:r>
        <w:rPr>
          <w:rFonts w:ascii="宋体" w:hAnsi="宋体"/>
          <w:color w:val="000000"/>
        </w:rPr>
        <w:t>C275</w:t>
      </w:r>
      <w:r>
        <w:rPr>
          <w:rFonts w:ascii="宋体" w:hAnsi="宋体"/>
          <w:color w:val="000000"/>
        </w:rPr>
        <w:t>）</w:t>
      </w:r>
      <w:bookmarkStart w:id="1" w:name="_GoBack"/>
      <w:bookmarkEnd w:id="1"/>
      <w:r>
        <w:rPr>
          <w:rFonts w:ascii="宋体" w:hAnsi="宋体"/>
          <w:color w:val="000000"/>
        </w:rPr>
        <w:t>、生物药品制造</w:t>
      </w:r>
      <w:r>
        <w:rPr>
          <w:rFonts w:ascii="宋体" w:hAnsi="宋体"/>
          <w:color w:val="000000"/>
        </w:rPr>
        <w:t>(C276)</w:t>
      </w:r>
      <w:r>
        <w:rPr>
          <w:rFonts w:ascii="宋体" w:hAnsi="宋体"/>
          <w:color w:val="000000"/>
        </w:rPr>
        <w:t>、卫生材料及医药用品制造（</w:t>
      </w:r>
      <w:r>
        <w:rPr>
          <w:rFonts w:ascii="宋体" w:hAnsi="宋体"/>
          <w:color w:val="000000"/>
        </w:rPr>
        <w:t>C277</w:t>
      </w:r>
      <w:r>
        <w:rPr>
          <w:rFonts w:ascii="宋体" w:hAnsi="宋体"/>
          <w:color w:val="000000"/>
        </w:rPr>
        <w:t>）等七个子行业。在我行行业分类中，该行业对应于医药。本指引仅涵盖医药制造行业，医药流通行业和医疗器械制造行业请分别见《批发业</w:t>
      </w:r>
      <w:r>
        <w:rPr>
          <w:rFonts w:ascii="宋体" w:hAnsi="宋体"/>
          <w:color w:val="000000"/>
        </w:rPr>
        <w:t>2014</w:t>
      </w:r>
      <w:r>
        <w:rPr>
          <w:rFonts w:ascii="宋体" w:hAnsi="宋体"/>
          <w:color w:val="000000"/>
        </w:rPr>
        <w:t>年信贷投向指引》、《</w:t>
      </w:r>
      <w:r>
        <w:rPr>
          <w:rFonts w:ascii="宋体" w:hAnsi="宋体"/>
          <w:color w:val="000000"/>
        </w:rPr>
        <w:t>机械行业</w:t>
      </w:r>
      <w:r>
        <w:rPr>
          <w:rFonts w:ascii="宋体" w:hAnsi="宋体"/>
          <w:color w:val="000000"/>
        </w:rPr>
        <w:t>2014</w:t>
      </w:r>
      <w:r>
        <w:rPr>
          <w:rFonts w:ascii="宋体" w:hAnsi="宋体"/>
          <w:color w:val="000000"/>
        </w:rPr>
        <w:t>年信贷投向指引》相关内容。</w:t>
      </w:r>
    </w:p>
    <w:p w:rsidR="00000000" w:rsidRDefault="000A1C5E">
      <w:pPr>
        <w:autoSpaceDN w:val="0"/>
        <w:spacing w:afterAutospacing="1"/>
        <w:ind w:firstLine="420"/>
        <w:rPr>
          <w:rFonts w:ascii="宋体" w:hAnsi="宋体"/>
          <w:b/>
          <w:sz w:val="31"/>
        </w:rPr>
      </w:pPr>
      <w:r>
        <w:rPr>
          <w:rFonts w:ascii="仿宋_GB2312" w:eastAsia="仿宋_GB2312" w:hAnsi="仿宋_GB2312"/>
          <w:b/>
          <w:sz w:val="31"/>
        </w:rPr>
        <w:t>二、近期行业运行特征及政策要求</w:t>
      </w:r>
    </w:p>
    <w:p w:rsidR="00000000" w:rsidRDefault="000A1C5E">
      <w:pPr>
        <w:autoSpaceDN w:val="0"/>
        <w:spacing w:before="210" w:after="210"/>
        <w:ind w:firstLine="420"/>
        <w:rPr>
          <w:rFonts w:ascii="宋体" w:hAnsi="宋体"/>
          <w:b/>
          <w:sz w:val="24"/>
        </w:rPr>
      </w:pPr>
      <w:r>
        <w:rPr>
          <w:rFonts w:ascii="仿宋_GB2312" w:eastAsia="仿宋_GB2312" w:hAnsi="仿宋_GB2312"/>
          <w:b/>
          <w:sz w:val="24"/>
        </w:rPr>
        <w:t>（一）近期运行情况</w:t>
      </w:r>
    </w:p>
    <w:p w:rsidR="00000000" w:rsidRDefault="000A1C5E">
      <w:pPr>
        <w:autoSpaceDN w:val="0"/>
        <w:spacing w:beforeAutospacing="1" w:afterAutospacing="1"/>
        <w:ind w:firstLine="420"/>
        <w:rPr>
          <w:rFonts w:ascii="宋体" w:hAnsi="宋体"/>
          <w:sz w:val="24"/>
        </w:rPr>
      </w:pPr>
      <w:bookmarkStart w:id="2" w:name="_Toc309303233"/>
      <w:bookmarkStart w:id="3" w:name="_Toc309036407"/>
      <w:r>
        <w:rPr>
          <w:rFonts w:ascii="宋体" w:hAnsi="宋体"/>
          <w:b/>
          <w:color w:val="000000"/>
        </w:rPr>
        <w:t>1</w:t>
      </w:r>
      <w:bookmarkStart w:id="4" w:name="_Toc274348936"/>
      <w:bookmarkStart w:id="5" w:name="_Toc309303234"/>
      <w:bookmarkStart w:id="6" w:name="_Toc309036408"/>
      <w:bookmarkEnd w:id="2"/>
      <w:bookmarkEnd w:id="3"/>
      <w:r>
        <w:rPr>
          <w:rFonts w:ascii="宋体" w:hAnsi="宋体"/>
          <w:b/>
          <w:color w:val="000000"/>
        </w:rPr>
        <w:t>.</w:t>
      </w:r>
      <w:r>
        <w:rPr>
          <w:rFonts w:ascii="宋体" w:hAnsi="宋体"/>
          <w:b/>
          <w:color w:val="000000"/>
        </w:rPr>
        <w:t>医药行业投资、产销和盈利规模保持较快增长</w:t>
      </w:r>
      <w:bookmarkEnd w:id="4"/>
      <w:r>
        <w:rPr>
          <w:rFonts w:ascii="宋体" w:hAnsi="宋体"/>
          <w:b/>
          <w:color w:val="000000"/>
        </w:rPr>
        <w:t>，</w:t>
      </w:r>
      <w:bookmarkEnd w:id="5"/>
      <w:bookmarkEnd w:id="6"/>
      <w:r>
        <w:rPr>
          <w:rFonts w:ascii="宋体" w:hAnsi="宋体"/>
          <w:b/>
          <w:color w:val="000000"/>
        </w:rPr>
        <w:t>但收入和盈利增速双双放缓。</w:t>
      </w:r>
    </w:p>
    <w:p w:rsidR="00000000" w:rsidRDefault="000A1C5E">
      <w:pPr>
        <w:autoSpaceDN w:val="0"/>
        <w:spacing w:beforeAutospacing="1" w:afterAutospacing="1"/>
        <w:ind w:firstLine="420"/>
        <w:rPr>
          <w:rFonts w:ascii="宋体" w:hAnsi="宋体"/>
          <w:sz w:val="24"/>
        </w:rPr>
      </w:pPr>
      <w:r>
        <w:rPr>
          <w:rFonts w:ascii="宋体" w:hAnsi="宋体"/>
          <w:color w:val="000000"/>
        </w:rPr>
        <w:t>受我国人口基数庞大、老龄化进程加快、医保体系不断健全、居民支付能力增强和健康需求提升等因素影响，医药产品刚性需求持续增加，国内医药制造业保持较快增长。</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w:t>
      </w:r>
      <w:r>
        <w:rPr>
          <w:rFonts w:ascii="宋体" w:hAnsi="宋体"/>
          <w:color w:val="000000"/>
        </w:rPr>
        <w:t>1-9</w:t>
      </w:r>
      <w:r>
        <w:rPr>
          <w:rFonts w:ascii="宋体" w:hAnsi="宋体"/>
          <w:color w:val="000000"/>
        </w:rPr>
        <w:t>月，医药行业投资额</w:t>
      </w:r>
      <w:r>
        <w:rPr>
          <w:rFonts w:ascii="宋体" w:hAnsi="宋体"/>
          <w:color w:val="000000"/>
        </w:rPr>
        <w:t>3313.94</w:t>
      </w:r>
      <w:r>
        <w:rPr>
          <w:rFonts w:ascii="宋体" w:hAnsi="宋体"/>
          <w:color w:val="000000"/>
        </w:rPr>
        <w:t>亿元，同比增长</w:t>
      </w:r>
      <w:r>
        <w:rPr>
          <w:rFonts w:ascii="宋体" w:hAnsi="宋体"/>
          <w:color w:val="000000"/>
        </w:rPr>
        <w:t>32.5%</w:t>
      </w:r>
      <w:r>
        <w:rPr>
          <w:rFonts w:ascii="宋体" w:hAnsi="宋体"/>
          <w:color w:val="000000"/>
        </w:rPr>
        <w:t>，增速回落</w:t>
      </w:r>
      <w:r>
        <w:rPr>
          <w:rFonts w:ascii="宋体" w:hAnsi="宋体"/>
          <w:color w:val="000000"/>
        </w:rPr>
        <w:t>4.5</w:t>
      </w:r>
      <w:r>
        <w:rPr>
          <w:rFonts w:ascii="宋体" w:hAnsi="宋体"/>
          <w:color w:val="000000"/>
        </w:rPr>
        <w:t>个百分点，但仍高于同期全国固定资产投资增速</w:t>
      </w:r>
      <w:r>
        <w:rPr>
          <w:rFonts w:ascii="宋体" w:hAnsi="宋体"/>
          <w:color w:val="000000"/>
        </w:rPr>
        <w:t>12.3</w:t>
      </w:r>
      <w:r>
        <w:rPr>
          <w:rFonts w:ascii="宋体" w:hAnsi="宋体"/>
          <w:color w:val="000000"/>
        </w:rPr>
        <w:t>个百分点，医药行业在同期全国投资总量中的比重为</w:t>
      </w:r>
      <w:r>
        <w:rPr>
          <w:rFonts w:ascii="宋体" w:hAnsi="宋体"/>
          <w:color w:val="000000"/>
        </w:rPr>
        <w:t>1.0</w:t>
      </w:r>
      <w:r>
        <w:rPr>
          <w:rFonts w:ascii="宋体" w:hAnsi="宋体"/>
          <w:color w:val="000000"/>
        </w:rPr>
        <w:t>7%</w:t>
      </w:r>
      <w:r>
        <w:rPr>
          <w:rFonts w:ascii="宋体" w:hAnsi="宋体"/>
          <w:color w:val="000000"/>
        </w:rPr>
        <w:t>，同比扩大</w:t>
      </w:r>
      <w:r>
        <w:rPr>
          <w:rFonts w:ascii="宋体" w:hAnsi="宋体"/>
          <w:color w:val="000000"/>
        </w:rPr>
        <w:t>0.1</w:t>
      </w:r>
      <w:r>
        <w:rPr>
          <w:rFonts w:ascii="宋体" w:hAnsi="宋体"/>
          <w:color w:val="000000"/>
        </w:rPr>
        <w:t>个百分点，产销率同比基本持平，为</w:t>
      </w:r>
      <w:r>
        <w:rPr>
          <w:rFonts w:ascii="宋体" w:hAnsi="宋体"/>
          <w:color w:val="000000"/>
        </w:rPr>
        <w:t>95%</w:t>
      </w:r>
      <w:r>
        <w:rPr>
          <w:rFonts w:ascii="宋体" w:hAnsi="宋体"/>
          <w:color w:val="000000"/>
        </w:rPr>
        <w:t>。全行业主营业务收入</w:t>
      </w:r>
      <w:r>
        <w:rPr>
          <w:rFonts w:ascii="宋体" w:hAnsi="宋体"/>
          <w:color w:val="000000"/>
        </w:rPr>
        <w:t>14603</w:t>
      </w:r>
      <w:r>
        <w:rPr>
          <w:rFonts w:ascii="宋体" w:hAnsi="宋体"/>
          <w:color w:val="000000"/>
        </w:rPr>
        <w:t>亿，同比增长</w:t>
      </w:r>
      <w:r>
        <w:rPr>
          <w:rFonts w:ascii="宋体" w:hAnsi="宋体"/>
          <w:color w:val="000000"/>
        </w:rPr>
        <w:t>18.35%</w:t>
      </w:r>
      <w:r>
        <w:rPr>
          <w:rFonts w:ascii="宋体" w:hAnsi="宋体"/>
          <w:color w:val="000000"/>
        </w:rPr>
        <w:t>，增速回落</w:t>
      </w:r>
      <w:r>
        <w:rPr>
          <w:rFonts w:ascii="宋体" w:hAnsi="宋体"/>
          <w:color w:val="000000"/>
        </w:rPr>
        <w:t>1.17</w:t>
      </w:r>
      <w:r>
        <w:rPr>
          <w:rFonts w:ascii="宋体" w:hAnsi="宋体"/>
          <w:color w:val="000000"/>
        </w:rPr>
        <w:t>个百分点，处</w:t>
      </w:r>
      <w:r>
        <w:rPr>
          <w:rFonts w:ascii="宋体" w:hAnsi="宋体"/>
          <w:color w:val="000000"/>
        </w:rPr>
        <w:t>2011</w:t>
      </w:r>
      <w:r>
        <w:rPr>
          <w:rFonts w:ascii="宋体" w:hAnsi="宋体"/>
          <w:color w:val="000000"/>
        </w:rPr>
        <w:t>年来历史最低点，但较之其他行业，医药行业成长性的比较优势仍较为明显。</w:t>
      </w:r>
      <w:r>
        <w:rPr>
          <w:rFonts w:ascii="宋体" w:hAnsi="宋体"/>
          <w:color w:val="000000"/>
        </w:rPr>
        <w:t>1-9</w:t>
      </w:r>
      <w:r>
        <w:rPr>
          <w:rFonts w:ascii="宋体" w:hAnsi="宋体"/>
          <w:color w:val="000000"/>
        </w:rPr>
        <w:t>月实现利润总额</w:t>
      </w:r>
      <w:r>
        <w:rPr>
          <w:rFonts w:ascii="宋体" w:hAnsi="宋体"/>
          <w:color w:val="000000"/>
        </w:rPr>
        <w:t>1175</w:t>
      </w:r>
      <w:r>
        <w:rPr>
          <w:rFonts w:ascii="宋体" w:hAnsi="宋体"/>
          <w:color w:val="000000"/>
        </w:rPr>
        <w:t>亿元，同比增长</w:t>
      </w:r>
      <w:r>
        <w:rPr>
          <w:rFonts w:ascii="宋体" w:hAnsi="宋体"/>
          <w:color w:val="000000"/>
        </w:rPr>
        <w:t>17.45%</w:t>
      </w:r>
      <w:r>
        <w:rPr>
          <w:rFonts w:ascii="宋体" w:hAnsi="宋体"/>
          <w:color w:val="000000"/>
        </w:rPr>
        <w:t>，增速与</w:t>
      </w:r>
      <w:r>
        <w:rPr>
          <w:rFonts w:ascii="宋体" w:hAnsi="宋体"/>
          <w:color w:val="000000"/>
        </w:rPr>
        <w:t>2012</w:t>
      </w:r>
      <w:r>
        <w:rPr>
          <w:rFonts w:ascii="宋体" w:hAnsi="宋体"/>
          <w:color w:val="000000"/>
        </w:rPr>
        <w:t>年同期持平。</w:t>
      </w:r>
    </w:p>
    <w:p w:rsidR="00000000" w:rsidRDefault="000A1C5E">
      <w:pPr>
        <w:autoSpaceDN w:val="0"/>
        <w:spacing w:beforeAutospacing="1" w:afterAutospacing="1"/>
        <w:ind w:firstLine="420"/>
        <w:rPr>
          <w:rFonts w:ascii="宋体" w:hAnsi="宋体"/>
          <w:sz w:val="24"/>
        </w:rPr>
      </w:pPr>
      <w:r>
        <w:rPr>
          <w:rFonts w:ascii="宋体" w:hAnsi="宋体"/>
          <w:b/>
          <w:color w:val="000000"/>
        </w:rPr>
        <w:t>2.</w:t>
      </w:r>
      <w:r>
        <w:rPr>
          <w:rFonts w:ascii="宋体" w:hAnsi="宋体"/>
          <w:b/>
          <w:color w:val="000000"/>
        </w:rPr>
        <w:t>主要子行业销售收入和利润增速开始出现分化，未来发展成长性不一。</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w:t>
      </w:r>
      <w:r>
        <w:rPr>
          <w:rFonts w:ascii="宋体" w:hAnsi="宋体"/>
          <w:color w:val="000000"/>
        </w:rPr>
        <w:t>1-9</w:t>
      </w:r>
      <w:r>
        <w:rPr>
          <w:rFonts w:ascii="宋体" w:hAnsi="宋体"/>
          <w:color w:val="000000"/>
        </w:rPr>
        <w:t>月，医药制造行业各主要子行业的销售收入继续保持较快增长速度，同比增速由快到慢依次为中药饮片、中成药、生物制品、化药制剂、化药原</w:t>
      </w:r>
      <w:r>
        <w:rPr>
          <w:rFonts w:ascii="宋体" w:hAnsi="宋体"/>
          <w:color w:val="000000"/>
        </w:rPr>
        <w:t>料药。按利润额排名前四名分别是化学药品制剂、中成药、生物制药、化学原料药。</w:t>
      </w:r>
    </w:p>
    <w:p w:rsidR="00000000" w:rsidRDefault="000A1C5E">
      <w:pPr>
        <w:autoSpaceDN w:val="0"/>
        <w:spacing w:beforeAutospacing="1" w:afterAutospacing="1"/>
        <w:ind w:firstLine="420"/>
        <w:jc w:val="center"/>
        <w:rPr>
          <w:rFonts w:ascii="宋体" w:hAnsi="宋体"/>
          <w:sz w:val="24"/>
        </w:rPr>
      </w:pPr>
      <w:r>
        <w:rPr>
          <w:rFonts w:ascii="宋体" w:hAnsi="宋体"/>
          <w:color w:val="000000"/>
        </w:rPr>
        <w:t>表</w:t>
      </w:r>
      <w:r>
        <w:rPr>
          <w:rFonts w:ascii="宋体" w:hAnsi="宋体"/>
          <w:color w:val="000000"/>
        </w:rPr>
        <w:t>1</w:t>
      </w:r>
      <w:r>
        <w:rPr>
          <w:rFonts w:ascii="宋体" w:hAnsi="宋体"/>
          <w:color w:val="000000"/>
        </w:rPr>
        <w:t>：</w:t>
      </w:r>
      <w:r>
        <w:rPr>
          <w:rFonts w:ascii="宋体" w:hAnsi="宋体"/>
          <w:color w:val="000000"/>
        </w:rPr>
        <w:t>2013</w:t>
      </w:r>
      <w:r>
        <w:rPr>
          <w:rFonts w:ascii="宋体" w:hAnsi="宋体"/>
          <w:color w:val="000000"/>
        </w:rPr>
        <w:t>年</w:t>
      </w:r>
      <w:r>
        <w:rPr>
          <w:rFonts w:ascii="宋体" w:hAnsi="宋体"/>
          <w:color w:val="000000"/>
        </w:rPr>
        <w:t>1-9</w:t>
      </w:r>
      <w:r>
        <w:rPr>
          <w:rFonts w:ascii="宋体" w:hAnsi="宋体"/>
          <w:color w:val="000000"/>
        </w:rPr>
        <w:t>月医药主要子行业运行指标</w:t>
      </w:r>
    </w:p>
    <w:tbl>
      <w:tblPr>
        <w:tblW w:w="0" w:type="auto"/>
        <w:jc w:val="center"/>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1316"/>
        <w:gridCol w:w="1676"/>
        <w:gridCol w:w="956"/>
        <w:gridCol w:w="1676"/>
        <w:gridCol w:w="956"/>
      </w:tblGrid>
      <w:tr w:rsidR="00000000">
        <w:trPr>
          <w:trHeight w:val="64"/>
          <w:jc w:val="center"/>
        </w:trPr>
        <w:tc>
          <w:tcPr>
            <w:tcW w:w="1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jc w:val="center"/>
              <w:rPr>
                <w:rFonts w:ascii="宋体" w:hAnsi="宋体"/>
                <w:sz w:val="24"/>
              </w:rPr>
            </w:pPr>
            <w:r>
              <w:rPr>
                <w:rFonts w:ascii="仿宋_GB2312" w:eastAsia="仿宋_GB2312" w:hAnsi="仿宋_GB2312"/>
                <w:sz w:val="18"/>
              </w:rPr>
              <w:t>销售收入（亿元）</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jc w:val="center"/>
              <w:rPr>
                <w:rFonts w:ascii="宋体" w:hAnsi="宋体"/>
                <w:sz w:val="24"/>
              </w:rPr>
            </w:pPr>
            <w:r>
              <w:rPr>
                <w:rFonts w:ascii="仿宋_GB2312" w:eastAsia="仿宋_GB2312" w:hAnsi="仿宋_GB2312"/>
                <w:sz w:val="18"/>
              </w:rPr>
              <w:t>同比增长</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仿宋_GB2312" w:eastAsia="仿宋_GB2312" w:hAnsi="仿宋_GB2312"/>
                <w:sz w:val="18"/>
              </w:rPr>
              <w:t>利润总额（亿元）</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仿宋_GB2312" w:eastAsia="仿宋_GB2312" w:hAnsi="仿宋_GB2312"/>
                <w:sz w:val="18"/>
              </w:rPr>
              <w:t>同比增长</w:t>
            </w:r>
          </w:p>
        </w:tc>
      </w:tr>
      <w:tr w:rsidR="00000000">
        <w:trPr>
          <w:trHeight w:val="222"/>
          <w:jc w:val="center"/>
        </w:trPr>
        <w:tc>
          <w:tcPr>
            <w:tcW w:w="1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仿宋_GB2312" w:eastAsia="仿宋_GB2312" w:hAnsi="仿宋_GB2312"/>
                <w:sz w:val="18"/>
              </w:rPr>
              <w:t>化学原料药</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2749.06</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13.43%</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186.65</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13.91%</w:t>
            </w:r>
          </w:p>
        </w:tc>
      </w:tr>
      <w:tr w:rsidR="00000000">
        <w:trPr>
          <w:trHeight w:val="222"/>
          <w:jc w:val="center"/>
        </w:trPr>
        <w:tc>
          <w:tcPr>
            <w:tcW w:w="1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仿宋_GB2312" w:eastAsia="仿宋_GB2312" w:hAnsi="仿宋_GB2312"/>
                <w:sz w:val="18"/>
              </w:rPr>
              <w:t>化学制剂</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4119.21</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15.19%</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448.80</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15.93%</w:t>
            </w:r>
          </w:p>
        </w:tc>
      </w:tr>
      <w:tr w:rsidR="00000000">
        <w:trPr>
          <w:trHeight w:val="222"/>
          <w:jc w:val="center"/>
        </w:trPr>
        <w:tc>
          <w:tcPr>
            <w:tcW w:w="1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仿宋_GB2312" w:eastAsia="仿宋_GB2312" w:hAnsi="仿宋_GB2312"/>
                <w:sz w:val="18"/>
              </w:rPr>
              <w:t>中药饮片加工</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871.55</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26.17%</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62.05</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27.24%</w:t>
            </w:r>
          </w:p>
        </w:tc>
      </w:tr>
      <w:tr w:rsidR="00000000">
        <w:trPr>
          <w:trHeight w:val="222"/>
          <w:jc w:val="center"/>
        </w:trPr>
        <w:tc>
          <w:tcPr>
            <w:tcW w:w="1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仿宋_GB2312" w:eastAsia="仿宋_GB2312" w:hAnsi="仿宋_GB2312"/>
                <w:sz w:val="18"/>
              </w:rPr>
              <w:t>中成药</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3535.54</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23.44%</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354.64</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21.76%</w:t>
            </w:r>
          </w:p>
        </w:tc>
      </w:tr>
      <w:tr w:rsidR="00000000">
        <w:trPr>
          <w:trHeight w:val="222"/>
          <w:jc w:val="center"/>
        </w:trPr>
        <w:tc>
          <w:tcPr>
            <w:tcW w:w="13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仿宋_GB2312" w:eastAsia="仿宋_GB2312" w:hAnsi="仿宋_GB2312"/>
                <w:sz w:val="18"/>
              </w:rPr>
              <w:lastRenderedPageBreak/>
              <w:t>生物制药</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1687.80</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18.20%</w:t>
            </w:r>
          </w:p>
        </w:tc>
        <w:tc>
          <w:tcPr>
            <w:tcW w:w="16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pacing w:after="120"/>
              <w:jc w:val="center"/>
              <w:rPr>
                <w:rFonts w:ascii="宋体" w:hAnsi="宋体"/>
                <w:sz w:val="24"/>
              </w:rPr>
            </w:pPr>
            <w:r>
              <w:rPr>
                <w:rFonts w:ascii="宋体" w:hAnsi="宋体"/>
                <w:kern w:val="0"/>
                <w:sz w:val="18"/>
              </w:rPr>
              <w:t>201.</w:t>
            </w:r>
            <w:r>
              <w:rPr>
                <w:rFonts w:ascii="宋体" w:hAnsi="宋体"/>
                <w:kern w:val="0"/>
                <w:sz w:val="18"/>
              </w:rPr>
              <w:t>65</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ind w:firstLine="90"/>
              <w:jc w:val="center"/>
              <w:rPr>
                <w:rFonts w:ascii="宋体" w:hAnsi="宋体"/>
                <w:sz w:val="24"/>
              </w:rPr>
            </w:pPr>
            <w:r>
              <w:rPr>
                <w:rFonts w:ascii="宋体" w:hAnsi="宋体"/>
                <w:kern w:val="0"/>
                <w:sz w:val="18"/>
              </w:rPr>
              <w:t>12.06%</w:t>
            </w:r>
          </w:p>
        </w:tc>
      </w:tr>
    </w:tbl>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1</w:t>
      </w:r>
      <w:r>
        <w:rPr>
          <w:rFonts w:ascii="宋体" w:hAnsi="宋体"/>
          <w:color w:val="000000"/>
        </w:rPr>
        <w:t>）中成药、中药饮片加工：收入和利润增速保持在行业前列，但需关注政府启动中成药药品降价政策对行业的负面影响。</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年前三季度，尽管中国药品市场扩容速度有所放缓，但受益于政府出台的鼓励使用中药产业发展的政策，中成药行业保持了快速增长。</w:t>
      </w:r>
      <w:r>
        <w:rPr>
          <w:rFonts w:ascii="宋体" w:hAnsi="宋体"/>
          <w:color w:val="000000"/>
        </w:rPr>
        <w:t>2013</w:t>
      </w:r>
      <w:r>
        <w:rPr>
          <w:rFonts w:ascii="宋体" w:hAnsi="宋体"/>
          <w:color w:val="000000"/>
        </w:rPr>
        <w:t>年</w:t>
      </w:r>
      <w:r>
        <w:rPr>
          <w:rFonts w:ascii="宋体" w:hAnsi="宋体"/>
          <w:color w:val="000000"/>
        </w:rPr>
        <w:t>1-9</w:t>
      </w:r>
      <w:r>
        <w:rPr>
          <w:rFonts w:ascii="宋体" w:hAnsi="宋体"/>
          <w:color w:val="000000"/>
        </w:rPr>
        <w:t>月，中成药累计收入</w:t>
      </w:r>
      <w:r>
        <w:rPr>
          <w:rFonts w:ascii="宋体" w:hAnsi="宋体"/>
          <w:color w:val="000000"/>
        </w:rPr>
        <w:t>3535.54</w:t>
      </w:r>
      <w:r>
        <w:rPr>
          <w:rFonts w:ascii="宋体" w:hAnsi="宋体"/>
          <w:color w:val="000000"/>
        </w:rPr>
        <w:t>亿元，同比增长</w:t>
      </w:r>
      <w:r>
        <w:rPr>
          <w:rFonts w:ascii="宋体" w:hAnsi="宋体"/>
          <w:color w:val="000000"/>
        </w:rPr>
        <w:t>23.44%</w:t>
      </w:r>
      <w:r>
        <w:rPr>
          <w:rFonts w:ascii="宋体" w:hAnsi="宋体"/>
          <w:color w:val="000000"/>
        </w:rPr>
        <w:t>，累计利润</w:t>
      </w:r>
      <w:r>
        <w:rPr>
          <w:rFonts w:ascii="宋体" w:hAnsi="宋体"/>
          <w:color w:val="000000"/>
        </w:rPr>
        <w:t>354.64</w:t>
      </w:r>
      <w:r>
        <w:rPr>
          <w:rFonts w:ascii="宋体" w:hAnsi="宋体"/>
          <w:color w:val="000000"/>
        </w:rPr>
        <w:t>亿元，同比增长</w:t>
      </w:r>
      <w:r>
        <w:rPr>
          <w:rFonts w:ascii="宋体" w:hAnsi="宋体"/>
          <w:color w:val="000000"/>
        </w:rPr>
        <w:t>21.76%</w:t>
      </w:r>
      <w:r>
        <w:rPr>
          <w:rFonts w:ascii="宋体" w:hAnsi="宋体"/>
          <w:color w:val="000000"/>
        </w:rPr>
        <w:t>；中药饮片累计收入</w:t>
      </w:r>
      <w:r>
        <w:rPr>
          <w:rFonts w:ascii="宋体" w:hAnsi="宋体"/>
          <w:color w:val="000000"/>
        </w:rPr>
        <w:t>871.55</w:t>
      </w:r>
      <w:r>
        <w:rPr>
          <w:rFonts w:ascii="宋体" w:hAnsi="宋体"/>
          <w:color w:val="000000"/>
        </w:rPr>
        <w:t>亿元，同比增长</w:t>
      </w:r>
      <w:r>
        <w:rPr>
          <w:rFonts w:ascii="宋体" w:hAnsi="宋体"/>
          <w:color w:val="000000"/>
        </w:rPr>
        <w:t>26.17%</w:t>
      </w:r>
      <w:r>
        <w:rPr>
          <w:rFonts w:ascii="宋体" w:hAnsi="宋体"/>
          <w:color w:val="000000"/>
        </w:rPr>
        <w:t>；累计利润</w:t>
      </w:r>
      <w:r>
        <w:rPr>
          <w:rFonts w:ascii="宋体" w:hAnsi="宋体"/>
          <w:color w:val="000000"/>
        </w:rPr>
        <w:t>62.05</w:t>
      </w:r>
      <w:r>
        <w:rPr>
          <w:rFonts w:ascii="宋体" w:hAnsi="宋体"/>
          <w:color w:val="000000"/>
        </w:rPr>
        <w:t>亿元，同比增长</w:t>
      </w:r>
      <w:r>
        <w:rPr>
          <w:rFonts w:ascii="宋体" w:hAnsi="宋体"/>
          <w:color w:val="000000"/>
        </w:rPr>
        <w:t>27.24%</w:t>
      </w:r>
      <w:r>
        <w:rPr>
          <w:rFonts w:ascii="宋体" w:hAnsi="宋体"/>
          <w:color w:val="000000"/>
        </w:rPr>
        <w:t>，两子行业主营业务收入和利润</w:t>
      </w:r>
      <w:r>
        <w:rPr>
          <w:rFonts w:ascii="宋体" w:hAnsi="宋体"/>
          <w:color w:val="000000"/>
        </w:rPr>
        <w:t>总额增速远高于医药行业平均增速。</w:t>
      </w:r>
    </w:p>
    <w:p w:rsidR="00000000" w:rsidRDefault="000A1C5E">
      <w:pPr>
        <w:autoSpaceDN w:val="0"/>
        <w:spacing w:beforeAutospacing="1" w:afterAutospacing="1"/>
        <w:ind w:firstLine="420"/>
        <w:rPr>
          <w:rFonts w:ascii="宋体" w:hAnsi="宋体"/>
          <w:sz w:val="24"/>
        </w:rPr>
      </w:pPr>
      <w:r>
        <w:rPr>
          <w:rFonts w:ascii="宋体" w:hAnsi="宋体"/>
          <w:color w:val="000000"/>
        </w:rPr>
        <w:t>尽管政府鼓励中医及中药产品在疾病治疗中的使用比例，同时在中成药产品招标、定价等各个环节均给予政策扶持，中药行业发展前景趋好，但值得关注的是，《</w:t>
      </w:r>
      <w:r>
        <w:rPr>
          <w:rFonts w:ascii="宋体" w:hAnsi="宋体"/>
          <w:color w:val="000000"/>
        </w:rPr>
        <w:t>2012</w:t>
      </w:r>
      <w:r>
        <w:rPr>
          <w:rFonts w:ascii="宋体" w:hAnsi="宋体"/>
          <w:color w:val="000000"/>
        </w:rPr>
        <w:t>版国家基本药物目录》新增中药品种</w:t>
      </w:r>
      <w:r>
        <w:rPr>
          <w:rFonts w:ascii="宋体" w:hAnsi="宋体"/>
          <w:color w:val="000000"/>
        </w:rPr>
        <w:t>101</w:t>
      </w:r>
      <w:r>
        <w:rPr>
          <w:rFonts w:ascii="宋体" w:hAnsi="宋体"/>
          <w:color w:val="000000"/>
        </w:rPr>
        <w:t>种，占本次新增总量</w:t>
      </w:r>
      <w:r>
        <w:rPr>
          <w:rFonts w:ascii="宋体" w:hAnsi="宋体"/>
          <w:color w:val="000000"/>
        </w:rPr>
        <w:t>47.4%</w:t>
      </w:r>
      <w:r>
        <w:rPr>
          <w:rFonts w:ascii="宋体" w:hAnsi="宋体"/>
          <w:color w:val="000000"/>
        </w:rPr>
        <w:t>，扩容明显；同时受医保支出压力渐增，医保控费逐渐成为各级政府后续政策着力点，中成药产品面临的降价风险也日益加大。据悉，国家发改委已召集各地相关部门讨论中成药调价方案，预计整体降幅不低于</w:t>
      </w:r>
      <w:r>
        <w:rPr>
          <w:rFonts w:ascii="宋体" w:hAnsi="宋体"/>
          <w:color w:val="000000"/>
        </w:rPr>
        <w:t>10%-15%</w:t>
      </w:r>
      <w:r>
        <w:rPr>
          <w:rFonts w:ascii="宋体" w:hAnsi="宋体"/>
          <w:color w:val="000000"/>
        </w:rPr>
        <w:t>，部分中药独家品种最高降幅将达到</w:t>
      </w:r>
      <w:r>
        <w:rPr>
          <w:rFonts w:ascii="宋体" w:hAnsi="宋体"/>
          <w:color w:val="000000"/>
        </w:rPr>
        <w:t>25%</w:t>
      </w:r>
      <w:r>
        <w:rPr>
          <w:rFonts w:ascii="宋体" w:hAnsi="宋体"/>
          <w:color w:val="000000"/>
        </w:rPr>
        <w:t>。若该方案最终出台，中成药</w:t>
      </w:r>
      <w:r>
        <w:rPr>
          <w:rFonts w:ascii="宋体" w:hAnsi="宋体"/>
          <w:color w:val="000000"/>
        </w:rPr>
        <w:t>行业将面临一定负面影响，不过影响程度仍需后续观察。</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2</w:t>
      </w:r>
      <w:r>
        <w:rPr>
          <w:rFonts w:ascii="宋体" w:hAnsi="宋体"/>
          <w:color w:val="000000"/>
        </w:rPr>
        <w:t>）生物制药：行业重拾高增长态势，但受生物制品反贿事件及行业竞争加剧影响，行业利润增速出现明显下滑。</w:t>
      </w:r>
    </w:p>
    <w:p w:rsidR="00000000" w:rsidRDefault="000A1C5E">
      <w:pPr>
        <w:autoSpaceDN w:val="0"/>
        <w:spacing w:beforeAutospacing="1" w:afterAutospacing="1"/>
        <w:ind w:firstLine="420"/>
        <w:rPr>
          <w:rFonts w:ascii="宋体" w:hAnsi="宋体"/>
          <w:sz w:val="24"/>
        </w:rPr>
      </w:pPr>
      <w:r>
        <w:rPr>
          <w:rFonts w:ascii="宋体" w:hAnsi="宋体"/>
          <w:color w:val="000000"/>
        </w:rPr>
        <w:t>由于受部分省区</w:t>
      </w:r>
      <w:r>
        <w:rPr>
          <w:rFonts w:ascii="宋体" w:hAnsi="宋体"/>
          <w:color w:val="000000"/>
        </w:rPr>
        <w:t>“</w:t>
      </w:r>
      <w:r>
        <w:rPr>
          <w:rFonts w:ascii="宋体" w:hAnsi="宋体"/>
          <w:color w:val="000000"/>
        </w:rPr>
        <w:t>关停血浆站</w:t>
      </w:r>
      <w:r>
        <w:rPr>
          <w:rFonts w:ascii="宋体" w:hAnsi="宋体"/>
          <w:color w:val="000000"/>
        </w:rPr>
        <w:t>”</w:t>
      </w:r>
      <w:r>
        <w:rPr>
          <w:rFonts w:ascii="宋体" w:hAnsi="宋体"/>
          <w:color w:val="000000"/>
        </w:rPr>
        <w:t>影响，</w:t>
      </w:r>
      <w:r>
        <w:rPr>
          <w:rFonts w:ascii="宋体" w:hAnsi="宋体"/>
          <w:color w:val="000000"/>
        </w:rPr>
        <w:t>2012</w:t>
      </w:r>
      <w:r>
        <w:rPr>
          <w:rFonts w:ascii="宋体" w:hAnsi="宋体"/>
          <w:color w:val="000000"/>
        </w:rPr>
        <w:t>年血液制品行业增速下滑，并拖累整个生物制药行业增长，当年生物制药行业增速大幅下滑。但</w:t>
      </w:r>
      <w:r>
        <w:rPr>
          <w:rFonts w:ascii="宋体" w:hAnsi="宋体"/>
          <w:color w:val="000000"/>
        </w:rPr>
        <w:t>2013</w:t>
      </w:r>
      <w:r>
        <w:rPr>
          <w:rFonts w:ascii="宋体" w:hAnsi="宋体"/>
          <w:color w:val="000000"/>
        </w:rPr>
        <w:t>年以来，受益药品市场继续扩容及</w:t>
      </w:r>
      <w:r>
        <w:rPr>
          <w:rFonts w:ascii="宋体" w:hAnsi="宋体"/>
          <w:color w:val="000000"/>
        </w:rPr>
        <w:t>"</w:t>
      </w:r>
      <w:r>
        <w:rPr>
          <w:rFonts w:ascii="宋体" w:hAnsi="宋体"/>
          <w:color w:val="000000"/>
        </w:rPr>
        <w:t>关停血浆站</w:t>
      </w:r>
      <w:r>
        <w:rPr>
          <w:rFonts w:ascii="宋体" w:hAnsi="宋体"/>
          <w:color w:val="000000"/>
        </w:rPr>
        <w:t>"</w:t>
      </w:r>
      <w:r>
        <w:rPr>
          <w:rFonts w:ascii="宋体" w:hAnsi="宋体"/>
          <w:color w:val="000000"/>
        </w:rPr>
        <w:t>影响消退，在</w:t>
      </w:r>
      <w:r>
        <w:rPr>
          <w:rFonts w:ascii="宋体" w:hAnsi="宋体"/>
          <w:color w:val="000000"/>
        </w:rPr>
        <w:t>2012</w:t>
      </w:r>
      <w:r>
        <w:rPr>
          <w:rFonts w:ascii="宋体" w:hAnsi="宋体"/>
          <w:color w:val="000000"/>
        </w:rPr>
        <w:t>年低基数背景下，中国生物制药行业恢复高增长态势，但受生物制品反贿事件以及国内主要生物制药企业产品竞争加剧影响，该行业利润增速已出现明显下滑。</w:t>
      </w:r>
      <w:r>
        <w:rPr>
          <w:rFonts w:ascii="宋体" w:hAnsi="宋体"/>
          <w:color w:val="000000"/>
        </w:rPr>
        <w:t>2013</w:t>
      </w:r>
      <w:r>
        <w:rPr>
          <w:rFonts w:ascii="宋体" w:hAnsi="宋体"/>
          <w:color w:val="000000"/>
        </w:rPr>
        <w:t>年</w:t>
      </w:r>
      <w:r>
        <w:rPr>
          <w:rFonts w:ascii="宋体" w:hAnsi="宋体"/>
          <w:color w:val="000000"/>
        </w:rPr>
        <w:t>1-9</w:t>
      </w:r>
      <w:r>
        <w:rPr>
          <w:rFonts w:ascii="宋体" w:hAnsi="宋体"/>
          <w:color w:val="000000"/>
        </w:rPr>
        <w:t>月</w:t>
      </w:r>
      <w:r>
        <w:rPr>
          <w:rFonts w:ascii="宋体" w:hAnsi="宋体"/>
          <w:color w:val="000000"/>
        </w:rPr>
        <w:t>，生物制药行业利润额同比增长</w:t>
      </w:r>
      <w:r>
        <w:rPr>
          <w:rFonts w:ascii="宋体" w:hAnsi="宋体"/>
          <w:color w:val="000000"/>
        </w:rPr>
        <w:t>12.06%</w:t>
      </w:r>
      <w:r>
        <w:rPr>
          <w:rFonts w:ascii="宋体" w:hAnsi="宋体"/>
          <w:color w:val="000000"/>
        </w:rPr>
        <w:t>，低于主营业务收入增速约</w:t>
      </w:r>
      <w:r>
        <w:rPr>
          <w:rFonts w:ascii="宋体" w:hAnsi="宋体"/>
          <w:color w:val="000000"/>
        </w:rPr>
        <w:t>6</w:t>
      </w:r>
      <w:r>
        <w:rPr>
          <w:rFonts w:ascii="宋体" w:hAnsi="宋体"/>
          <w:color w:val="000000"/>
        </w:rPr>
        <w:t>个百分点。</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3</w:t>
      </w:r>
      <w:r>
        <w:rPr>
          <w:rFonts w:ascii="宋体" w:hAnsi="宋体"/>
          <w:color w:val="000000"/>
        </w:rPr>
        <w:t>）化学制剂：处于恢复性增长阶段，受制于降价及招标政策双重施压，长期增速将有所下滑。</w:t>
      </w:r>
    </w:p>
    <w:p w:rsidR="00000000" w:rsidRDefault="000A1C5E">
      <w:pPr>
        <w:autoSpaceDN w:val="0"/>
        <w:spacing w:beforeAutospacing="1" w:afterAutospacing="1"/>
        <w:ind w:firstLine="420"/>
        <w:rPr>
          <w:rFonts w:ascii="宋体" w:hAnsi="宋体"/>
          <w:sz w:val="24"/>
        </w:rPr>
      </w:pPr>
      <w:r>
        <w:rPr>
          <w:rFonts w:ascii="宋体" w:hAnsi="宋体"/>
          <w:color w:val="000000"/>
        </w:rPr>
        <w:t>化学制剂行业</w:t>
      </w:r>
      <w:r>
        <w:rPr>
          <w:rFonts w:ascii="宋体" w:hAnsi="宋体"/>
          <w:color w:val="000000"/>
        </w:rPr>
        <w:t>2012</w:t>
      </w:r>
      <w:r>
        <w:rPr>
          <w:rFonts w:ascii="宋体" w:hAnsi="宋体"/>
          <w:color w:val="000000"/>
        </w:rPr>
        <w:t>年受药品行政降价、低价招标等低基数影响后，</w:t>
      </w:r>
      <w:r>
        <w:rPr>
          <w:rFonts w:ascii="宋体" w:hAnsi="宋体"/>
          <w:color w:val="000000"/>
        </w:rPr>
        <w:t>2012</w:t>
      </w:r>
      <w:r>
        <w:rPr>
          <w:rFonts w:ascii="宋体" w:hAnsi="宋体"/>
          <w:color w:val="000000"/>
        </w:rPr>
        <w:t>年下半年至今仍处于恢复性增长阶段，</w:t>
      </w:r>
      <w:r>
        <w:rPr>
          <w:rFonts w:ascii="宋体" w:hAnsi="宋体"/>
          <w:color w:val="000000"/>
        </w:rPr>
        <w:t>2013</w:t>
      </w:r>
      <w:r>
        <w:rPr>
          <w:rFonts w:ascii="宋体" w:hAnsi="宋体"/>
          <w:color w:val="000000"/>
        </w:rPr>
        <w:t>年前三季度，其主营业务收入和利润分别同比增长</w:t>
      </w:r>
      <w:r>
        <w:rPr>
          <w:rFonts w:ascii="宋体" w:hAnsi="宋体"/>
          <w:color w:val="000000"/>
        </w:rPr>
        <w:t>15.19%</w:t>
      </w:r>
      <w:r>
        <w:rPr>
          <w:rFonts w:ascii="宋体" w:hAnsi="宋体"/>
          <w:color w:val="000000"/>
        </w:rPr>
        <w:t>和</w:t>
      </w:r>
      <w:r>
        <w:rPr>
          <w:rFonts w:ascii="宋体" w:hAnsi="宋体"/>
          <w:color w:val="000000"/>
        </w:rPr>
        <w:t>15.93%</w:t>
      </w:r>
      <w:r>
        <w:rPr>
          <w:rFonts w:ascii="宋体" w:hAnsi="宋体"/>
          <w:color w:val="000000"/>
        </w:rPr>
        <w:t>。该行业受各省基药增补情况、招标价格导向等政策因素影响较大，随着医保控费及质量优先、价格合理为目标的招标模式推广，以仿制药为主的化学药品降价预计将成为未来常态，行业</w:t>
      </w:r>
      <w:r>
        <w:rPr>
          <w:rFonts w:ascii="宋体" w:hAnsi="宋体"/>
          <w:color w:val="000000"/>
        </w:rPr>
        <w:t>长期增速将有所下滑。</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4</w:t>
      </w:r>
      <w:r>
        <w:rPr>
          <w:rFonts w:ascii="宋体" w:hAnsi="宋体"/>
          <w:color w:val="000000"/>
        </w:rPr>
        <w:t>）化学原料药：产能过剩背景下，行业维持低迷震荡。</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w:t>
      </w:r>
      <w:r>
        <w:rPr>
          <w:rFonts w:ascii="宋体" w:hAnsi="宋体"/>
          <w:color w:val="000000"/>
        </w:rPr>
        <w:t>1-9</w:t>
      </w:r>
      <w:r>
        <w:rPr>
          <w:rFonts w:ascii="宋体" w:hAnsi="宋体"/>
          <w:color w:val="000000"/>
        </w:rPr>
        <w:t>月，化学原料药收入和利润分别同比增长</w:t>
      </w:r>
      <w:r>
        <w:rPr>
          <w:rFonts w:ascii="宋体" w:hAnsi="宋体"/>
          <w:color w:val="000000"/>
        </w:rPr>
        <w:t>13.43%</w:t>
      </w:r>
      <w:r>
        <w:rPr>
          <w:rFonts w:ascii="宋体" w:hAnsi="宋体"/>
          <w:color w:val="000000"/>
        </w:rPr>
        <w:t>、</w:t>
      </w:r>
      <w:r>
        <w:rPr>
          <w:rFonts w:ascii="宋体" w:hAnsi="宋体"/>
          <w:color w:val="000000"/>
        </w:rPr>
        <w:t>13.91%</w:t>
      </w:r>
      <w:r>
        <w:rPr>
          <w:rFonts w:ascii="宋体" w:hAnsi="宋体"/>
          <w:color w:val="000000"/>
        </w:rPr>
        <w:t>，虽继续维持平稳增长，但增速为医药主要子行业中最低。</w:t>
      </w:r>
      <w:r>
        <w:rPr>
          <w:rFonts w:ascii="宋体" w:hAnsi="宋体"/>
          <w:color w:val="000000"/>
        </w:rPr>
        <w:t>2013</w:t>
      </w:r>
      <w:r>
        <w:rPr>
          <w:rFonts w:ascii="宋体" w:hAnsi="宋体"/>
          <w:color w:val="000000"/>
        </w:rPr>
        <w:t>年下游基药抗生素制剂放量，采购活跃，但是产能消化有限，因国家规范抗生素应用和产能过剩将长期存在，预计原料药行业收入和利润增速将处低位运行，行业持续低迷震荡态势。</w:t>
      </w:r>
    </w:p>
    <w:p w:rsidR="00000000" w:rsidRDefault="000A1C5E">
      <w:pPr>
        <w:autoSpaceDN w:val="0"/>
        <w:spacing w:beforeAutospacing="1" w:afterAutospacing="1"/>
        <w:ind w:firstLine="420"/>
        <w:rPr>
          <w:rFonts w:ascii="宋体" w:hAnsi="宋体"/>
          <w:sz w:val="24"/>
        </w:rPr>
      </w:pPr>
      <w:r>
        <w:rPr>
          <w:rFonts w:ascii="宋体" w:hAnsi="宋体"/>
          <w:b/>
          <w:color w:val="000000"/>
        </w:rPr>
        <w:lastRenderedPageBreak/>
        <w:t>3.</w:t>
      </w:r>
      <w:r>
        <w:rPr>
          <w:rFonts w:ascii="宋体" w:hAnsi="宋体"/>
          <w:b/>
          <w:color w:val="000000"/>
        </w:rPr>
        <w:t>产业集中度有所提升，但仍处较低水平。</w:t>
      </w:r>
    </w:p>
    <w:p w:rsidR="00000000" w:rsidRDefault="000A1C5E">
      <w:pPr>
        <w:autoSpaceDN w:val="0"/>
        <w:spacing w:beforeAutospacing="1" w:afterAutospacing="1"/>
        <w:ind w:firstLine="420"/>
        <w:rPr>
          <w:rFonts w:ascii="宋体" w:hAnsi="宋体"/>
          <w:sz w:val="24"/>
        </w:rPr>
      </w:pPr>
      <w:r>
        <w:rPr>
          <w:rFonts w:ascii="宋体" w:hAnsi="宋体"/>
          <w:color w:val="000000"/>
        </w:rPr>
        <w:t>近年来，通过扶优扶强和优胜劣汰，医药行业集中度已有所提升。</w:t>
      </w:r>
      <w:r>
        <w:rPr>
          <w:rFonts w:ascii="宋体" w:hAnsi="宋体"/>
          <w:color w:val="000000"/>
        </w:rPr>
        <w:t>2012</w:t>
      </w:r>
      <w:r>
        <w:rPr>
          <w:rFonts w:ascii="宋体" w:hAnsi="宋体"/>
          <w:color w:val="000000"/>
        </w:rPr>
        <w:t>年制药百强榜的上榜企业占制药</w:t>
      </w:r>
      <w:r>
        <w:rPr>
          <w:rFonts w:ascii="宋体" w:hAnsi="宋体"/>
          <w:color w:val="000000"/>
        </w:rPr>
        <w:t>行业比重为</w:t>
      </w:r>
      <w:r>
        <w:rPr>
          <w:rFonts w:ascii="宋体" w:hAnsi="宋体"/>
          <w:color w:val="000000"/>
        </w:rPr>
        <w:t>29.3%</w:t>
      </w:r>
      <w:r>
        <w:rPr>
          <w:rFonts w:ascii="宋体" w:hAnsi="宋体"/>
          <w:color w:val="000000"/>
        </w:rPr>
        <w:t>，首次出现了主营业务收入超过</w:t>
      </w:r>
      <w:r>
        <w:rPr>
          <w:rFonts w:ascii="宋体" w:hAnsi="宋体"/>
          <w:color w:val="000000"/>
        </w:rPr>
        <w:t>300</w:t>
      </w:r>
      <w:r>
        <w:rPr>
          <w:rFonts w:ascii="宋体" w:hAnsi="宋体"/>
          <w:color w:val="000000"/>
        </w:rPr>
        <w:t>亿的企业，且数量超过了</w:t>
      </w:r>
      <w:r>
        <w:rPr>
          <w:rFonts w:ascii="宋体" w:hAnsi="宋体"/>
          <w:color w:val="000000"/>
        </w:rPr>
        <w:t>3</w:t>
      </w:r>
      <w:r>
        <w:rPr>
          <w:rFonts w:ascii="宋体" w:hAnsi="宋体"/>
          <w:color w:val="000000"/>
        </w:rPr>
        <w:t>家，涌现出一批具有国际竞争力和对行业发展有较强带动作用的大型企业集团，但医药行业企业多、小、散的问题仍然突出，过度竞争、资源浪费和环境污染等问题仍未得到根本改变。</w:t>
      </w:r>
    </w:p>
    <w:p w:rsidR="00000000" w:rsidRDefault="000A1C5E">
      <w:pPr>
        <w:autoSpaceDN w:val="0"/>
        <w:spacing w:beforeAutospacing="1" w:afterAutospacing="1"/>
        <w:ind w:firstLine="420"/>
        <w:rPr>
          <w:rFonts w:ascii="宋体" w:hAnsi="宋体"/>
          <w:sz w:val="24"/>
        </w:rPr>
      </w:pPr>
      <w:r>
        <w:rPr>
          <w:rFonts w:ascii="宋体" w:hAnsi="宋体"/>
          <w:color w:val="000000"/>
        </w:rPr>
        <w:t>从百强企业来看，主营化学药品制剂的企业</w:t>
      </w:r>
      <w:r>
        <w:rPr>
          <w:rFonts w:ascii="宋体" w:hAnsi="宋体"/>
          <w:color w:val="000000"/>
        </w:rPr>
        <w:t>61</w:t>
      </w:r>
      <w:r>
        <w:rPr>
          <w:rFonts w:ascii="宋体" w:hAnsi="宋体"/>
          <w:color w:val="000000"/>
        </w:rPr>
        <w:t>家，主营中成药的企业</w:t>
      </w:r>
      <w:r>
        <w:rPr>
          <w:rFonts w:ascii="宋体" w:hAnsi="宋体"/>
          <w:color w:val="000000"/>
        </w:rPr>
        <w:t>24</w:t>
      </w:r>
      <w:r>
        <w:rPr>
          <w:rFonts w:ascii="宋体" w:hAnsi="宋体"/>
          <w:color w:val="000000"/>
        </w:rPr>
        <w:t>家，主营化学药品原料药的企业</w:t>
      </w:r>
      <w:r>
        <w:rPr>
          <w:rFonts w:ascii="宋体" w:hAnsi="宋体"/>
          <w:color w:val="000000"/>
        </w:rPr>
        <w:t>12</w:t>
      </w:r>
      <w:r>
        <w:rPr>
          <w:rFonts w:ascii="宋体" w:hAnsi="宋体"/>
          <w:color w:val="000000"/>
        </w:rPr>
        <w:t>家，构成了百强企业的主体。其在地域分布上仍然维持东强西弱格局，其中，山东、江苏、北京和浙江四省市入围企业均在</w:t>
      </w:r>
      <w:r>
        <w:rPr>
          <w:rFonts w:ascii="宋体" w:hAnsi="宋体"/>
          <w:color w:val="000000"/>
        </w:rPr>
        <w:t>10</w:t>
      </w:r>
      <w:r>
        <w:rPr>
          <w:rFonts w:ascii="宋体" w:hAnsi="宋体"/>
          <w:color w:val="000000"/>
        </w:rPr>
        <w:t>家以上，四地合计入围</w:t>
      </w:r>
      <w:r>
        <w:rPr>
          <w:rFonts w:ascii="宋体" w:hAnsi="宋体"/>
          <w:color w:val="000000"/>
        </w:rPr>
        <w:t>51</w:t>
      </w:r>
      <w:r>
        <w:rPr>
          <w:rFonts w:ascii="宋体" w:hAnsi="宋体"/>
          <w:color w:val="000000"/>
        </w:rPr>
        <w:t>家，占据百强企业榜单的半壁江山。</w:t>
      </w:r>
    </w:p>
    <w:p w:rsidR="00000000" w:rsidRDefault="000A1C5E">
      <w:pPr>
        <w:autoSpaceDN w:val="0"/>
        <w:spacing w:before="210" w:after="210"/>
        <w:ind w:firstLine="420"/>
        <w:rPr>
          <w:rFonts w:ascii="宋体" w:hAnsi="宋体"/>
          <w:b/>
          <w:sz w:val="24"/>
        </w:rPr>
      </w:pPr>
      <w:r>
        <w:rPr>
          <w:rFonts w:ascii="仿宋_GB2312" w:eastAsia="仿宋_GB2312" w:hAnsi="仿宋_GB2312"/>
          <w:b/>
          <w:sz w:val="24"/>
        </w:rPr>
        <w:t>（</w:t>
      </w:r>
      <w:r>
        <w:rPr>
          <w:rFonts w:ascii="仿宋_GB2312" w:eastAsia="仿宋_GB2312" w:hAnsi="仿宋_GB2312"/>
          <w:b/>
          <w:sz w:val="24"/>
        </w:rPr>
        <w:t>二）相关政策要求</w:t>
      </w:r>
    </w:p>
    <w:p w:rsidR="00000000" w:rsidRDefault="000A1C5E">
      <w:pPr>
        <w:autoSpaceDN w:val="0"/>
        <w:spacing w:beforeAutospacing="1" w:afterAutospacing="1"/>
        <w:ind w:firstLine="420"/>
        <w:rPr>
          <w:rFonts w:ascii="宋体" w:hAnsi="宋体"/>
          <w:sz w:val="24"/>
        </w:rPr>
      </w:pPr>
      <w:r>
        <w:rPr>
          <w:rFonts w:ascii="宋体" w:hAnsi="宋体"/>
          <w:b/>
          <w:color w:val="000000"/>
        </w:rPr>
        <w:t>1.</w:t>
      </w:r>
      <w:r>
        <w:rPr>
          <w:rFonts w:ascii="宋体" w:hAnsi="宋体"/>
          <w:b/>
          <w:color w:val="000000"/>
        </w:rPr>
        <w:t>医改力度加大</w:t>
      </w:r>
      <w:r>
        <w:rPr>
          <w:rFonts w:ascii="宋体" w:hAnsi="宋体"/>
          <w:b/>
          <w:color w:val="000000"/>
        </w:rPr>
        <w:t>,</w:t>
      </w:r>
      <w:r>
        <w:rPr>
          <w:rFonts w:ascii="宋体" w:hAnsi="宋体"/>
          <w:b/>
          <w:color w:val="000000"/>
        </w:rPr>
        <w:t>直接利好上游医药行业发展。</w:t>
      </w:r>
    </w:p>
    <w:p w:rsidR="00000000" w:rsidRDefault="000A1C5E">
      <w:pPr>
        <w:autoSpaceDN w:val="0"/>
        <w:spacing w:beforeAutospacing="1" w:afterAutospacing="1"/>
        <w:ind w:firstLine="420"/>
        <w:rPr>
          <w:rFonts w:ascii="宋体" w:hAnsi="宋体"/>
          <w:sz w:val="24"/>
        </w:rPr>
      </w:pPr>
      <w:bookmarkStart w:id="7" w:name="_Toc334690608"/>
      <w:bookmarkStart w:id="8" w:name="_Toc309303235"/>
      <w:bookmarkStart w:id="9" w:name="_Toc309036409"/>
      <w:r>
        <w:rPr>
          <w:rFonts w:ascii="宋体" w:hAnsi="宋体"/>
          <w:color w:val="000000"/>
        </w:rPr>
        <w:t>2013</w:t>
      </w:r>
      <w:r>
        <w:rPr>
          <w:rFonts w:ascii="宋体" w:hAnsi="宋体"/>
          <w:color w:val="000000"/>
        </w:rPr>
        <w:t>年是全面实施</w:t>
      </w:r>
      <w:r>
        <w:rPr>
          <w:rFonts w:ascii="宋体" w:hAnsi="宋体"/>
          <w:color w:val="000000"/>
        </w:rPr>
        <w:t>“</w:t>
      </w:r>
      <w:r>
        <w:rPr>
          <w:rFonts w:ascii="宋体" w:hAnsi="宋体"/>
          <w:color w:val="000000"/>
        </w:rPr>
        <w:t>十二五</w:t>
      </w:r>
      <w:r>
        <w:rPr>
          <w:rFonts w:ascii="宋体" w:hAnsi="宋体"/>
          <w:color w:val="000000"/>
        </w:rPr>
        <w:t>”</w:t>
      </w:r>
      <w:r>
        <w:rPr>
          <w:rFonts w:ascii="宋体" w:hAnsi="宋体"/>
          <w:color w:val="000000"/>
        </w:rPr>
        <w:t>医改规划的关键之年，近期国家相继出台多项政策文件，对上游医药制造行业发展起到了直接促进作用。</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1</w:t>
      </w:r>
      <w:r>
        <w:rPr>
          <w:rFonts w:ascii="宋体" w:hAnsi="宋体"/>
          <w:color w:val="000000"/>
        </w:rPr>
        <w:t>）医保基药品种大幅扩容</w:t>
      </w:r>
    </w:p>
    <w:p w:rsidR="00000000" w:rsidRDefault="000A1C5E">
      <w:pPr>
        <w:autoSpaceDN w:val="0"/>
        <w:spacing w:beforeAutospacing="1" w:afterAutospacing="1"/>
        <w:ind w:firstLine="420"/>
        <w:rPr>
          <w:rFonts w:ascii="宋体" w:hAnsi="宋体"/>
          <w:sz w:val="24"/>
        </w:rPr>
      </w:pPr>
      <w:r>
        <w:rPr>
          <w:rFonts w:ascii="宋体" w:hAnsi="宋体"/>
          <w:color w:val="000000"/>
        </w:rPr>
        <w:t>13</w:t>
      </w:r>
      <w:r>
        <w:rPr>
          <w:rFonts w:ascii="宋体" w:hAnsi="宋体"/>
          <w:color w:val="000000"/>
        </w:rPr>
        <w:t>年</w:t>
      </w:r>
      <w:r>
        <w:rPr>
          <w:rFonts w:ascii="宋体" w:hAnsi="宋体"/>
          <w:color w:val="000000"/>
        </w:rPr>
        <w:t>3</w:t>
      </w:r>
      <w:r>
        <w:rPr>
          <w:rFonts w:ascii="宋体" w:hAnsi="宋体"/>
          <w:color w:val="000000"/>
        </w:rPr>
        <w:t>月卫生部发布《国家基本药物目录》（</w:t>
      </w:r>
      <w:r>
        <w:rPr>
          <w:rFonts w:ascii="宋体" w:hAnsi="宋体"/>
          <w:color w:val="000000"/>
        </w:rPr>
        <w:t>2012</w:t>
      </w:r>
      <w:r>
        <w:rPr>
          <w:rFonts w:ascii="宋体" w:hAnsi="宋体"/>
          <w:color w:val="000000"/>
        </w:rPr>
        <w:t>版）。新版基药目录药品包括化学药品和生物制品、中成药和中药饮片三部分，药品品种从</w:t>
      </w:r>
      <w:r>
        <w:rPr>
          <w:rFonts w:ascii="宋体" w:hAnsi="宋体"/>
          <w:color w:val="000000"/>
        </w:rPr>
        <w:t>2009</w:t>
      </w:r>
      <w:r>
        <w:rPr>
          <w:rFonts w:ascii="宋体" w:hAnsi="宋体"/>
          <w:color w:val="000000"/>
        </w:rPr>
        <w:t>版时的</w:t>
      </w:r>
      <w:r>
        <w:rPr>
          <w:rFonts w:ascii="宋体" w:hAnsi="宋体"/>
          <w:color w:val="000000"/>
        </w:rPr>
        <w:t>307</w:t>
      </w:r>
      <w:r>
        <w:rPr>
          <w:rFonts w:ascii="宋体" w:hAnsi="宋体"/>
          <w:color w:val="000000"/>
        </w:rPr>
        <w:t>种增至</w:t>
      </w:r>
      <w:r>
        <w:rPr>
          <w:rFonts w:ascii="宋体" w:hAnsi="宋体"/>
          <w:color w:val="000000"/>
        </w:rPr>
        <w:t>520</w:t>
      </w:r>
      <w:r>
        <w:rPr>
          <w:rFonts w:ascii="宋体" w:hAnsi="宋体"/>
          <w:color w:val="000000"/>
        </w:rPr>
        <w:t>种，补充了肿瘤、血液用药、精神类药物等，其中中药补充了</w:t>
      </w:r>
      <w:r>
        <w:rPr>
          <w:rFonts w:ascii="宋体" w:hAnsi="宋体"/>
          <w:color w:val="000000"/>
        </w:rPr>
        <w:t>101</w:t>
      </w:r>
      <w:r>
        <w:rPr>
          <w:rFonts w:ascii="宋体" w:hAnsi="宋体"/>
          <w:color w:val="000000"/>
        </w:rPr>
        <w:t>个品种，扩容明显，使用范围则扩至二、三级医院。</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2</w:t>
      </w:r>
      <w:r>
        <w:rPr>
          <w:rFonts w:ascii="宋体" w:hAnsi="宋体"/>
          <w:color w:val="000000"/>
        </w:rPr>
        <w:t>）加快推进重大疾病医疗</w:t>
      </w:r>
      <w:r>
        <w:rPr>
          <w:rFonts w:ascii="宋体" w:hAnsi="宋体"/>
          <w:color w:val="000000"/>
        </w:rPr>
        <w:t>保障，提高财政对新农合的补助标准。</w:t>
      </w:r>
    </w:p>
    <w:p w:rsidR="00000000" w:rsidRDefault="000A1C5E">
      <w:pPr>
        <w:autoSpaceDN w:val="0"/>
        <w:spacing w:beforeAutospacing="1" w:afterAutospacing="1"/>
        <w:ind w:firstLine="420"/>
        <w:rPr>
          <w:rFonts w:ascii="宋体" w:hAnsi="宋体"/>
          <w:sz w:val="24"/>
        </w:rPr>
      </w:pPr>
      <w:r>
        <w:rPr>
          <w:rFonts w:ascii="宋体" w:hAnsi="宋体"/>
          <w:color w:val="000000"/>
        </w:rPr>
        <w:t>一是</w:t>
      </w:r>
      <w:r>
        <w:rPr>
          <w:rFonts w:ascii="宋体" w:hAnsi="宋体"/>
          <w:color w:val="000000"/>
        </w:rPr>
        <w:t>2013</w:t>
      </w:r>
      <w:r>
        <w:rPr>
          <w:rFonts w:ascii="宋体" w:hAnsi="宋体"/>
          <w:color w:val="000000"/>
        </w:rPr>
        <w:t>年基本推进</w:t>
      </w:r>
      <w:r>
        <w:rPr>
          <w:rFonts w:ascii="宋体" w:hAnsi="宋体"/>
          <w:color w:val="000000"/>
        </w:rPr>
        <w:t>20</w:t>
      </w:r>
      <w:r>
        <w:rPr>
          <w:rFonts w:ascii="宋体" w:hAnsi="宋体"/>
          <w:color w:val="000000"/>
        </w:rPr>
        <w:t>种重大疾病保障</w:t>
      </w:r>
      <w:r>
        <w:rPr>
          <w:rFonts w:ascii="宋体" w:hAnsi="宋体"/>
          <w:color w:val="000000"/>
        </w:rPr>
        <w:t>,</w:t>
      </w:r>
      <w:r>
        <w:rPr>
          <w:rFonts w:ascii="宋体" w:hAnsi="宋体"/>
          <w:color w:val="000000"/>
        </w:rPr>
        <w:t>新农合基金按照不低于</w:t>
      </w:r>
      <w:r>
        <w:rPr>
          <w:rFonts w:ascii="宋体" w:hAnsi="宋体"/>
          <w:color w:val="000000"/>
        </w:rPr>
        <w:t>70%</w:t>
      </w:r>
      <w:r>
        <w:rPr>
          <w:rFonts w:ascii="宋体" w:hAnsi="宋体"/>
          <w:color w:val="000000"/>
        </w:rPr>
        <w:t>的比例进行补偿；二是</w:t>
      </w:r>
      <w:r>
        <w:rPr>
          <w:rFonts w:ascii="宋体" w:hAnsi="宋体"/>
          <w:color w:val="000000"/>
        </w:rPr>
        <w:t>2013</w:t>
      </w:r>
      <w:r>
        <w:rPr>
          <w:rFonts w:ascii="宋体" w:hAnsi="宋体"/>
          <w:color w:val="000000"/>
        </w:rPr>
        <w:t>年起，各级财政对新农合的补助标准从每人每年</w:t>
      </w:r>
      <w:r>
        <w:rPr>
          <w:rFonts w:ascii="宋体" w:hAnsi="宋体"/>
          <w:color w:val="000000"/>
        </w:rPr>
        <w:t>240</w:t>
      </w:r>
      <w:r>
        <w:rPr>
          <w:rFonts w:ascii="宋体" w:hAnsi="宋体"/>
          <w:color w:val="000000"/>
        </w:rPr>
        <w:t>元提高到每人每年</w:t>
      </w:r>
      <w:r>
        <w:rPr>
          <w:rFonts w:ascii="宋体" w:hAnsi="宋体"/>
          <w:color w:val="000000"/>
        </w:rPr>
        <w:t>280</w:t>
      </w:r>
      <w:r>
        <w:rPr>
          <w:rFonts w:ascii="宋体" w:hAnsi="宋体"/>
          <w:color w:val="000000"/>
        </w:rPr>
        <w:t>元，参合农民个人缴费水平原则上相应提高到每人每年</w:t>
      </w:r>
      <w:r>
        <w:rPr>
          <w:rFonts w:ascii="宋体" w:hAnsi="宋体"/>
          <w:color w:val="000000"/>
        </w:rPr>
        <w:t>70</w:t>
      </w:r>
      <w:r>
        <w:rPr>
          <w:rFonts w:ascii="宋体" w:hAnsi="宋体"/>
          <w:color w:val="000000"/>
        </w:rPr>
        <w:t>元；三是</w:t>
      </w:r>
      <w:r>
        <w:rPr>
          <w:rFonts w:ascii="宋体" w:hAnsi="宋体"/>
          <w:color w:val="000000"/>
        </w:rPr>
        <w:t>2013</w:t>
      </w:r>
      <w:r>
        <w:rPr>
          <w:rFonts w:ascii="宋体" w:hAnsi="宋体"/>
          <w:color w:val="000000"/>
        </w:rPr>
        <w:t>年要以省</w:t>
      </w:r>
      <w:r>
        <w:rPr>
          <w:rFonts w:ascii="宋体" w:hAnsi="宋体"/>
          <w:color w:val="000000"/>
        </w:rPr>
        <w:t>(</w:t>
      </w:r>
      <w:r>
        <w:rPr>
          <w:rFonts w:ascii="宋体" w:hAnsi="宋体"/>
          <w:color w:val="000000"/>
        </w:rPr>
        <w:t>区、市</w:t>
      </w:r>
      <w:r>
        <w:rPr>
          <w:rFonts w:ascii="宋体" w:hAnsi="宋体"/>
          <w:color w:val="000000"/>
        </w:rPr>
        <w:t>)</w:t>
      </w:r>
      <w:r>
        <w:rPr>
          <w:rFonts w:ascii="宋体" w:hAnsi="宋体"/>
          <w:color w:val="000000"/>
        </w:rPr>
        <w:t>为单位全面推开儿童白血病、先天性心脏病、终末期肾病、妇女乳腺癌、宫颈癌等</w:t>
      </w:r>
      <w:r>
        <w:rPr>
          <w:rFonts w:ascii="宋体" w:hAnsi="宋体"/>
          <w:color w:val="000000"/>
        </w:rPr>
        <w:t>20</w:t>
      </w:r>
      <w:r>
        <w:rPr>
          <w:rFonts w:ascii="宋体" w:hAnsi="宋体"/>
          <w:color w:val="000000"/>
        </w:rPr>
        <w:t>个病种的重大疾病保障试点工作。</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3</w:t>
      </w:r>
      <w:r>
        <w:rPr>
          <w:rFonts w:ascii="宋体" w:hAnsi="宋体"/>
          <w:color w:val="000000"/>
        </w:rPr>
        <w:t>）大力促进健康服务业发展。</w:t>
      </w:r>
    </w:p>
    <w:p w:rsidR="00000000" w:rsidRDefault="000A1C5E">
      <w:pPr>
        <w:autoSpaceDN w:val="0"/>
        <w:spacing w:beforeAutospacing="1" w:afterAutospacing="1"/>
        <w:ind w:firstLine="420"/>
        <w:rPr>
          <w:rFonts w:ascii="宋体" w:hAnsi="宋体"/>
          <w:sz w:val="24"/>
        </w:rPr>
      </w:pPr>
      <w:r>
        <w:rPr>
          <w:rFonts w:ascii="宋体" w:hAnsi="宋体"/>
          <w:color w:val="000000"/>
        </w:rPr>
        <w:t>10</w:t>
      </w:r>
      <w:r>
        <w:rPr>
          <w:rFonts w:ascii="宋体" w:hAnsi="宋体"/>
          <w:color w:val="000000"/>
        </w:rPr>
        <w:t>月</w:t>
      </w:r>
      <w:r>
        <w:rPr>
          <w:rFonts w:ascii="宋体" w:hAnsi="宋体"/>
          <w:color w:val="000000"/>
        </w:rPr>
        <w:t>14</w:t>
      </w:r>
      <w:r>
        <w:rPr>
          <w:rFonts w:ascii="宋体" w:hAnsi="宋体"/>
          <w:color w:val="000000"/>
        </w:rPr>
        <w:t>日，国务院办公厅发布的《关于促进健康服务业发展的若干意见》，《意见》从刺激</w:t>
      </w:r>
      <w:r>
        <w:rPr>
          <w:rFonts w:ascii="宋体" w:hAnsi="宋体"/>
          <w:color w:val="000000"/>
        </w:rPr>
        <w:t>消费需求、鼓励扩大供给两个角度，提出了促进健康服务业发展的政策措施，提出力争到</w:t>
      </w:r>
      <w:r>
        <w:rPr>
          <w:rFonts w:ascii="宋体" w:hAnsi="宋体"/>
          <w:color w:val="000000"/>
        </w:rPr>
        <w:t>2020</w:t>
      </w:r>
      <w:r>
        <w:rPr>
          <w:rFonts w:ascii="宋体" w:hAnsi="宋体"/>
          <w:color w:val="000000"/>
        </w:rPr>
        <w:t>年，基本建立覆盖全生命周期、内涵丰富、结构合理的健康服务业体系，健康服务业总规模达到</w:t>
      </w:r>
      <w:r>
        <w:rPr>
          <w:rFonts w:ascii="宋体" w:hAnsi="宋体"/>
          <w:color w:val="000000"/>
        </w:rPr>
        <w:t>8</w:t>
      </w:r>
      <w:r>
        <w:rPr>
          <w:rFonts w:ascii="宋体" w:hAnsi="宋体"/>
          <w:color w:val="000000"/>
        </w:rPr>
        <w:t>万亿元以上。</w:t>
      </w:r>
    </w:p>
    <w:p w:rsidR="00000000" w:rsidRDefault="000A1C5E">
      <w:pPr>
        <w:autoSpaceDN w:val="0"/>
        <w:spacing w:beforeAutospacing="1" w:afterAutospacing="1"/>
        <w:ind w:firstLine="420"/>
        <w:rPr>
          <w:rFonts w:ascii="宋体" w:hAnsi="宋体"/>
          <w:sz w:val="24"/>
        </w:rPr>
      </w:pPr>
      <w:bookmarkStart w:id="10" w:name="_Toc365381122"/>
      <w:r>
        <w:rPr>
          <w:rFonts w:ascii="宋体" w:hAnsi="宋体"/>
          <w:b/>
          <w:color w:val="000000"/>
        </w:rPr>
        <w:t>2.</w:t>
      </w:r>
      <w:r>
        <w:rPr>
          <w:rFonts w:ascii="宋体" w:hAnsi="宋体"/>
          <w:b/>
          <w:color w:val="000000"/>
        </w:rPr>
        <w:t>中医药行业发展得到进一步扶持和促进，行业发展环境向好</w:t>
      </w:r>
      <w:bookmarkEnd w:id="10"/>
      <w:r>
        <w:rPr>
          <w:rFonts w:ascii="宋体" w:hAnsi="宋体"/>
          <w:b/>
          <w:color w:val="000000"/>
        </w:rPr>
        <w:t>。</w:t>
      </w:r>
    </w:p>
    <w:p w:rsidR="00000000" w:rsidRDefault="000A1C5E">
      <w:pPr>
        <w:autoSpaceDN w:val="0"/>
        <w:spacing w:beforeAutospacing="1" w:afterAutospacing="1"/>
        <w:ind w:firstLine="420"/>
        <w:rPr>
          <w:rFonts w:ascii="宋体" w:hAnsi="宋体"/>
          <w:sz w:val="24"/>
        </w:rPr>
      </w:pPr>
      <w:r>
        <w:rPr>
          <w:rFonts w:ascii="宋体" w:hAnsi="宋体"/>
          <w:color w:val="000000"/>
        </w:rPr>
        <w:t>据卫计委、国家中医药管理局统计，</w:t>
      </w:r>
      <w:r>
        <w:rPr>
          <w:rFonts w:ascii="宋体" w:hAnsi="宋体"/>
          <w:color w:val="000000"/>
        </w:rPr>
        <w:t>2013</w:t>
      </w:r>
      <w:r>
        <w:rPr>
          <w:rFonts w:ascii="宋体" w:hAnsi="宋体"/>
          <w:color w:val="000000"/>
        </w:rPr>
        <w:t>年中央财政给中医药总投入</w:t>
      </w:r>
      <w:r>
        <w:rPr>
          <w:rFonts w:ascii="宋体" w:hAnsi="宋体"/>
          <w:color w:val="000000"/>
        </w:rPr>
        <w:t>54</w:t>
      </w:r>
      <w:r>
        <w:rPr>
          <w:rFonts w:ascii="宋体" w:hAnsi="宋体"/>
          <w:color w:val="000000"/>
        </w:rPr>
        <w:t>亿元。中央财政</w:t>
      </w:r>
      <w:r>
        <w:rPr>
          <w:rFonts w:ascii="宋体" w:hAnsi="宋体"/>
          <w:color w:val="000000"/>
        </w:rPr>
        <w:t>54</w:t>
      </w:r>
      <w:r>
        <w:rPr>
          <w:rFonts w:ascii="宋体" w:hAnsi="宋体"/>
          <w:color w:val="000000"/>
        </w:rPr>
        <w:t>亿扶持中医药，其中县中医院建设获</w:t>
      </w:r>
      <w:r>
        <w:rPr>
          <w:rFonts w:ascii="宋体" w:hAnsi="宋体"/>
          <w:color w:val="000000"/>
        </w:rPr>
        <w:t>28</w:t>
      </w:r>
      <w:r>
        <w:rPr>
          <w:rFonts w:ascii="宋体" w:hAnsi="宋体"/>
          <w:color w:val="000000"/>
        </w:rPr>
        <w:t>亿。</w:t>
      </w:r>
    </w:p>
    <w:p w:rsidR="00000000" w:rsidRDefault="000A1C5E">
      <w:pPr>
        <w:autoSpaceDN w:val="0"/>
        <w:spacing w:beforeAutospacing="1" w:afterAutospacing="1"/>
        <w:ind w:firstLine="420"/>
        <w:rPr>
          <w:rFonts w:ascii="宋体" w:hAnsi="宋体"/>
          <w:sz w:val="24"/>
        </w:rPr>
      </w:pPr>
      <w:r>
        <w:rPr>
          <w:rFonts w:ascii="宋体" w:hAnsi="宋体"/>
          <w:color w:val="000000"/>
        </w:rPr>
        <w:lastRenderedPageBreak/>
        <w:t>（</w:t>
      </w:r>
      <w:r>
        <w:rPr>
          <w:rFonts w:ascii="宋体" w:hAnsi="宋体"/>
          <w:color w:val="000000"/>
        </w:rPr>
        <w:t>1</w:t>
      </w:r>
      <w:r>
        <w:rPr>
          <w:rFonts w:ascii="宋体" w:hAnsi="宋体"/>
          <w:color w:val="000000"/>
        </w:rPr>
        <w:t>）中医药事业</w:t>
      </w:r>
      <w:r>
        <w:rPr>
          <w:rFonts w:ascii="宋体" w:hAnsi="宋体"/>
          <w:color w:val="000000"/>
        </w:rPr>
        <w:t>“</w:t>
      </w:r>
      <w:r>
        <w:rPr>
          <w:rFonts w:ascii="宋体" w:hAnsi="宋体"/>
          <w:color w:val="000000"/>
        </w:rPr>
        <w:t>十二五</w:t>
      </w:r>
      <w:r>
        <w:rPr>
          <w:rFonts w:ascii="宋体" w:hAnsi="宋体"/>
          <w:color w:val="000000"/>
        </w:rPr>
        <w:t>”</w:t>
      </w:r>
      <w:r>
        <w:rPr>
          <w:rFonts w:ascii="宋体" w:hAnsi="宋体"/>
          <w:color w:val="000000"/>
        </w:rPr>
        <w:t>规划发布</w:t>
      </w:r>
    </w:p>
    <w:p w:rsidR="00000000" w:rsidRDefault="000A1C5E">
      <w:pPr>
        <w:autoSpaceDN w:val="0"/>
        <w:spacing w:beforeAutospacing="1" w:afterAutospacing="1"/>
        <w:ind w:firstLine="420"/>
        <w:rPr>
          <w:rFonts w:ascii="宋体" w:hAnsi="宋体"/>
          <w:sz w:val="24"/>
        </w:rPr>
      </w:pPr>
      <w:r>
        <w:rPr>
          <w:rFonts w:ascii="宋体" w:hAnsi="宋体"/>
          <w:color w:val="000000"/>
        </w:rPr>
        <w:t>13</w:t>
      </w:r>
      <w:r>
        <w:rPr>
          <w:rFonts w:ascii="宋体" w:hAnsi="宋体"/>
          <w:color w:val="000000"/>
        </w:rPr>
        <w:t>年</w:t>
      </w:r>
      <w:r>
        <w:rPr>
          <w:rFonts w:ascii="宋体" w:hAnsi="宋体"/>
          <w:color w:val="000000"/>
        </w:rPr>
        <w:t>5</w:t>
      </w:r>
      <w:r>
        <w:rPr>
          <w:rFonts w:ascii="宋体" w:hAnsi="宋体"/>
          <w:color w:val="000000"/>
        </w:rPr>
        <w:t>月</w:t>
      </w:r>
      <w:r>
        <w:rPr>
          <w:rFonts w:ascii="宋体" w:hAnsi="宋体"/>
          <w:color w:val="000000"/>
        </w:rPr>
        <w:t>,</w:t>
      </w:r>
      <w:r>
        <w:rPr>
          <w:rFonts w:ascii="宋体" w:hAnsi="宋体"/>
          <w:color w:val="000000"/>
        </w:rPr>
        <w:t>国家中医药管理局印发《中医药事业发展</w:t>
      </w:r>
      <w:r>
        <w:rPr>
          <w:rFonts w:ascii="宋体" w:hAnsi="宋体"/>
          <w:color w:val="000000"/>
        </w:rPr>
        <w:t>“</w:t>
      </w:r>
      <w:r>
        <w:rPr>
          <w:rFonts w:ascii="宋体" w:hAnsi="宋体"/>
          <w:color w:val="000000"/>
        </w:rPr>
        <w:t>十二五</w:t>
      </w:r>
      <w:r>
        <w:rPr>
          <w:rFonts w:ascii="宋体" w:hAnsi="宋体"/>
          <w:color w:val="000000"/>
        </w:rPr>
        <w:t>”</w:t>
      </w:r>
      <w:r>
        <w:rPr>
          <w:rFonts w:ascii="宋体" w:hAnsi="宋体"/>
          <w:color w:val="000000"/>
        </w:rPr>
        <w:t>规划》，明确到</w:t>
      </w:r>
      <w:r>
        <w:rPr>
          <w:rFonts w:ascii="宋体" w:hAnsi="宋体"/>
          <w:color w:val="000000"/>
        </w:rPr>
        <w:t>2015</w:t>
      </w:r>
      <w:r>
        <w:rPr>
          <w:rFonts w:ascii="宋体" w:hAnsi="宋体"/>
          <w:color w:val="000000"/>
        </w:rPr>
        <w:t>年，建立起适应中医药事</w:t>
      </w:r>
      <w:r>
        <w:rPr>
          <w:rFonts w:ascii="宋体" w:hAnsi="宋体"/>
          <w:color w:val="000000"/>
        </w:rPr>
        <w:t>业发展的管理体制和运行机制，基使中医药对我国经济和社会发展的贡献率进一步提高。《规划》的发布与执行将提升中医药在疾病防治领域的地位，对中医药产业未来发展具有积极作用。特别是规划中提出坚持中西医并重方针，把中医药与西医药摆在同等重要的位置，对中医药服务可及性方面将有较大提升。</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2</w:t>
      </w:r>
      <w:r>
        <w:rPr>
          <w:rFonts w:ascii="宋体" w:hAnsi="宋体"/>
          <w:color w:val="000000"/>
        </w:rPr>
        <w:t>）中医药服务贸易获政策扶持。</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w:t>
      </w:r>
      <w:r>
        <w:rPr>
          <w:rFonts w:ascii="宋体" w:hAnsi="宋体"/>
          <w:color w:val="000000"/>
        </w:rPr>
        <w:t>5</w:t>
      </w:r>
      <w:r>
        <w:rPr>
          <w:rFonts w:ascii="宋体" w:hAnsi="宋体"/>
          <w:color w:val="000000"/>
        </w:rPr>
        <w:t>月</w:t>
      </w:r>
      <w:r>
        <w:rPr>
          <w:rFonts w:ascii="宋体" w:hAnsi="宋体"/>
          <w:color w:val="000000"/>
        </w:rPr>
        <w:t>30</w:t>
      </w:r>
      <w:r>
        <w:rPr>
          <w:rFonts w:ascii="宋体" w:hAnsi="宋体"/>
          <w:color w:val="000000"/>
        </w:rPr>
        <w:t>日，商务部和国家中医药管理局共同发布《关于开展中医药服务贸易重点项目、骨干企业（机构）和重点区域建设的通知》，拟通过实施中医药服务贸易重点项目，重点支持一批中医药特色突出、市场优势明显</w:t>
      </w:r>
      <w:r>
        <w:rPr>
          <w:rFonts w:ascii="宋体" w:hAnsi="宋体"/>
          <w:color w:val="000000"/>
        </w:rPr>
        <w:t>、发展前景广阔的中医药服务贸易项目，创建若干个综合实力强、具有国际影响力的中医药服务贸易重点区域。</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3</w:t>
      </w:r>
      <w:r>
        <w:rPr>
          <w:rFonts w:ascii="宋体" w:hAnsi="宋体"/>
          <w:color w:val="000000"/>
        </w:rPr>
        <w:t>）中药材流通追溯体系建设试点进入实质性阶段</w:t>
      </w:r>
    </w:p>
    <w:p w:rsidR="00000000" w:rsidRDefault="000A1C5E">
      <w:pPr>
        <w:autoSpaceDN w:val="0"/>
        <w:spacing w:beforeAutospacing="1" w:afterAutospacing="1"/>
        <w:ind w:firstLine="420"/>
        <w:rPr>
          <w:rFonts w:ascii="宋体" w:hAnsi="宋体"/>
          <w:sz w:val="24"/>
        </w:rPr>
      </w:pPr>
      <w:r>
        <w:rPr>
          <w:rFonts w:ascii="宋体" w:hAnsi="宋体"/>
          <w:color w:val="000000"/>
        </w:rPr>
        <w:t>为加快第一批中药材流通追溯体系建设试点工作进度，加强追溯体系建设运行管理，切实发挥追溯体系作用，</w:t>
      </w:r>
      <w:r>
        <w:rPr>
          <w:rFonts w:ascii="宋体" w:hAnsi="宋体"/>
          <w:color w:val="000000"/>
        </w:rPr>
        <w:t>2013</w:t>
      </w:r>
      <w:r>
        <w:rPr>
          <w:rFonts w:ascii="宋体" w:hAnsi="宋体"/>
          <w:color w:val="000000"/>
        </w:rPr>
        <w:t>年</w:t>
      </w:r>
      <w:r>
        <w:rPr>
          <w:rFonts w:ascii="宋体" w:hAnsi="宋体"/>
          <w:color w:val="000000"/>
        </w:rPr>
        <w:t>5</w:t>
      </w:r>
      <w:r>
        <w:rPr>
          <w:rFonts w:ascii="宋体" w:hAnsi="宋体"/>
          <w:color w:val="000000"/>
        </w:rPr>
        <w:t>月</w:t>
      </w:r>
      <w:r>
        <w:rPr>
          <w:rFonts w:ascii="宋体" w:hAnsi="宋体"/>
          <w:color w:val="000000"/>
        </w:rPr>
        <w:t>10</w:t>
      </w:r>
      <w:r>
        <w:rPr>
          <w:rFonts w:ascii="宋体" w:hAnsi="宋体"/>
          <w:color w:val="000000"/>
        </w:rPr>
        <w:t>日，商务部发布了《关于做好第一批试点城市中药材流通追溯体系建设工作的通知》，要求各试点城市于</w:t>
      </w:r>
      <w:r>
        <w:rPr>
          <w:rFonts w:ascii="宋体" w:hAnsi="宋体"/>
          <w:color w:val="000000"/>
        </w:rPr>
        <w:t>2013</w:t>
      </w:r>
      <w:r>
        <w:rPr>
          <w:rFonts w:ascii="宋体" w:hAnsi="宋体"/>
          <w:color w:val="000000"/>
        </w:rPr>
        <w:t>年</w:t>
      </w:r>
      <w:r>
        <w:rPr>
          <w:rFonts w:ascii="宋体" w:hAnsi="宋体"/>
          <w:color w:val="000000"/>
        </w:rPr>
        <w:t>5</w:t>
      </w:r>
      <w:r>
        <w:rPr>
          <w:rFonts w:ascii="宋体" w:hAnsi="宋体"/>
          <w:color w:val="000000"/>
        </w:rPr>
        <w:t>月底前，完成追溯项目集成商招标工作；</w:t>
      </w:r>
      <w:r>
        <w:rPr>
          <w:rFonts w:ascii="宋体" w:hAnsi="宋体"/>
          <w:color w:val="000000"/>
        </w:rPr>
        <w:t>2013</w:t>
      </w:r>
      <w:r>
        <w:rPr>
          <w:rFonts w:ascii="宋体" w:hAnsi="宋体"/>
          <w:color w:val="000000"/>
        </w:rPr>
        <w:t>年</w:t>
      </w:r>
      <w:r>
        <w:rPr>
          <w:rFonts w:ascii="宋体" w:hAnsi="宋体"/>
          <w:color w:val="000000"/>
        </w:rPr>
        <w:t>8</w:t>
      </w:r>
      <w:r>
        <w:rPr>
          <w:rFonts w:ascii="宋体" w:hAnsi="宋体"/>
          <w:color w:val="000000"/>
        </w:rPr>
        <w:t>月底，完成城市追溯管理平台建设，各经营节点追溯子系统建设；</w:t>
      </w:r>
      <w:r>
        <w:rPr>
          <w:rFonts w:ascii="宋体" w:hAnsi="宋体"/>
          <w:color w:val="000000"/>
        </w:rPr>
        <w:t>2013</w:t>
      </w:r>
      <w:r>
        <w:rPr>
          <w:rFonts w:ascii="宋体" w:hAnsi="宋体"/>
          <w:color w:val="000000"/>
        </w:rPr>
        <w:t>年</w:t>
      </w:r>
      <w:r>
        <w:rPr>
          <w:rFonts w:ascii="宋体" w:hAnsi="宋体"/>
          <w:color w:val="000000"/>
        </w:rPr>
        <w:t>11</w:t>
      </w:r>
      <w:r>
        <w:rPr>
          <w:rFonts w:ascii="宋体" w:hAnsi="宋体"/>
          <w:color w:val="000000"/>
        </w:rPr>
        <w:t>月底，商务部将组织开展实地</w:t>
      </w:r>
      <w:r>
        <w:rPr>
          <w:rFonts w:ascii="宋体" w:hAnsi="宋体"/>
          <w:color w:val="000000"/>
        </w:rPr>
        <w:t>验收，验收不合格的城市，将限期整改。</w:t>
      </w:r>
      <w:r>
        <w:rPr>
          <w:rFonts w:ascii="宋体" w:hAnsi="宋体"/>
          <w:color w:val="000000"/>
        </w:rPr>
        <w:t>2013</w:t>
      </w:r>
      <w:r>
        <w:rPr>
          <w:rFonts w:ascii="宋体" w:hAnsi="宋体"/>
          <w:color w:val="000000"/>
        </w:rPr>
        <w:t>年</w:t>
      </w:r>
      <w:r>
        <w:rPr>
          <w:rFonts w:ascii="宋体" w:hAnsi="宋体"/>
          <w:color w:val="000000"/>
        </w:rPr>
        <w:t>6</w:t>
      </w:r>
      <w:r>
        <w:rPr>
          <w:rFonts w:ascii="宋体" w:hAnsi="宋体"/>
          <w:color w:val="000000"/>
        </w:rPr>
        <w:t>月</w:t>
      </w:r>
      <w:r>
        <w:rPr>
          <w:rFonts w:ascii="宋体" w:hAnsi="宋体"/>
          <w:color w:val="000000"/>
        </w:rPr>
        <w:t>3</w:t>
      </w:r>
      <w:r>
        <w:rPr>
          <w:rFonts w:ascii="宋体" w:hAnsi="宋体"/>
          <w:color w:val="000000"/>
        </w:rPr>
        <w:t>日，玉林市中药材流通追溯体系建设招标正式挂网公开招标采购，这意味着中药材流通追溯体系建设的试点工作进入实质性的阶段。</w:t>
      </w:r>
      <w:r>
        <w:rPr>
          <w:rFonts w:ascii="宋体" w:hAnsi="宋体"/>
          <w:color w:val="000000"/>
        </w:rPr>
        <w:t>2013</w:t>
      </w:r>
      <w:r>
        <w:rPr>
          <w:rFonts w:ascii="宋体" w:hAnsi="宋体"/>
          <w:color w:val="000000"/>
        </w:rPr>
        <w:t>年</w:t>
      </w:r>
      <w:r>
        <w:rPr>
          <w:rFonts w:ascii="宋体" w:hAnsi="宋体"/>
          <w:color w:val="000000"/>
        </w:rPr>
        <w:t>11</w:t>
      </w:r>
      <w:r>
        <w:rPr>
          <w:rFonts w:ascii="宋体" w:hAnsi="宋体"/>
          <w:color w:val="000000"/>
        </w:rPr>
        <w:t>月，商务部选取甘肃、云南、吉林、湖南、河南、江西、广东七省份推进中药材流通追工作，争取在</w:t>
      </w:r>
      <w:r>
        <w:rPr>
          <w:rFonts w:ascii="宋体" w:hAnsi="宋体"/>
          <w:color w:val="000000"/>
        </w:rPr>
        <w:t>“</w:t>
      </w:r>
      <w:r>
        <w:rPr>
          <w:rFonts w:ascii="宋体" w:hAnsi="宋体"/>
          <w:color w:val="000000"/>
        </w:rPr>
        <w:t>十二五</w:t>
      </w:r>
      <w:r>
        <w:rPr>
          <w:rFonts w:ascii="宋体" w:hAnsi="宋体"/>
          <w:color w:val="000000"/>
        </w:rPr>
        <w:t>”</w:t>
      </w:r>
      <w:r>
        <w:rPr>
          <w:rFonts w:ascii="宋体" w:hAnsi="宋体"/>
          <w:color w:val="000000"/>
        </w:rPr>
        <w:t>末实现覆盖全国的目标。</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4</w:t>
      </w:r>
      <w:r>
        <w:rPr>
          <w:rFonts w:ascii="宋体" w:hAnsi="宋体"/>
          <w:color w:val="000000"/>
        </w:rPr>
        <w:t>）加强对中药材全产业链管理</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w:t>
      </w:r>
      <w:r>
        <w:rPr>
          <w:rFonts w:ascii="宋体" w:hAnsi="宋体"/>
          <w:color w:val="000000"/>
        </w:rPr>
        <w:t>6</w:t>
      </w:r>
      <w:r>
        <w:rPr>
          <w:rFonts w:ascii="宋体" w:hAnsi="宋体"/>
          <w:color w:val="000000"/>
        </w:rPr>
        <w:t>月</w:t>
      </w:r>
      <w:r>
        <w:rPr>
          <w:rFonts w:ascii="宋体" w:hAnsi="宋体"/>
          <w:color w:val="000000"/>
        </w:rPr>
        <w:t>3</w:t>
      </w:r>
      <w:r>
        <w:rPr>
          <w:rFonts w:ascii="宋体" w:hAnsi="宋体"/>
          <w:color w:val="000000"/>
        </w:rPr>
        <w:t>日，玉林市中药材流通追溯体系建设招标正式挂网公开招标采购，中药材流通追溯体系建设的试点工作已开始进入实质性阶段，对中药材生产经营全链条管理开始升级。</w:t>
      </w:r>
      <w:r>
        <w:rPr>
          <w:rFonts w:ascii="宋体" w:hAnsi="宋体"/>
          <w:color w:val="000000"/>
        </w:rPr>
        <w:t>13</w:t>
      </w:r>
      <w:r>
        <w:rPr>
          <w:rFonts w:ascii="宋体" w:hAnsi="宋体"/>
          <w:color w:val="000000"/>
        </w:rPr>
        <w:t>年</w:t>
      </w:r>
      <w:r>
        <w:rPr>
          <w:rFonts w:ascii="宋体" w:hAnsi="宋体"/>
          <w:color w:val="000000"/>
        </w:rPr>
        <w:t>10</w:t>
      </w:r>
      <w:r>
        <w:rPr>
          <w:rFonts w:ascii="宋体" w:hAnsi="宋体"/>
          <w:color w:val="000000"/>
        </w:rPr>
        <w:t>月</w:t>
      </w:r>
      <w:r>
        <w:rPr>
          <w:rFonts w:ascii="宋体" w:hAnsi="宋体"/>
          <w:color w:val="000000"/>
        </w:rPr>
        <w:t>，国家食品药品监督管理总局、工信部等</w:t>
      </w:r>
      <w:r>
        <w:rPr>
          <w:rFonts w:ascii="宋体" w:hAnsi="宋体"/>
          <w:color w:val="000000"/>
        </w:rPr>
        <w:t>8</w:t>
      </w:r>
      <w:r>
        <w:rPr>
          <w:rFonts w:ascii="宋体" w:hAnsi="宋体"/>
          <w:color w:val="000000"/>
        </w:rPr>
        <w:t>部委联合下发《关于进一步加强中药材管理的通知》，要求统一建立种子、种苗繁育基地，加强中药材产地初加工管理，加强中药材专业市场管理。</w:t>
      </w:r>
    </w:p>
    <w:p w:rsidR="00000000" w:rsidRDefault="000A1C5E">
      <w:pPr>
        <w:autoSpaceDN w:val="0"/>
        <w:spacing w:beforeAutospacing="1" w:afterAutospacing="1"/>
        <w:ind w:firstLine="420"/>
        <w:rPr>
          <w:rFonts w:ascii="宋体" w:hAnsi="宋体"/>
          <w:sz w:val="24"/>
        </w:rPr>
      </w:pPr>
      <w:bookmarkStart w:id="11" w:name="_Toc365381123"/>
      <w:r>
        <w:rPr>
          <w:rFonts w:ascii="宋体" w:hAnsi="宋体"/>
          <w:b/>
          <w:color w:val="000000"/>
        </w:rPr>
        <w:t>3.</w:t>
      </w:r>
      <w:r>
        <w:rPr>
          <w:rFonts w:ascii="宋体" w:hAnsi="宋体"/>
          <w:b/>
          <w:color w:val="000000"/>
        </w:rPr>
        <w:t>医药监管体系不断完善</w:t>
      </w:r>
      <w:bookmarkEnd w:id="11"/>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1</w:t>
      </w:r>
      <w:r>
        <w:rPr>
          <w:rFonts w:ascii="宋体" w:hAnsi="宋体"/>
          <w:color w:val="000000"/>
        </w:rPr>
        <w:t>）新一轮抗菌药临床专项整治启动</w:t>
      </w:r>
    </w:p>
    <w:p w:rsidR="00000000" w:rsidRDefault="000A1C5E">
      <w:pPr>
        <w:autoSpaceDN w:val="0"/>
        <w:spacing w:beforeAutospacing="1" w:afterAutospacing="1"/>
        <w:ind w:firstLine="420"/>
        <w:rPr>
          <w:rFonts w:ascii="宋体" w:hAnsi="宋体"/>
          <w:sz w:val="24"/>
        </w:rPr>
      </w:pPr>
      <w:r>
        <w:rPr>
          <w:rFonts w:ascii="宋体" w:hAnsi="宋体"/>
          <w:color w:val="000000"/>
        </w:rPr>
        <w:t>长期以来，我国临床上对抗菌药物的使用存在比较严重的不合理应用现象。</w:t>
      </w:r>
      <w:r>
        <w:rPr>
          <w:rFonts w:ascii="宋体" w:hAnsi="宋体"/>
          <w:color w:val="000000"/>
        </w:rPr>
        <w:t>2011</w:t>
      </w:r>
      <w:r>
        <w:rPr>
          <w:rFonts w:ascii="宋体" w:hAnsi="宋体"/>
          <w:color w:val="000000"/>
        </w:rPr>
        <w:t>年，原卫生部在全国启动了《抗菌药物临床应用专项整治活动》，活动计划分三年实施，被称为史上最严</w:t>
      </w:r>
      <w:r>
        <w:rPr>
          <w:rFonts w:ascii="宋体" w:hAnsi="宋体"/>
          <w:color w:val="000000"/>
        </w:rPr>
        <w:t>“</w:t>
      </w:r>
      <w:r>
        <w:rPr>
          <w:rFonts w:ascii="宋体" w:hAnsi="宋体"/>
          <w:color w:val="000000"/>
        </w:rPr>
        <w:t>限抗令</w:t>
      </w:r>
      <w:r>
        <w:rPr>
          <w:rFonts w:ascii="宋体" w:hAnsi="宋体"/>
          <w:color w:val="000000"/>
        </w:rPr>
        <w:t>”</w:t>
      </w:r>
      <w:r>
        <w:rPr>
          <w:rFonts w:ascii="宋体" w:hAnsi="宋体"/>
          <w:color w:val="000000"/>
        </w:rPr>
        <w:t>的《抗菌药物临床应用管理办法》出台并在</w:t>
      </w:r>
      <w:r>
        <w:rPr>
          <w:rFonts w:ascii="宋体" w:hAnsi="宋体"/>
          <w:color w:val="000000"/>
        </w:rPr>
        <w:t>2012</w:t>
      </w:r>
      <w:r>
        <w:rPr>
          <w:rFonts w:ascii="宋体" w:hAnsi="宋体"/>
          <w:color w:val="000000"/>
        </w:rPr>
        <w:t>年</w:t>
      </w:r>
      <w:r>
        <w:rPr>
          <w:rFonts w:ascii="宋体" w:hAnsi="宋体"/>
          <w:color w:val="000000"/>
        </w:rPr>
        <w:t>8</w:t>
      </w:r>
      <w:r>
        <w:rPr>
          <w:rFonts w:ascii="宋体" w:hAnsi="宋体"/>
          <w:color w:val="000000"/>
        </w:rPr>
        <w:t>月</w:t>
      </w:r>
      <w:r>
        <w:rPr>
          <w:rFonts w:ascii="宋体" w:hAnsi="宋体"/>
          <w:color w:val="000000"/>
        </w:rPr>
        <w:t>1</w:t>
      </w:r>
      <w:r>
        <w:rPr>
          <w:rFonts w:ascii="宋体" w:hAnsi="宋体"/>
          <w:color w:val="000000"/>
        </w:rPr>
        <w:t>日开始实施。</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年是抗菌药物临床应用整治三年</w:t>
      </w:r>
      <w:r>
        <w:rPr>
          <w:rFonts w:ascii="宋体" w:hAnsi="宋体"/>
          <w:color w:val="000000"/>
        </w:rPr>
        <w:t>活动的最后一年，为进一步巩固前两年专项整治活动成果，</w:t>
      </w:r>
      <w:r>
        <w:rPr>
          <w:rFonts w:ascii="宋体" w:hAnsi="宋体"/>
          <w:color w:val="000000"/>
        </w:rPr>
        <w:t>2013</w:t>
      </w:r>
      <w:r>
        <w:rPr>
          <w:rFonts w:ascii="宋体" w:hAnsi="宋体"/>
          <w:color w:val="000000"/>
        </w:rPr>
        <w:t>年</w:t>
      </w:r>
      <w:r>
        <w:rPr>
          <w:rFonts w:ascii="宋体" w:hAnsi="宋体"/>
          <w:color w:val="000000"/>
        </w:rPr>
        <w:t>5</w:t>
      </w:r>
      <w:r>
        <w:rPr>
          <w:rFonts w:ascii="宋体" w:hAnsi="宋体"/>
          <w:color w:val="000000"/>
        </w:rPr>
        <w:t>月卫计委发布新一轮抗菌药临床专项整治活动方案，在加强临床微生物标本监测和抗生素临床应用相关指标方面提高了整治力度，坚决避免出现滥用抗生素的</w:t>
      </w:r>
      <w:r>
        <w:rPr>
          <w:rFonts w:ascii="宋体" w:hAnsi="宋体"/>
          <w:color w:val="000000"/>
        </w:rPr>
        <w:t>“</w:t>
      </w:r>
      <w:r>
        <w:rPr>
          <w:rFonts w:ascii="宋体" w:hAnsi="宋体"/>
          <w:color w:val="000000"/>
        </w:rPr>
        <w:t>反</w:t>
      </w:r>
      <w:r>
        <w:rPr>
          <w:rFonts w:ascii="宋体" w:hAnsi="宋体"/>
          <w:color w:val="000000"/>
        </w:rPr>
        <w:lastRenderedPageBreak/>
        <w:t>弹</w:t>
      </w:r>
      <w:r>
        <w:rPr>
          <w:rFonts w:ascii="宋体" w:hAnsi="宋体"/>
          <w:color w:val="000000"/>
        </w:rPr>
        <w:t>”</w:t>
      </w:r>
      <w:r>
        <w:rPr>
          <w:rFonts w:ascii="宋体" w:hAnsi="宋体"/>
          <w:color w:val="000000"/>
        </w:rPr>
        <w:t>现象。</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2</w:t>
      </w:r>
      <w:r>
        <w:rPr>
          <w:rFonts w:ascii="宋体" w:hAnsi="宋体"/>
          <w:color w:val="000000"/>
        </w:rPr>
        <w:t>）环保专项行动重点整治医药行业污染</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w:t>
      </w:r>
      <w:r>
        <w:rPr>
          <w:rFonts w:ascii="宋体" w:hAnsi="宋体"/>
          <w:color w:val="000000"/>
        </w:rPr>
        <w:t>6</w:t>
      </w:r>
      <w:r>
        <w:rPr>
          <w:rFonts w:ascii="宋体" w:hAnsi="宋体"/>
          <w:color w:val="000000"/>
        </w:rPr>
        <w:t>月，环境保护部、国家发展改革委等七部委联合印发通知，决定在全国组织开展整治违法排污企业保障群众健康环保专项行动，其中，</w:t>
      </w:r>
      <w:r>
        <w:rPr>
          <w:rFonts w:ascii="宋体" w:hAnsi="宋体"/>
          <w:color w:val="000000"/>
        </w:rPr>
        <w:t>“</w:t>
      </w:r>
      <w:r>
        <w:rPr>
          <w:rFonts w:ascii="宋体" w:hAnsi="宋体"/>
          <w:color w:val="000000"/>
        </w:rPr>
        <w:t>全面排查整治医药行业环境污染问题</w:t>
      </w:r>
      <w:r>
        <w:rPr>
          <w:rFonts w:ascii="宋体" w:hAnsi="宋体"/>
          <w:color w:val="000000"/>
        </w:rPr>
        <w:t>”</w:t>
      </w:r>
      <w:r>
        <w:rPr>
          <w:rFonts w:ascii="宋体" w:hAnsi="宋体"/>
          <w:color w:val="000000"/>
        </w:rPr>
        <w:t>为环保专项行动的三项重点任务之一。</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3</w:t>
      </w:r>
      <w:r>
        <w:rPr>
          <w:rFonts w:ascii="宋体" w:hAnsi="宋体"/>
          <w:color w:val="000000"/>
        </w:rPr>
        <w:t>）严打医药购销等领域商业贿赂</w:t>
      </w:r>
    </w:p>
    <w:p w:rsidR="00000000" w:rsidRDefault="000A1C5E">
      <w:pPr>
        <w:autoSpaceDN w:val="0"/>
        <w:spacing w:beforeAutospacing="1" w:afterAutospacing="1"/>
        <w:ind w:firstLine="420"/>
        <w:rPr>
          <w:rFonts w:ascii="宋体" w:hAnsi="宋体"/>
          <w:sz w:val="24"/>
        </w:rPr>
      </w:pPr>
      <w:r>
        <w:rPr>
          <w:rFonts w:ascii="宋体" w:hAnsi="宋体"/>
          <w:color w:val="000000"/>
        </w:rPr>
        <w:t>13</w:t>
      </w:r>
      <w:r>
        <w:rPr>
          <w:rFonts w:ascii="宋体" w:hAnsi="宋体"/>
          <w:color w:val="000000"/>
        </w:rPr>
        <w:t>年</w:t>
      </w:r>
      <w:r>
        <w:rPr>
          <w:rFonts w:ascii="宋体" w:hAnsi="宋体"/>
          <w:color w:val="000000"/>
        </w:rPr>
        <w:t>8</w:t>
      </w:r>
      <w:r>
        <w:rPr>
          <w:rFonts w:ascii="宋体" w:hAnsi="宋体"/>
          <w:color w:val="000000"/>
        </w:rPr>
        <w:t>月，国家工</w:t>
      </w:r>
      <w:r>
        <w:rPr>
          <w:rFonts w:ascii="宋体" w:hAnsi="宋体"/>
          <w:color w:val="000000"/>
        </w:rPr>
        <w:t>商总局发布《开展不正当竞争专项治理工作的通知》，决定在全国范围内开展不正当竞争专项治理行动，其中医药购销、医疗服务等关乎人民群众切身利益的行业和领域被列为重点。相关措施的出台有利于净化市场环境，促进医药企业规范经营、公平竞争。</w:t>
      </w:r>
    </w:p>
    <w:bookmarkEnd w:id="7"/>
    <w:bookmarkEnd w:id="8"/>
    <w:bookmarkEnd w:id="9"/>
    <w:p w:rsidR="00000000" w:rsidRDefault="000A1C5E">
      <w:pPr>
        <w:autoSpaceDN w:val="0"/>
        <w:spacing w:before="210" w:after="210"/>
        <w:ind w:firstLine="420"/>
        <w:rPr>
          <w:rFonts w:ascii="宋体" w:hAnsi="宋体"/>
          <w:b/>
          <w:sz w:val="24"/>
        </w:rPr>
      </w:pPr>
      <w:r>
        <w:rPr>
          <w:rFonts w:ascii="仿宋_GB2312" w:eastAsia="仿宋_GB2312" w:hAnsi="仿宋_GB2312"/>
          <w:b/>
          <w:sz w:val="24"/>
        </w:rPr>
        <w:t>（三）医药行业未来发展趋势</w:t>
      </w:r>
    </w:p>
    <w:p w:rsidR="00000000" w:rsidRDefault="000A1C5E">
      <w:pPr>
        <w:autoSpaceDN w:val="0"/>
        <w:spacing w:beforeAutospacing="1" w:afterAutospacing="1"/>
        <w:ind w:firstLine="420"/>
        <w:rPr>
          <w:rFonts w:ascii="宋体" w:hAnsi="宋体"/>
          <w:sz w:val="24"/>
        </w:rPr>
      </w:pPr>
      <w:r>
        <w:rPr>
          <w:rFonts w:ascii="宋体" w:hAnsi="宋体"/>
          <w:b/>
          <w:color w:val="000000"/>
        </w:rPr>
        <w:t>1.</w:t>
      </w:r>
      <w:r>
        <w:rPr>
          <w:rFonts w:ascii="宋体" w:hAnsi="宋体"/>
          <w:b/>
          <w:color w:val="000000"/>
        </w:rPr>
        <w:t>新医改政策带来的市场扩容为医药行业提供良好发展空间，而新型城镇化建设、人口老龄化加速亦为医药需求持续增长提供了长期有效支撑。</w:t>
      </w:r>
    </w:p>
    <w:p w:rsidR="00000000" w:rsidRDefault="000A1C5E">
      <w:pPr>
        <w:autoSpaceDN w:val="0"/>
        <w:spacing w:beforeAutospacing="1" w:afterAutospacing="1"/>
        <w:ind w:firstLine="420"/>
        <w:rPr>
          <w:rFonts w:ascii="宋体" w:hAnsi="宋体"/>
          <w:sz w:val="24"/>
        </w:rPr>
      </w:pPr>
      <w:r>
        <w:rPr>
          <w:rFonts w:ascii="宋体" w:hAnsi="宋体"/>
          <w:color w:val="000000"/>
        </w:rPr>
        <w:t>首先，新医改提高新农合和城镇居民医保补助标准、提高城乡居民基本公共卫生服务经费标准、扩大城乡医疗救助范围等利好政策的相继出台和</w:t>
      </w:r>
      <w:r>
        <w:rPr>
          <w:rFonts w:ascii="宋体" w:hAnsi="宋体"/>
          <w:color w:val="000000"/>
        </w:rPr>
        <w:t>财政资金的大力扶持将有效提升大病患者的购买力，进而刺激相关药品市场需求。中长期来看，医药行业快速发展的内需动力依然存在，预计到</w:t>
      </w:r>
      <w:r>
        <w:rPr>
          <w:rFonts w:ascii="宋体" w:hAnsi="宋体"/>
          <w:color w:val="000000"/>
        </w:rPr>
        <w:t>2015</w:t>
      </w:r>
      <w:r>
        <w:rPr>
          <w:rFonts w:ascii="宋体" w:hAnsi="宋体"/>
          <w:color w:val="000000"/>
        </w:rPr>
        <w:t>年，医药制造业产品销售收入将达到</w:t>
      </w:r>
      <w:r>
        <w:rPr>
          <w:rFonts w:ascii="宋体" w:hAnsi="宋体"/>
          <w:color w:val="000000"/>
        </w:rPr>
        <w:t>31958</w:t>
      </w:r>
      <w:r>
        <w:rPr>
          <w:rFonts w:ascii="宋体" w:hAnsi="宋体"/>
          <w:color w:val="000000"/>
        </w:rPr>
        <w:t>亿元左右，同比增长约</w:t>
      </w:r>
      <w:r>
        <w:rPr>
          <w:rFonts w:ascii="宋体" w:hAnsi="宋体"/>
          <w:color w:val="000000"/>
        </w:rPr>
        <w:t>23.5%</w:t>
      </w:r>
      <w:r>
        <w:rPr>
          <w:rFonts w:ascii="宋体" w:hAnsi="宋体"/>
          <w:color w:val="000000"/>
        </w:rPr>
        <w:t>。</w:t>
      </w:r>
    </w:p>
    <w:p w:rsidR="00000000" w:rsidRDefault="000A1C5E">
      <w:pPr>
        <w:autoSpaceDN w:val="0"/>
        <w:spacing w:beforeAutospacing="1" w:afterAutospacing="1"/>
        <w:ind w:firstLine="420"/>
        <w:rPr>
          <w:rFonts w:ascii="宋体" w:hAnsi="宋体"/>
          <w:sz w:val="24"/>
        </w:rPr>
      </w:pPr>
      <w:r>
        <w:rPr>
          <w:rFonts w:ascii="宋体" w:hAnsi="宋体"/>
          <w:color w:val="000000"/>
        </w:rPr>
        <w:t>其次，新型城镇化建设、人口老龄化加速亦为医药需求持续增长提供了长期有效支撑。一方面，我国现阶段正处于城镇化加速发展时期，随着农村居民向城镇转移，部分老年人口也将随之定居城镇，这也是未来长期驱动我国基层中小城市医疗市场扩容的重要因素。另一方面，我国的老龄化程度正不断加深。预计到</w:t>
      </w:r>
      <w:r>
        <w:rPr>
          <w:rFonts w:ascii="宋体" w:hAnsi="宋体"/>
          <w:color w:val="000000"/>
        </w:rPr>
        <w:t>“</w:t>
      </w:r>
      <w:r>
        <w:rPr>
          <w:rFonts w:ascii="宋体" w:hAnsi="宋体"/>
          <w:color w:val="000000"/>
        </w:rPr>
        <w:t>十二五</w:t>
      </w:r>
      <w:r>
        <w:rPr>
          <w:rFonts w:ascii="宋体" w:hAnsi="宋体"/>
          <w:color w:val="000000"/>
        </w:rPr>
        <w:t>”</w:t>
      </w:r>
      <w:r>
        <w:rPr>
          <w:rFonts w:ascii="宋体" w:hAnsi="宋体"/>
          <w:color w:val="000000"/>
        </w:rPr>
        <w:t>期末全国老年人口</w:t>
      </w:r>
      <w:r>
        <w:rPr>
          <w:rFonts w:ascii="宋体" w:hAnsi="宋体"/>
          <w:color w:val="000000"/>
        </w:rPr>
        <w:t>将增加</w:t>
      </w:r>
      <w:r>
        <w:rPr>
          <w:rFonts w:ascii="宋体" w:hAnsi="宋体"/>
          <w:color w:val="000000"/>
        </w:rPr>
        <w:t>4300</w:t>
      </w:r>
      <w:r>
        <w:rPr>
          <w:rFonts w:ascii="宋体" w:hAnsi="宋体"/>
          <w:color w:val="000000"/>
        </w:rPr>
        <w:t>多万，达到</w:t>
      </w:r>
      <w:r>
        <w:rPr>
          <w:rFonts w:ascii="宋体" w:hAnsi="宋体"/>
          <w:color w:val="000000"/>
        </w:rPr>
        <w:t xml:space="preserve">2.21 </w:t>
      </w:r>
      <w:r>
        <w:rPr>
          <w:rFonts w:ascii="宋体" w:hAnsi="宋体"/>
          <w:color w:val="000000"/>
        </w:rPr>
        <w:t>亿，老年人口比重增加到</w:t>
      </w:r>
      <w:r>
        <w:rPr>
          <w:rFonts w:ascii="宋体" w:hAnsi="宋体"/>
          <w:color w:val="000000"/>
        </w:rPr>
        <w:t>16%</w:t>
      </w:r>
      <w:r>
        <w:rPr>
          <w:rFonts w:ascii="宋体" w:hAnsi="宋体"/>
          <w:color w:val="000000"/>
        </w:rPr>
        <w:t>，平均每年递增</w:t>
      </w:r>
      <w:r>
        <w:rPr>
          <w:rFonts w:ascii="宋体" w:hAnsi="宋体"/>
          <w:color w:val="000000"/>
        </w:rPr>
        <w:t>0.54</w:t>
      </w:r>
      <w:r>
        <w:rPr>
          <w:rFonts w:ascii="宋体" w:hAnsi="宋体"/>
          <w:color w:val="000000"/>
        </w:rPr>
        <w:t>个百分点。人口老龄化程度的不断加深必然将刺激我国医药行业供需的快速增长。</w:t>
      </w:r>
    </w:p>
    <w:p w:rsidR="00000000" w:rsidRDefault="000A1C5E">
      <w:pPr>
        <w:autoSpaceDN w:val="0"/>
        <w:spacing w:beforeAutospacing="1" w:afterAutospacing="1"/>
        <w:ind w:firstLine="420"/>
        <w:jc w:val="center"/>
        <w:rPr>
          <w:rFonts w:ascii="宋体" w:hAnsi="宋体"/>
          <w:sz w:val="24"/>
        </w:rPr>
      </w:pPr>
      <w:r>
        <w:rPr>
          <w:rFonts w:ascii="宋体" w:hAnsi="宋体"/>
          <w:color w:val="000000"/>
        </w:rPr>
        <w:t>图</w:t>
      </w:r>
      <w:r>
        <w:rPr>
          <w:rFonts w:ascii="宋体" w:hAnsi="宋体"/>
          <w:color w:val="000000"/>
        </w:rPr>
        <w:t>3</w:t>
      </w:r>
      <w:r>
        <w:rPr>
          <w:rFonts w:ascii="宋体" w:hAnsi="宋体"/>
          <w:color w:val="000000"/>
        </w:rPr>
        <w:t>：</w:t>
      </w:r>
      <w:r>
        <w:rPr>
          <w:rFonts w:ascii="宋体" w:hAnsi="宋体"/>
          <w:color w:val="000000"/>
        </w:rPr>
        <w:t>2000</w:t>
      </w:r>
      <w:r>
        <w:rPr>
          <w:rFonts w:ascii="宋体" w:hAnsi="宋体"/>
          <w:color w:val="000000"/>
        </w:rPr>
        <w:t>年</w:t>
      </w:r>
      <w:r>
        <w:rPr>
          <w:rFonts w:ascii="宋体" w:hAnsi="宋体"/>
          <w:color w:val="000000"/>
        </w:rPr>
        <w:t xml:space="preserve">—2015 </w:t>
      </w:r>
      <w:r>
        <w:rPr>
          <w:rFonts w:ascii="宋体" w:hAnsi="宋体"/>
          <w:color w:val="000000"/>
        </w:rPr>
        <w:t>年我国人口老龄化率</w:t>
      </w:r>
    </w:p>
    <w:p w:rsidR="00000000" w:rsidRDefault="000A1C5E">
      <w:pPr>
        <w:autoSpaceDN w:val="0"/>
        <w:spacing w:beforeAutospacing="1" w:afterAutospacing="1"/>
        <w:jc w:val="center"/>
        <w:rPr>
          <w:rFonts w:ascii="宋体" w:hAnsi="宋体"/>
          <w:sz w:val="24"/>
        </w:rPr>
      </w:pPr>
      <w:r>
        <w:rPr>
          <w:rFonts w:ascii="宋体" w:hAnsi="宋体"/>
          <w:noProof/>
          <w:sz w:val="24"/>
        </w:rPr>
        <w:drawing>
          <wp:inline distT="0" distB="0" distL="0" distR="0">
            <wp:extent cx="4229100" cy="17811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29100" cy="1781175"/>
                    </a:xfrm>
                    <a:prstGeom prst="rect">
                      <a:avLst/>
                    </a:prstGeom>
                    <a:noFill/>
                    <a:ln>
                      <a:noFill/>
                    </a:ln>
                  </pic:spPr>
                </pic:pic>
              </a:graphicData>
            </a:graphic>
          </wp:inline>
        </w:drawing>
      </w:r>
    </w:p>
    <w:p w:rsidR="00000000" w:rsidRDefault="000A1C5E">
      <w:pPr>
        <w:autoSpaceDN w:val="0"/>
        <w:spacing w:beforeAutospacing="1" w:afterAutospacing="1"/>
        <w:rPr>
          <w:rFonts w:ascii="宋体" w:hAnsi="宋体"/>
          <w:sz w:val="24"/>
        </w:rPr>
      </w:pPr>
      <w:r>
        <w:rPr>
          <w:rFonts w:ascii="仿宋_GB2312" w:eastAsia="仿宋_GB2312" w:hAnsi="仿宋_GB2312"/>
          <w:sz w:val="24"/>
        </w:rPr>
        <w:t>资料来源：国家统计局</w:t>
      </w:r>
    </w:p>
    <w:p w:rsidR="00000000" w:rsidRDefault="000A1C5E">
      <w:pPr>
        <w:autoSpaceDN w:val="0"/>
        <w:spacing w:beforeAutospacing="1" w:afterAutospacing="1"/>
        <w:ind w:firstLine="420"/>
        <w:rPr>
          <w:rFonts w:ascii="宋体" w:hAnsi="宋体"/>
          <w:sz w:val="24"/>
        </w:rPr>
      </w:pPr>
      <w:r>
        <w:rPr>
          <w:rFonts w:ascii="宋体" w:hAnsi="宋体"/>
          <w:b/>
          <w:color w:val="000000"/>
        </w:rPr>
        <w:lastRenderedPageBreak/>
        <w:t>2.</w:t>
      </w:r>
      <w:r>
        <w:rPr>
          <w:rFonts w:ascii="宋体" w:hAnsi="宋体"/>
          <w:b/>
          <w:color w:val="000000"/>
        </w:rPr>
        <w:t>医保控费、破除</w:t>
      </w:r>
      <w:r>
        <w:rPr>
          <w:rFonts w:ascii="宋体" w:hAnsi="宋体"/>
          <w:b/>
          <w:color w:val="000000"/>
        </w:rPr>
        <w:t>“</w:t>
      </w:r>
      <w:r>
        <w:rPr>
          <w:rFonts w:ascii="宋体" w:hAnsi="宋体"/>
          <w:b/>
          <w:color w:val="000000"/>
        </w:rPr>
        <w:t>以药补医</w:t>
      </w:r>
      <w:r>
        <w:rPr>
          <w:rFonts w:ascii="宋体" w:hAnsi="宋体"/>
          <w:b/>
          <w:color w:val="000000"/>
        </w:rPr>
        <w:t>”</w:t>
      </w:r>
      <w:r>
        <w:rPr>
          <w:rFonts w:ascii="宋体" w:hAnsi="宋体"/>
          <w:b/>
          <w:color w:val="000000"/>
        </w:rPr>
        <w:t>机制等政策亦给行业快速发展带来一定负面影响。</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年开始，我</w:t>
      </w:r>
      <w:r>
        <w:rPr>
          <w:rFonts w:ascii="宋体" w:hAnsi="宋体"/>
          <w:color w:val="000000"/>
        </w:rPr>
        <w:t>国全面实行基本医保总额控制，全面推广门诊总额预付、住院按病种付费，门诊次均费用和住院次均费用增长不高于当地</w:t>
      </w:r>
      <w:r>
        <w:rPr>
          <w:rFonts w:ascii="宋体" w:hAnsi="宋体"/>
          <w:color w:val="000000"/>
        </w:rPr>
        <w:t>GDP</w:t>
      </w:r>
      <w:r>
        <w:rPr>
          <w:rFonts w:ascii="宋体" w:hAnsi="宋体"/>
          <w:color w:val="000000"/>
        </w:rPr>
        <w:t>增幅</w:t>
      </w:r>
      <w:r>
        <w:rPr>
          <w:rFonts w:ascii="宋体" w:hAnsi="宋体"/>
          <w:color w:val="000000"/>
        </w:rPr>
        <w:t>(</w:t>
      </w:r>
      <w:r>
        <w:rPr>
          <w:rFonts w:ascii="宋体" w:hAnsi="宋体"/>
          <w:color w:val="000000"/>
        </w:rPr>
        <w:t>平均</w:t>
      </w:r>
      <w:r>
        <w:rPr>
          <w:rFonts w:ascii="宋体" w:hAnsi="宋体"/>
          <w:color w:val="000000"/>
        </w:rPr>
        <w:t>8%</w:t>
      </w:r>
      <w:r>
        <w:rPr>
          <w:rFonts w:ascii="宋体" w:hAnsi="宋体"/>
          <w:color w:val="000000"/>
        </w:rPr>
        <w:t>左右</w:t>
      </w:r>
      <w:r>
        <w:rPr>
          <w:rFonts w:ascii="宋体" w:hAnsi="宋体"/>
          <w:color w:val="000000"/>
        </w:rPr>
        <w:t>)</w:t>
      </w:r>
      <w:r>
        <w:rPr>
          <w:rFonts w:ascii="宋体" w:hAnsi="宋体"/>
          <w:color w:val="000000"/>
        </w:rPr>
        <w:t>，控制贵重药品限额（</w:t>
      </w:r>
      <w:r>
        <w:rPr>
          <w:rFonts w:ascii="宋体" w:hAnsi="宋体"/>
          <w:color w:val="000000"/>
        </w:rPr>
        <w:t>30%-50%</w:t>
      </w:r>
      <w:r>
        <w:rPr>
          <w:rFonts w:ascii="宋体" w:hAnsi="宋体"/>
          <w:color w:val="000000"/>
        </w:rPr>
        <w:t>），该项政策的稳步推进将影响医院用药结构，控制药占比，部分抵消了基药市场扩容的利好。另一方面，随着新医改的稳步推进，将逐步破除原有的</w:t>
      </w:r>
      <w:r>
        <w:rPr>
          <w:rFonts w:ascii="宋体" w:hAnsi="宋体"/>
          <w:color w:val="000000"/>
        </w:rPr>
        <w:t>“</w:t>
      </w:r>
      <w:r>
        <w:rPr>
          <w:rFonts w:ascii="宋体" w:hAnsi="宋体"/>
          <w:color w:val="000000"/>
        </w:rPr>
        <w:t>以药补医</w:t>
      </w:r>
      <w:r>
        <w:rPr>
          <w:rFonts w:ascii="宋体" w:hAnsi="宋体"/>
          <w:color w:val="000000"/>
        </w:rPr>
        <w:t>”</w:t>
      </w:r>
      <w:r>
        <w:rPr>
          <w:rFonts w:ascii="宋体" w:hAnsi="宋体"/>
          <w:color w:val="000000"/>
        </w:rPr>
        <w:t>机制。取消药品加成、调整医疗服务价格、降低群众医药费用负担将成为政策主线。近期卫生部、发改委、商务部、国家食品药品监督管理局等部门正加紧制定方案，试点公立医院的药品价格降低</w:t>
      </w:r>
      <w:r>
        <w:rPr>
          <w:rFonts w:ascii="宋体" w:hAnsi="宋体"/>
          <w:color w:val="000000"/>
        </w:rPr>
        <w:t>15%</w:t>
      </w:r>
      <w:r>
        <w:rPr>
          <w:rFonts w:ascii="宋体" w:hAnsi="宋体"/>
          <w:color w:val="000000"/>
        </w:rPr>
        <w:t>左右，同时允许医院可以与</w:t>
      </w:r>
      <w:r>
        <w:rPr>
          <w:rFonts w:ascii="宋体" w:hAnsi="宋体"/>
          <w:color w:val="000000"/>
        </w:rPr>
        <w:t>企业进行</w:t>
      </w:r>
      <w:r>
        <w:rPr>
          <w:rFonts w:ascii="宋体" w:hAnsi="宋体"/>
          <w:color w:val="000000"/>
        </w:rPr>
        <w:t>“</w:t>
      </w:r>
      <w:r>
        <w:rPr>
          <w:rFonts w:ascii="宋体" w:hAnsi="宋体"/>
          <w:color w:val="000000"/>
        </w:rPr>
        <w:t>二次议价</w:t>
      </w:r>
      <w:r>
        <w:rPr>
          <w:rFonts w:ascii="宋体" w:hAnsi="宋体"/>
          <w:color w:val="000000"/>
        </w:rPr>
        <w:t>”</w:t>
      </w:r>
      <w:r>
        <w:rPr>
          <w:rFonts w:ascii="宋体" w:hAnsi="宋体"/>
          <w:color w:val="000000"/>
        </w:rPr>
        <w:t>。如果改革方案出台，将对药品价格形成巨大压制，直接影响企业（尤其是处方药企业）的盈利能力。</w:t>
      </w:r>
    </w:p>
    <w:p w:rsidR="00000000" w:rsidRDefault="000A1C5E">
      <w:pPr>
        <w:autoSpaceDN w:val="0"/>
        <w:spacing w:beforeAutospacing="1" w:afterAutospacing="1"/>
        <w:ind w:firstLine="420"/>
        <w:rPr>
          <w:rFonts w:ascii="宋体" w:hAnsi="宋体"/>
          <w:sz w:val="24"/>
        </w:rPr>
      </w:pPr>
      <w:r>
        <w:rPr>
          <w:rFonts w:ascii="宋体" w:hAnsi="宋体"/>
          <w:b/>
          <w:color w:val="000000"/>
        </w:rPr>
        <w:t>3.</w:t>
      </w:r>
      <w:r>
        <w:rPr>
          <w:rFonts w:ascii="宋体" w:hAnsi="宋体"/>
          <w:b/>
          <w:color w:val="000000"/>
        </w:rPr>
        <w:t>新版</w:t>
      </w:r>
      <w:r>
        <w:rPr>
          <w:rFonts w:ascii="宋体" w:hAnsi="宋体"/>
          <w:b/>
          <w:color w:val="000000"/>
        </w:rPr>
        <w:t>GMP</w:t>
      </w:r>
      <w:r>
        <w:rPr>
          <w:rFonts w:ascii="宋体" w:hAnsi="宋体"/>
          <w:b/>
          <w:color w:val="000000"/>
        </w:rPr>
        <w:t>的认证实施短期内将推动行业技改投资持续增长。</w:t>
      </w:r>
    </w:p>
    <w:p w:rsidR="00000000" w:rsidRDefault="000A1C5E">
      <w:pPr>
        <w:autoSpaceDN w:val="0"/>
        <w:spacing w:beforeAutospacing="1" w:afterAutospacing="1"/>
        <w:ind w:firstLine="420"/>
        <w:rPr>
          <w:rFonts w:ascii="宋体" w:hAnsi="宋体"/>
          <w:sz w:val="24"/>
        </w:rPr>
      </w:pPr>
      <w:r>
        <w:rPr>
          <w:rFonts w:ascii="宋体" w:hAnsi="宋体"/>
          <w:color w:val="000000"/>
        </w:rPr>
        <w:t>2013</w:t>
      </w:r>
      <w:r>
        <w:rPr>
          <w:rFonts w:ascii="宋体" w:hAnsi="宋体"/>
          <w:color w:val="000000"/>
        </w:rPr>
        <w:t>年是我国新版</w:t>
      </w:r>
      <w:r>
        <w:rPr>
          <w:rFonts w:ascii="宋体" w:hAnsi="宋体"/>
          <w:color w:val="000000"/>
        </w:rPr>
        <w:t>GMP</w:t>
      </w:r>
      <w:r>
        <w:rPr>
          <w:rFonts w:ascii="宋体" w:hAnsi="宋体"/>
          <w:color w:val="000000"/>
        </w:rPr>
        <w:t>认证实施的一个重要时间点，按照要求，国内现有药品生产企业血液制品、疫苗、注射剂等无菌药品的生产，应在年底前达到新版</w:t>
      </w:r>
      <w:r>
        <w:rPr>
          <w:rFonts w:ascii="宋体" w:hAnsi="宋体"/>
          <w:color w:val="000000"/>
        </w:rPr>
        <w:t>GMP</w:t>
      </w:r>
      <w:r>
        <w:rPr>
          <w:rFonts w:ascii="宋体" w:hAnsi="宋体"/>
          <w:color w:val="000000"/>
        </w:rPr>
        <w:t>认证要求，其他类别药品的生产企业要在</w:t>
      </w:r>
      <w:r>
        <w:rPr>
          <w:rFonts w:ascii="宋体" w:hAnsi="宋体"/>
          <w:color w:val="000000"/>
        </w:rPr>
        <w:t>2015</w:t>
      </w:r>
      <w:r>
        <w:rPr>
          <w:rFonts w:ascii="宋体" w:hAnsi="宋体"/>
          <w:color w:val="000000"/>
        </w:rPr>
        <w:t>年底达到新版</w:t>
      </w:r>
      <w:r>
        <w:rPr>
          <w:rFonts w:ascii="宋体" w:hAnsi="宋体"/>
          <w:color w:val="000000"/>
        </w:rPr>
        <w:t>GMP</w:t>
      </w:r>
      <w:r>
        <w:rPr>
          <w:rFonts w:ascii="宋体" w:hAnsi="宋体"/>
          <w:color w:val="000000"/>
        </w:rPr>
        <w:t>要求。但从实际情况看，新版</w:t>
      </w:r>
      <w:r>
        <w:rPr>
          <w:rFonts w:ascii="宋体" w:hAnsi="宋体"/>
          <w:color w:val="000000"/>
        </w:rPr>
        <w:t>GMP</w:t>
      </w:r>
      <w:r>
        <w:rPr>
          <w:rFonts w:ascii="宋体" w:hAnsi="宋体"/>
          <w:color w:val="000000"/>
        </w:rPr>
        <w:t>实施进度缓慢，截止</w:t>
      </w:r>
      <w:r>
        <w:rPr>
          <w:rFonts w:ascii="宋体" w:hAnsi="宋体"/>
          <w:color w:val="000000"/>
        </w:rPr>
        <w:t>9</w:t>
      </w:r>
      <w:r>
        <w:rPr>
          <w:rFonts w:ascii="宋体" w:hAnsi="宋体"/>
          <w:color w:val="000000"/>
        </w:rPr>
        <w:t>月底，通过新修订</w:t>
      </w:r>
      <w:r>
        <w:rPr>
          <w:rFonts w:ascii="宋体" w:hAnsi="宋体"/>
          <w:color w:val="000000"/>
        </w:rPr>
        <w:t>GMP</w:t>
      </w:r>
      <w:r>
        <w:rPr>
          <w:rFonts w:ascii="宋体" w:hAnsi="宋体"/>
          <w:color w:val="000000"/>
        </w:rPr>
        <w:t>认证的无菌药品生产企业不足</w:t>
      </w:r>
      <w:r>
        <w:rPr>
          <w:rFonts w:ascii="宋体" w:hAnsi="宋体"/>
          <w:color w:val="000000"/>
        </w:rPr>
        <w:t>30%</w:t>
      </w:r>
      <w:r>
        <w:rPr>
          <w:rFonts w:ascii="宋体" w:hAnsi="宋体"/>
          <w:color w:val="000000"/>
        </w:rPr>
        <w:t>；通过新修订</w:t>
      </w:r>
      <w:r>
        <w:rPr>
          <w:rFonts w:ascii="宋体" w:hAnsi="宋体"/>
          <w:color w:val="000000"/>
        </w:rPr>
        <w:t>GMP</w:t>
      </w:r>
      <w:r>
        <w:rPr>
          <w:rFonts w:ascii="宋体" w:hAnsi="宋体"/>
          <w:color w:val="000000"/>
        </w:rPr>
        <w:t>认证的非</w:t>
      </w:r>
      <w:r>
        <w:rPr>
          <w:rFonts w:ascii="宋体" w:hAnsi="宋体"/>
          <w:color w:val="000000"/>
        </w:rPr>
        <w:t>无菌药品生产企业仅占</w:t>
      </w:r>
      <w:r>
        <w:rPr>
          <w:rFonts w:ascii="宋体" w:hAnsi="宋体"/>
          <w:color w:val="000000"/>
        </w:rPr>
        <w:t>19.4%</w:t>
      </w:r>
      <w:r>
        <w:rPr>
          <w:rFonts w:ascii="宋体" w:hAnsi="宋体"/>
          <w:color w:val="000000"/>
        </w:rPr>
        <w:t>。为满足要求，可以预见未来两年药品企业将持续加大投资规模，提高生产标准、改进相关设备。</w:t>
      </w:r>
    </w:p>
    <w:p w:rsidR="00000000" w:rsidRDefault="000A1C5E">
      <w:pPr>
        <w:autoSpaceDN w:val="0"/>
        <w:spacing w:beforeAutospacing="1" w:afterAutospacing="1"/>
        <w:ind w:firstLine="420"/>
        <w:rPr>
          <w:rFonts w:ascii="宋体" w:hAnsi="宋体"/>
          <w:sz w:val="24"/>
        </w:rPr>
      </w:pPr>
      <w:r>
        <w:rPr>
          <w:rFonts w:ascii="宋体" w:hAnsi="宋体"/>
          <w:b/>
          <w:color w:val="000000"/>
        </w:rPr>
        <w:t>4.</w:t>
      </w:r>
      <w:r>
        <w:rPr>
          <w:rFonts w:ascii="宋体" w:hAnsi="宋体"/>
          <w:b/>
          <w:color w:val="000000"/>
        </w:rPr>
        <w:t>行业兼并重组力度将加大，产业集中度进一步提升。</w:t>
      </w:r>
    </w:p>
    <w:p w:rsidR="00000000" w:rsidRDefault="000A1C5E">
      <w:pPr>
        <w:autoSpaceDN w:val="0"/>
        <w:spacing w:beforeAutospacing="1" w:afterAutospacing="1"/>
        <w:ind w:firstLine="420"/>
        <w:rPr>
          <w:rFonts w:ascii="宋体" w:hAnsi="宋体"/>
          <w:sz w:val="24"/>
        </w:rPr>
      </w:pPr>
      <w:r>
        <w:rPr>
          <w:rFonts w:ascii="宋体" w:hAnsi="宋体"/>
          <w:color w:val="000000"/>
        </w:rPr>
        <w:t>2012</w:t>
      </w:r>
      <w:r>
        <w:rPr>
          <w:rFonts w:ascii="宋体" w:hAnsi="宋体"/>
          <w:color w:val="000000"/>
        </w:rPr>
        <w:t>年，医药上市企业中营业总收入超过</w:t>
      </w:r>
      <w:r>
        <w:rPr>
          <w:rFonts w:ascii="宋体" w:hAnsi="宋体"/>
          <w:color w:val="000000"/>
        </w:rPr>
        <w:t>500</w:t>
      </w:r>
      <w:r>
        <w:rPr>
          <w:rFonts w:ascii="宋体" w:hAnsi="宋体"/>
          <w:color w:val="000000"/>
        </w:rPr>
        <w:t>亿元的仅有上海医药一家企业（约</w:t>
      </w:r>
      <w:r>
        <w:rPr>
          <w:rFonts w:ascii="宋体" w:hAnsi="宋体"/>
          <w:color w:val="000000"/>
        </w:rPr>
        <w:t>681</w:t>
      </w:r>
      <w:r>
        <w:rPr>
          <w:rFonts w:ascii="宋体" w:hAnsi="宋体"/>
          <w:color w:val="000000"/>
        </w:rPr>
        <w:t>亿元）。根据《医药工业</w:t>
      </w:r>
      <w:r>
        <w:rPr>
          <w:rFonts w:ascii="宋体" w:hAnsi="宋体"/>
          <w:color w:val="000000"/>
        </w:rPr>
        <w:t>“</w:t>
      </w:r>
      <w:r>
        <w:rPr>
          <w:rFonts w:ascii="宋体" w:hAnsi="宋体"/>
          <w:color w:val="000000"/>
        </w:rPr>
        <w:t>十二五</w:t>
      </w:r>
      <w:r>
        <w:rPr>
          <w:rFonts w:ascii="宋体" w:hAnsi="宋体"/>
          <w:color w:val="000000"/>
        </w:rPr>
        <w:t>”</w:t>
      </w:r>
      <w:r>
        <w:rPr>
          <w:rFonts w:ascii="宋体" w:hAnsi="宋体"/>
          <w:color w:val="000000"/>
        </w:rPr>
        <w:t>发展规划》，到</w:t>
      </w:r>
      <w:r>
        <w:rPr>
          <w:rFonts w:ascii="宋体" w:hAnsi="宋体"/>
          <w:color w:val="000000"/>
        </w:rPr>
        <w:t>2015</w:t>
      </w:r>
      <w:r>
        <w:rPr>
          <w:rFonts w:ascii="宋体" w:hAnsi="宋体"/>
          <w:color w:val="000000"/>
        </w:rPr>
        <w:t>年，我国医药企业中销售收入超过</w:t>
      </w:r>
      <w:r>
        <w:rPr>
          <w:rFonts w:ascii="宋体" w:hAnsi="宋体"/>
          <w:color w:val="000000"/>
        </w:rPr>
        <w:t>500</w:t>
      </w:r>
      <w:r>
        <w:rPr>
          <w:rFonts w:ascii="宋体" w:hAnsi="宋体"/>
          <w:color w:val="000000"/>
        </w:rPr>
        <w:t>亿元的企业要达到</w:t>
      </w:r>
      <w:r>
        <w:rPr>
          <w:rFonts w:ascii="宋体" w:hAnsi="宋体"/>
          <w:color w:val="000000"/>
        </w:rPr>
        <w:t>5</w:t>
      </w:r>
      <w:r>
        <w:rPr>
          <w:rFonts w:ascii="宋体" w:hAnsi="宋体"/>
          <w:color w:val="000000"/>
        </w:rPr>
        <w:t>个以上，超过</w:t>
      </w:r>
      <w:r>
        <w:rPr>
          <w:rFonts w:ascii="宋体" w:hAnsi="宋体"/>
          <w:color w:val="000000"/>
        </w:rPr>
        <w:t xml:space="preserve">100 </w:t>
      </w:r>
      <w:r>
        <w:rPr>
          <w:rFonts w:ascii="宋体" w:hAnsi="宋体"/>
          <w:color w:val="000000"/>
        </w:rPr>
        <w:t>亿元的企业达到</w:t>
      </w:r>
      <w:r>
        <w:rPr>
          <w:rFonts w:ascii="宋体" w:hAnsi="宋体"/>
          <w:color w:val="000000"/>
        </w:rPr>
        <w:t>100</w:t>
      </w:r>
      <w:r>
        <w:rPr>
          <w:rFonts w:ascii="宋体" w:hAnsi="宋体"/>
          <w:color w:val="000000"/>
        </w:rPr>
        <w:t>个以上。因此未来几年，医药行业将迎来兼并重组的高峰期，投资规模有望继续保持较快增长趋势，行业集中度将进一步提升，</w:t>
      </w:r>
      <w:r>
        <w:rPr>
          <w:rFonts w:ascii="宋体" w:hAnsi="宋体"/>
          <w:color w:val="000000"/>
        </w:rPr>
        <w:t>与此相关的企业间竞争风险亦随之加大。</w:t>
      </w:r>
    </w:p>
    <w:p w:rsidR="00000000" w:rsidRDefault="000A1C5E">
      <w:pPr>
        <w:autoSpaceDN w:val="0"/>
        <w:spacing w:afterAutospacing="1"/>
        <w:ind w:firstLine="420"/>
        <w:rPr>
          <w:rFonts w:ascii="宋体" w:hAnsi="宋体"/>
          <w:b/>
          <w:sz w:val="31"/>
        </w:rPr>
      </w:pPr>
      <w:r>
        <w:rPr>
          <w:rFonts w:ascii="仿宋_GB2312" w:eastAsia="仿宋_GB2312" w:hAnsi="仿宋_GB2312"/>
          <w:b/>
          <w:sz w:val="31"/>
        </w:rPr>
        <w:t>三、存量业务结构及风险收益表现</w:t>
      </w:r>
    </w:p>
    <w:p w:rsidR="00000000" w:rsidRDefault="000A1C5E">
      <w:pPr>
        <w:autoSpaceDN w:val="0"/>
        <w:spacing w:before="210" w:after="210"/>
        <w:ind w:firstLine="420"/>
        <w:rPr>
          <w:rFonts w:ascii="宋体" w:hAnsi="宋体"/>
          <w:b/>
          <w:sz w:val="24"/>
        </w:rPr>
      </w:pPr>
      <w:r>
        <w:rPr>
          <w:rFonts w:ascii="仿宋_GB2312" w:eastAsia="仿宋_GB2312" w:hAnsi="仿宋_GB2312"/>
          <w:b/>
          <w:sz w:val="24"/>
        </w:rPr>
        <w:t>（一）存量授信业务运行概况</w:t>
      </w:r>
    </w:p>
    <w:p w:rsidR="00000000" w:rsidRDefault="000A1C5E">
      <w:pPr>
        <w:autoSpaceDN w:val="0"/>
        <w:spacing w:beforeAutospacing="1" w:afterAutospacing="1"/>
        <w:ind w:firstLine="420"/>
        <w:rPr>
          <w:rFonts w:ascii="宋体" w:hAnsi="宋体"/>
          <w:sz w:val="24"/>
        </w:rPr>
      </w:pPr>
      <w:r>
        <w:rPr>
          <w:rFonts w:ascii="宋体" w:hAnsi="宋体"/>
          <w:b/>
          <w:color w:val="000000"/>
        </w:rPr>
        <w:t>略</w:t>
      </w:r>
    </w:p>
    <w:p w:rsidR="00000000" w:rsidRDefault="000A1C5E">
      <w:pPr>
        <w:autoSpaceDN w:val="0"/>
        <w:spacing w:before="210" w:after="210"/>
        <w:ind w:firstLine="420"/>
        <w:rPr>
          <w:rFonts w:ascii="宋体" w:hAnsi="宋体"/>
          <w:b/>
          <w:sz w:val="24"/>
        </w:rPr>
      </w:pPr>
      <w:r>
        <w:rPr>
          <w:rFonts w:ascii="仿宋_GB2312" w:eastAsia="仿宋_GB2312" w:hAnsi="仿宋_GB2312"/>
          <w:b/>
          <w:sz w:val="24"/>
        </w:rPr>
        <w:t>（二）</w:t>
      </w:r>
      <w:r>
        <w:rPr>
          <w:rFonts w:ascii="宋体" w:hAnsi="宋体"/>
          <w:b/>
          <w:sz w:val="24"/>
        </w:rPr>
        <w:t>2013</w:t>
      </w:r>
      <w:r>
        <w:rPr>
          <w:rFonts w:ascii="仿宋_GB2312" w:eastAsia="仿宋_GB2312" w:hAnsi="仿宋_GB2312"/>
          <w:b/>
          <w:sz w:val="24"/>
        </w:rPr>
        <w:t>年行业风险收益表现</w:t>
      </w:r>
    </w:p>
    <w:p w:rsidR="00000000" w:rsidRDefault="000A1C5E">
      <w:pPr>
        <w:autoSpaceDN w:val="0"/>
        <w:spacing w:beforeAutospacing="1" w:afterAutospacing="1"/>
        <w:ind w:firstLine="420"/>
        <w:rPr>
          <w:rFonts w:ascii="宋体" w:hAnsi="宋体"/>
          <w:sz w:val="24"/>
        </w:rPr>
      </w:pPr>
      <w:r>
        <w:rPr>
          <w:rFonts w:ascii="宋体" w:hAnsi="宋体"/>
          <w:color w:val="000000"/>
        </w:rPr>
        <w:t>略</w:t>
      </w:r>
    </w:p>
    <w:p w:rsidR="00000000" w:rsidRDefault="000A1C5E">
      <w:pPr>
        <w:autoSpaceDN w:val="0"/>
        <w:spacing w:afterAutospacing="1"/>
        <w:ind w:firstLine="420"/>
        <w:rPr>
          <w:rFonts w:ascii="宋体" w:hAnsi="宋体"/>
          <w:b/>
          <w:sz w:val="31"/>
        </w:rPr>
      </w:pPr>
      <w:r>
        <w:rPr>
          <w:rFonts w:ascii="仿宋_GB2312" w:eastAsia="仿宋_GB2312" w:hAnsi="仿宋_GB2312"/>
          <w:b/>
          <w:sz w:val="31"/>
        </w:rPr>
        <w:t>四、行业投向指引</w:t>
      </w:r>
    </w:p>
    <w:p w:rsidR="00000000" w:rsidRDefault="000A1C5E">
      <w:pPr>
        <w:autoSpaceDN w:val="0"/>
        <w:spacing w:before="210" w:after="210"/>
        <w:ind w:firstLine="420"/>
        <w:rPr>
          <w:rFonts w:ascii="宋体" w:hAnsi="宋体"/>
          <w:b/>
          <w:sz w:val="24"/>
        </w:rPr>
      </w:pPr>
      <w:r>
        <w:rPr>
          <w:rFonts w:ascii="仿宋_GB2312" w:eastAsia="仿宋_GB2312" w:hAnsi="仿宋_GB2312"/>
          <w:b/>
          <w:sz w:val="24"/>
        </w:rPr>
        <w:t>（一）总体目标和原则</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医药制造行业属弱经济周期行业，受药品消费刚性及医改扩容影响，预期</w:t>
      </w:r>
      <w:r>
        <w:rPr>
          <w:rFonts w:ascii="仿宋_GB2312" w:eastAsia="仿宋_GB2312" w:hAnsi="仿宋_GB2312"/>
          <w:sz w:val="24"/>
        </w:rPr>
        <w:lastRenderedPageBreak/>
        <w:t>未来医药行业销售利润仍将保持较快增速。但与此同时，行业结构调整加快，准入门槛提高、产业集中度有所提升，子行业和企业经营分化，其整体高投入、高效益、高风险和高技术密集特征较为明显。同时我行医药制造行业存量授信质量整体提升、</w:t>
      </w:r>
      <w:r>
        <w:rPr>
          <w:rFonts w:ascii="仿宋_GB2312" w:eastAsia="仿宋_GB2312" w:hAnsi="仿宋_GB2312"/>
          <w:sz w:val="24"/>
        </w:rPr>
        <w:t>RAROC'</w:t>
      </w:r>
      <w:r>
        <w:rPr>
          <w:rFonts w:ascii="仿宋_GB2312" w:eastAsia="仿宋_GB2312" w:hAnsi="仿宋_GB2312"/>
          <w:sz w:val="24"/>
        </w:rPr>
        <w:t>优于全行平均水平。</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结合行业运行特征</w:t>
      </w:r>
      <w:r>
        <w:rPr>
          <w:rFonts w:ascii="仿宋_GB2312" w:eastAsia="仿宋_GB2312" w:hAnsi="仿宋_GB2312"/>
          <w:sz w:val="24"/>
        </w:rPr>
        <w:t>和发展趋势，以及风险收益分析结果，</w:t>
      </w:r>
      <w:r>
        <w:rPr>
          <w:rFonts w:ascii="仿宋_GB2312" w:eastAsia="仿宋_GB2312" w:hAnsi="仿宋_GB2312"/>
          <w:sz w:val="24"/>
        </w:rPr>
        <w:t>2014</w:t>
      </w:r>
      <w:r>
        <w:rPr>
          <w:rFonts w:ascii="仿宋_GB2312" w:eastAsia="仿宋_GB2312" w:hAnsi="仿宋_GB2312"/>
          <w:sz w:val="24"/>
        </w:rPr>
        <w:t>年我行医药制造行业投向指引总体原则为：加大优势领域和优质企业支持力度，进一步把握行业发展机遇，适当提升行业占比；加大对存量客户风险排查力度，进一步提高抵质押率，稳定资产质量。子行业方面：主要支持较成熟的化学制剂和中成药领域；对产能过剩较明显的化学原料药子行业，应提高准入标准，严格控制企业扩大产能融资需求；对中药饮片子行业仅支持竞争优势明显的龙头企业；对属战略性新兴产业之一的生物制药子行业，应在把握细分产业成熟度前提下开展信贷合作。针对行业经营和财务特点，对医药制造企</w:t>
      </w:r>
      <w:r>
        <w:rPr>
          <w:rFonts w:ascii="仿宋_GB2312" w:eastAsia="仿宋_GB2312" w:hAnsi="仿宋_GB2312"/>
          <w:sz w:val="24"/>
        </w:rPr>
        <w:t>业应以各类短期融资为主，择优支持龙头企业技术改造投资，同时各行需密切关注行业财务状况发展趋势，及时把握企业盈利和偿债能力。持续进行盘活存量、结构调整，有效防止存量客户风险增加和进一步提升收益。</w:t>
      </w:r>
    </w:p>
    <w:p w:rsidR="00000000" w:rsidRDefault="000A1C5E">
      <w:pPr>
        <w:autoSpaceDN w:val="0"/>
        <w:spacing w:before="210" w:after="210"/>
        <w:ind w:firstLine="420"/>
        <w:rPr>
          <w:rFonts w:ascii="宋体" w:hAnsi="宋体"/>
          <w:b/>
          <w:sz w:val="24"/>
        </w:rPr>
      </w:pPr>
      <w:r>
        <w:rPr>
          <w:rFonts w:ascii="仿宋_GB2312" w:eastAsia="仿宋_GB2312" w:hAnsi="仿宋_GB2312"/>
          <w:b/>
          <w:sz w:val="24"/>
        </w:rPr>
        <w:t>（二）准入标准及分类策略</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b/>
          <w:sz w:val="24"/>
        </w:rPr>
        <w:t>1.</w:t>
      </w:r>
      <w:r>
        <w:rPr>
          <w:rFonts w:ascii="仿宋_GB2312" w:eastAsia="仿宋_GB2312" w:hAnsi="仿宋_GB2312"/>
          <w:b/>
          <w:sz w:val="24"/>
        </w:rPr>
        <w:t>子行业授信策略</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 xml:space="preserve">1) </w:t>
      </w:r>
      <w:r>
        <w:rPr>
          <w:rFonts w:ascii="仿宋_GB2312" w:eastAsia="仿宋_GB2312" w:hAnsi="仿宋_GB2312"/>
          <w:sz w:val="24"/>
        </w:rPr>
        <w:t>化学原料药子行业</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对该行业应逐步提高准入标准，重点支持两类企业：一是工艺技术水平高、规模和成本优势明显、环保设施完善的普通原料药生产企业；二是产品需求受益于全球专利药进入解禁高峰期、销售市场稳定的特色原料药生产企业。对该行业应以各类短期融资业务合作为主，严控扩大产</w:t>
      </w:r>
      <w:r>
        <w:rPr>
          <w:rFonts w:ascii="仿宋_GB2312" w:eastAsia="仿宋_GB2312" w:hAnsi="仿宋_GB2312"/>
          <w:sz w:val="24"/>
        </w:rPr>
        <w:t>能融资。尤其审慎介入维生素</w:t>
      </w:r>
      <w:r>
        <w:rPr>
          <w:rFonts w:ascii="仿宋_GB2312" w:eastAsia="仿宋_GB2312" w:hAnsi="仿宋_GB2312"/>
          <w:sz w:val="24"/>
        </w:rPr>
        <w:t>C</w:t>
      </w:r>
      <w:r>
        <w:rPr>
          <w:rFonts w:ascii="仿宋_GB2312" w:eastAsia="仿宋_GB2312" w:hAnsi="仿宋_GB2312"/>
          <w:sz w:val="24"/>
        </w:rPr>
        <w:t>、白细胞介素</w:t>
      </w:r>
      <w:r>
        <w:rPr>
          <w:rFonts w:ascii="仿宋_GB2312" w:eastAsia="仿宋_GB2312" w:hAnsi="仿宋_GB2312"/>
          <w:sz w:val="24"/>
        </w:rPr>
        <w:t>-2</w:t>
      </w:r>
      <w:r>
        <w:rPr>
          <w:rFonts w:ascii="仿宋_GB2312" w:eastAsia="仿宋_GB2312" w:hAnsi="仿宋_GB2312"/>
          <w:sz w:val="24"/>
        </w:rPr>
        <w:t>、干扰素等产能过剩类原料药制造企业，不参与新、扩建项目融资。</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2</w:t>
      </w:r>
      <w:r>
        <w:rPr>
          <w:rFonts w:ascii="仿宋_GB2312" w:eastAsia="仿宋_GB2312" w:hAnsi="仿宋_GB2312"/>
          <w:sz w:val="24"/>
        </w:rPr>
        <w:t>）</w:t>
      </w:r>
      <w:r>
        <w:rPr>
          <w:rFonts w:ascii="仿宋_GB2312" w:eastAsia="仿宋_GB2312" w:hAnsi="仿宋_GB2312"/>
          <w:sz w:val="24"/>
        </w:rPr>
        <w:t xml:space="preserve"> </w:t>
      </w:r>
      <w:r>
        <w:rPr>
          <w:rFonts w:ascii="仿宋_GB2312" w:eastAsia="仿宋_GB2312" w:hAnsi="仿宋_GB2312"/>
          <w:sz w:val="24"/>
        </w:rPr>
        <w:t>化学制剂子行业</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重点支持在细分疾病或产品领域具有较强专业性和规模优势、具备进口药品替代空间和较多产品线储备、在研发创新和品牌营销等方面已形成较强竞争优势的企业。同时客户准入要关注细分行业政策及市场环境变化，对在国家严格施行限抗政策背景下需求下降的抗生素行业，应以支持具备规模、技术、品牌等综合优势的龙头企业为主；对已明显饱和的再仿药行业，要审慎介入产品</w:t>
      </w:r>
      <w:r>
        <w:rPr>
          <w:rFonts w:ascii="仿宋_GB2312" w:eastAsia="仿宋_GB2312" w:hAnsi="仿宋_GB2312"/>
          <w:sz w:val="24"/>
        </w:rPr>
        <w:lastRenderedPageBreak/>
        <w:t>较单一、以仿制尚处专利保护期的国外新特药产品为</w:t>
      </w:r>
      <w:r>
        <w:rPr>
          <w:rFonts w:ascii="仿宋_GB2312" w:eastAsia="仿宋_GB2312" w:hAnsi="仿宋_GB2312"/>
          <w:sz w:val="24"/>
        </w:rPr>
        <w:t>主的企业。</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3</w:t>
      </w:r>
      <w:r>
        <w:rPr>
          <w:rFonts w:ascii="仿宋_GB2312" w:eastAsia="仿宋_GB2312" w:hAnsi="仿宋_GB2312"/>
          <w:sz w:val="24"/>
        </w:rPr>
        <w:t>）</w:t>
      </w:r>
      <w:r>
        <w:rPr>
          <w:rFonts w:ascii="仿宋_GB2312" w:eastAsia="仿宋_GB2312" w:hAnsi="仿宋_GB2312"/>
          <w:sz w:val="24"/>
        </w:rPr>
        <w:t xml:space="preserve"> </w:t>
      </w:r>
      <w:r>
        <w:rPr>
          <w:rFonts w:ascii="仿宋_GB2312" w:eastAsia="仿宋_GB2312" w:hAnsi="仿宋_GB2312"/>
          <w:sz w:val="24"/>
        </w:rPr>
        <w:t>中成药子行业和中药饮品子行业</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主要支持拥有传统品牌和产品优势、拥有药材生产基地等产业链资源、销售市场稳定的规模化中药制造企业，对贯通上下游</w:t>
      </w:r>
      <w:r>
        <w:rPr>
          <w:rFonts w:ascii="仿宋_GB2312" w:eastAsia="仿宋_GB2312" w:hAnsi="仿宋_GB2312"/>
          <w:sz w:val="24"/>
        </w:rPr>
        <w:t>“</w:t>
      </w:r>
      <w:r>
        <w:rPr>
          <w:rFonts w:ascii="仿宋_GB2312" w:eastAsia="仿宋_GB2312" w:hAnsi="仿宋_GB2312"/>
          <w:sz w:val="24"/>
        </w:rPr>
        <w:t>中药材种植</w:t>
      </w:r>
      <w:r>
        <w:rPr>
          <w:rFonts w:ascii="仿宋_GB2312" w:eastAsia="仿宋_GB2312" w:hAnsi="仿宋_GB2312"/>
          <w:sz w:val="24"/>
        </w:rPr>
        <w:t>-</w:t>
      </w:r>
      <w:r>
        <w:rPr>
          <w:rFonts w:ascii="仿宋_GB2312" w:eastAsia="仿宋_GB2312" w:hAnsi="仿宋_GB2312"/>
          <w:sz w:val="24"/>
        </w:rPr>
        <w:t>中药材贸易</w:t>
      </w:r>
      <w:r>
        <w:rPr>
          <w:rFonts w:ascii="仿宋_GB2312" w:eastAsia="仿宋_GB2312" w:hAnsi="仿宋_GB2312"/>
          <w:sz w:val="24"/>
        </w:rPr>
        <w:t>-</w:t>
      </w:r>
      <w:r>
        <w:rPr>
          <w:rFonts w:ascii="仿宋_GB2312" w:eastAsia="仿宋_GB2312" w:hAnsi="仿宋_GB2312"/>
          <w:sz w:val="24"/>
        </w:rPr>
        <w:t>中药制造</w:t>
      </w:r>
      <w:r>
        <w:rPr>
          <w:rFonts w:ascii="仿宋_GB2312" w:eastAsia="仿宋_GB2312" w:hAnsi="仿宋_GB2312"/>
          <w:sz w:val="24"/>
        </w:rPr>
        <w:t>-</w:t>
      </w:r>
      <w:r>
        <w:rPr>
          <w:rFonts w:ascii="仿宋_GB2312" w:eastAsia="仿宋_GB2312" w:hAnsi="仿宋_GB2312"/>
          <w:sz w:val="24"/>
        </w:rPr>
        <w:t>医院、</w:t>
      </w:r>
      <w:r>
        <w:rPr>
          <w:rFonts w:ascii="仿宋_GB2312" w:eastAsia="仿宋_GB2312" w:hAnsi="仿宋_GB2312"/>
          <w:sz w:val="24"/>
        </w:rPr>
        <w:t>OTC</w:t>
      </w:r>
      <w:r>
        <w:rPr>
          <w:rFonts w:ascii="仿宋_GB2312" w:eastAsia="仿宋_GB2312" w:hAnsi="仿宋_GB2312"/>
          <w:sz w:val="24"/>
        </w:rPr>
        <w:t>、消费品</w:t>
      </w:r>
      <w:r>
        <w:rPr>
          <w:rFonts w:ascii="仿宋_GB2312" w:eastAsia="仿宋_GB2312" w:hAnsi="仿宋_GB2312"/>
          <w:sz w:val="24"/>
        </w:rPr>
        <w:t>”</w:t>
      </w:r>
      <w:r>
        <w:rPr>
          <w:rFonts w:ascii="仿宋_GB2312" w:eastAsia="仿宋_GB2312" w:hAnsi="仿宋_GB2312"/>
          <w:sz w:val="24"/>
        </w:rPr>
        <w:t>产业链一体化的优势企业可加大支持力度。审慎介入无规模、技术优势和以中药注射剂为主的中小规模中药企业。</w:t>
      </w:r>
    </w:p>
    <w:p w:rsidR="00000000" w:rsidRDefault="000A1C5E">
      <w:pPr>
        <w:autoSpaceDN w:val="0"/>
        <w:spacing w:beforeAutospacing="1" w:afterAutospacing="1"/>
        <w:ind w:firstLine="464"/>
        <w:rPr>
          <w:rFonts w:ascii="宋体" w:hAnsi="宋体"/>
          <w:sz w:val="24"/>
        </w:rPr>
      </w:pPr>
      <w:r>
        <w:rPr>
          <w:rFonts w:ascii="宋体" w:hAnsi="宋体"/>
          <w:color w:val="000000"/>
        </w:rPr>
        <w:t>（</w:t>
      </w:r>
      <w:r>
        <w:rPr>
          <w:rFonts w:ascii="宋体" w:hAnsi="宋体"/>
          <w:color w:val="000000"/>
        </w:rPr>
        <w:t>4</w:t>
      </w:r>
      <w:r>
        <w:rPr>
          <w:rFonts w:ascii="宋体" w:hAnsi="宋体"/>
          <w:color w:val="000000"/>
        </w:rPr>
        <w:t>）生物制药子行业</w:t>
      </w:r>
    </w:p>
    <w:p w:rsidR="00000000" w:rsidRDefault="000A1C5E">
      <w:pPr>
        <w:autoSpaceDN w:val="0"/>
        <w:spacing w:beforeAutospacing="1" w:afterAutospacing="1"/>
        <w:ind w:firstLine="464"/>
        <w:rPr>
          <w:rFonts w:ascii="宋体" w:hAnsi="宋体"/>
          <w:sz w:val="24"/>
        </w:rPr>
      </w:pPr>
      <w:r>
        <w:rPr>
          <w:rFonts w:ascii="宋体" w:hAnsi="宋体"/>
          <w:color w:val="000000"/>
        </w:rPr>
        <w:t>该子行业属战略性新兴产业中生物产业的重要组成部分，目前仍处于发展初期，企业经营差异明显。可择优支持股东实力强、自主研发能力突出、已拥有成熟产品或产品属国家收储对象的优质企业</w:t>
      </w:r>
      <w:r>
        <w:rPr>
          <w:rFonts w:ascii="宋体" w:hAnsi="宋体"/>
          <w:color w:val="000000"/>
        </w:rPr>
        <w:t>，避免选择资金回收期过长、跨行业新进入或自身研发能力弱、市场尚不成熟的生物制药企业。</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b/>
          <w:sz w:val="24"/>
        </w:rPr>
        <w:t>2.</w:t>
      </w:r>
      <w:r>
        <w:rPr>
          <w:rFonts w:ascii="仿宋_GB2312" w:eastAsia="仿宋_GB2312" w:hAnsi="仿宋_GB2312"/>
          <w:b/>
          <w:sz w:val="24"/>
        </w:rPr>
        <w:t>客户分类管理策略</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1</w:t>
      </w:r>
      <w:r>
        <w:rPr>
          <w:rFonts w:ascii="仿宋_GB2312" w:eastAsia="仿宋_GB2312" w:hAnsi="仿宋_GB2312"/>
          <w:sz w:val="24"/>
        </w:rPr>
        <w:t>）第一层级客户</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该层级客户主要包括三类：一是产业链较完整、产品覆盖面广、经营实力和市场竞争力强的大型制药集团内骨干企业，集团一般应达到年销售收入</w:t>
      </w:r>
      <w:r>
        <w:rPr>
          <w:rFonts w:ascii="仿宋_GB2312" w:eastAsia="仿宋_GB2312" w:hAnsi="仿宋_GB2312"/>
          <w:sz w:val="24"/>
        </w:rPr>
        <w:t>20</w:t>
      </w:r>
      <w:r>
        <w:rPr>
          <w:rFonts w:ascii="仿宋_GB2312" w:eastAsia="仿宋_GB2312" w:hAnsi="仿宋_GB2312"/>
          <w:sz w:val="24"/>
        </w:rPr>
        <w:t>亿元以上、利润总额</w:t>
      </w:r>
      <w:r>
        <w:rPr>
          <w:rFonts w:ascii="仿宋_GB2312" w:eastAsia="仿宋_GB2312" w:hAnsi="仿宋_GB2312"/>
          <w:sz w:val="24"/>
        </w:rPr>
        <w:t>2</w:t>
      </w:r>
      <w:r>
        <w:rPr>
          <w:rFonts w:ascii="仿宋_GB2312" w:eastAsia="仿宋_GB2312" w:hAnsi="仿宋_GB2312"/>
          <w:sz w:val="24"/>
        </w:rPr>
        <w:t>亿元以上水平；二是在各主要子行业中居国内前十位左右的大型制药企业，其中大宗化学原料药企业年销售收入不低于</w:t>
      </w:r>
      <w:r>
        <w:rPr>
          <w:rFonts w:ascii="仿宋_GB2312" w:eastAsia="仿宋_GB2312" w:hAnsi="仿宋_GB2312"/>
          <w:sz w:val="24"/>
        </w:rPr>
        <w:t>10</w:t>
      </w:r>
      <w:r>
        <w:rPr>
          <w:rFonts w:ascii="仿宋_GB2312" w:eastAsia="仿宋_GB2312" w:hAnsi="仿宋_GB2312"/>
          <w:sz w:val="24"/>
        </w:rPr>
        <w:t>亿元；三是拜耳、罗氏、礼来等世界知名制药巨头控股的在华投资企业。</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对该层级客户，我行一是积极争取成为其结算业务主办行，做大结</w:t>
      </w:r>
      <w:r>
        <w:rPr>
          <w:rFonts w:ascii="仿宋_GB2312" w:eastAsia="仿宋_GB2312" w:hAnsi="仿宋_GB2312"/>
          <w:sz w:val="24"/>
        </w:rPr>
        <w:t>算流量和存款沉淀；二是择优支持创新药物产业化、基本药物上水平、药品生产质量保证体系升级、中药现代化等技改项目，同时充分发挥我行综合化经营优势，通过境内外联动、融资租赁、信托等方式，多渠道解决企业资金需求，深化银企合作；三是对全国性行业龙头企业与区域优势企业强强联合并购项目，在并购主体自身综合还款能力充分、预期并购协同效应强的前提下，可择优给予并购贷款支持；四是针对该层级企业大部分已有直接融资渠道的特点，充分发挥我行投行业务优势，在发债承销、</w:t>
      </w:r>
      <w:r>
        <w:rPr>
          <w:rFonts w:ascii="仿宋_GB2312" w:eastAsia="仿宋_GB2312" w:hAnsi="仿宋_GB2312"/>
          <w:sz w:val="24"/>
        </w:rPr>
        <w:t>IPO</w:t>
      </w:r>
      <w:r>
        <w:rPr>
          <w:rFonts w:ascii="仿宋_GB2312" w:eastAsia="仿宋_GB2312" w:hAnsi="仿宋_GB2312"/>
          <w:sz w:val="24"/>
        </w:rPr>
        <w:t>上市财务顾问等方面加强业务合作，并通过募集资金托管、理财等后续</w:t>
      </w:r>
      <w:r>
        <w:rPr>
          <w:rFonts w:ascii="仿宋_GB2312" w:eastAsia="仿宋_GB2312" w:hAnsi="仿宋_GB2312"/>
          <w:sz w:val="24"/>
        </w:rPr>
        <w:t>衍生服务有效提升我行综合收益；五是鼓励依托重点龙头企业积极开展贸易融资或供应链融资业务。如针对上药、国药集团下游大型医药流通企业开展应收账款保理、票据保贴等业务。</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lastRenderedPageBreak/>
        <w:t>（</w:t>
      </w:r>
      <w:r>
        <w:rPr>
          <w:rFonts w:ascii="仿宋_GB2312" w:eastAsia="仿宋_GB2312" w:hAnsi="仿宋_GB2312"/>
          <w:sz w:val="24"/>
        </w:rPr>
        <w:t>2</w:t>
      </w:r>
      <w:r>
        <w:rPr>
          <w:rFonts w:ascii="仿宋_GB2312" w:eastAsia="仿宋_GB2312" w:hAnsi="仿宋_GB2312"/>
          <w:sz w:val="24"/>
        </w:rPr>
        <w:t>）第二层级客户</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主要指虽未达到上述第一层级规模，但在区域或细分市场具较强竞争优势、产品及工艺符合国家政策要求、产品成熟且市场稳定、成长性较好的企业，一般应达到年销售收入</w:t>
      </w:r>
      <w:r>
        <w:rPr>
          <w:rFonts w:ascii="仿宋_GB2312" w:eastAsia="仿宋_GB2312" w:hAnsi="仿宋_GB2312"/>
          <w:sz w:val="24"/>
        </w:rPr>
        <w:t>2</w:t>
      </w:r>
      <w:r>
        <w:rPr>
          <w:rFonts w:ascii="仿宋_GB2312" w:eastAsia="仿宋_GB2312" w:hAnsi="仿宋_GB2312"/>
          <w:sz w:val="24"/>
        </w:rPr>
        <w:t>亿元、利润总额</w:t>
      </w:r>
      <w:r>
        <w:rPr>
          <w:rFonts w:ascii="仿宋_GB2312" w:eastAsia="仿宋_GB2312" w:hAnsi="仿宋_GB2312"/>
          <w:sz w:val="24"/>
        </w:rPr>
        <w:t>2000</w:t>
      </w:r>
      <w:r>
        <w:rPr>
          <w:rFonts w:ascii="仿宋_GB2312" w:eastAsia="仿宋_GB2312" w:hAnsi="仿宋_GB2312"/>
          <w:sz w:val="24"/>
        </w:rPr>
        <w:t>万元以上水平。</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对该层级客户，我行授信合作应以短期融资类产品为主，审慎介入中长期融资。一是针对该类客户应收账款盘活需求，积极开展买方为优质三甲医院或大型</w:t>
      </w:r>
      <w:r>
        <w:rPr>
          <w:rFonts w:ascii="仿宋_GB2312" w:eastAsia="仿宋_GB2312" w:hAnsi="仿宋_GB2312"/>
          <w:sz w:val="24"/>
        </w:rPr>
        <w:t>分销商的国内保理、应收账款融资等产业链融资业务，辅以票据融资等产品支持企业生产销售，以核心企业为切入点带动上下游资金的体内循环对于省级药品招标中标且中标药品销量较大的企业可予以重点支持；二是结合中型成长性客户的发展需求，充分发挥我行综合化经营优势，通过与交银国际、交银国信等子公司联动，为客户提供引进私募股权、产业投资基金、战略投资者等、以及后续境内外上市等财务顾问及投行服务，增强客户自有资金实力和抗风险能力，同时有效降低我行信贷风险和提升长期回报；三是进一步带动企业高管人员等个人理财、信用卡、个贷等零售业务</w:t>
      </w:r>
      <w:r>
        <w:rPr>
          <w:rFonts w:ascii="仿宋_GB2312" w:eastAsia="仿宋_GB2312" w:hAnsi="仿宋_GB2312"/>
          <w:sz w:val="24"/>
        </w:rPr>
        <w:t>开展。</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3</w:t>
      </w:r>
      <w:r>
        <w:rPr>
          <w:rFonts w:ascii="仿宋_GB2312" w:eastAsia="仿宋_GB2312" w:hAnsi="仿宋_GB2312"/>
          <w:sz w:val="24"/>
        </w:rPr>
        <w:t>）其他中小型客户</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对符合我行信贷准入、但未达到上述两层级条件的客户，仅考虑在落实有效抵质押或有实力第三方担保的前提下，对其中经营财务较稳定、发展潜力较大的中小型客户适度叙做对应具体贸易背景的短期融资等业务（如仅限于买方为下游大型制药企业、大型医药分销企业的国内保理）。同时要求预期客户经信用风险调整后的资本回报率应大幅高于全行平均水平，并应积极相关争取中间业务、结算和负债业务。</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b/>
          <w:sz w:val="24"/>
        </w:rPr>
        <w:t>3.</w:t>
      </w:r>
      <w:r>
        <w:rPr>
          <w:rFonts w:ascii="仿宋_GB2312" w:eastAsia="仿宋_GB2312" w:hAnsi="仿宋_GB2312"/>
          <w:b/>
          <w:sz w:val="24"/>
        </w:rPr>
        <w:t>新客户准入标准</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在符合上述各子行业投向要求的基础上，对医药制造行业新客户还需符合以下准入标准：</w:t>
      </w:r>
    </w:p>
    <w:p w:rsidR="00000000" w:rsidRDefault="000A1C5E">
      <w:pPr>
        <w:autoSpaceDN w:val="0"/>
        <w:snapToGrid w:val="0"/>
        <w:spacing w:beforeAutospacing="1" w:afterAutospacing="1" w:line="312" w:lineRule="auto"/>
        <w:ind w:left="-46" w:firstLine="353"/>
        <w:rPr>
          <w:rFonts w:ascii="宋体" w:hAnsi="宋体"/>
          <w:sz w:val="24"/>
        </w:rPr>
      </w:pPr>
      <w:r>
        <w:rPr>
          <w:rFonts w:ascii="仿宋_GB2312" w:eastAsia="仿宋_GB2312" w:hAnsi="仿宋_GB2312"/>
          <w:sz w:val="24"/>
        </w:rPr>
        <w:t>（</w:t>
      </w:r>
      <w:r>
        <w:rPr>
          <w:rFonts w:ascii="仿宋_GB2312" w:eastAsia="仿宋_GB2312" w:hAnsi="仿宋_GB2312"/>
          <w:sz w:val="24"/>
        </w:rPr>
        <w:t>1</w:t>
      </w:r>
      <w:r>
        <w:rPr>
          <w:rFonts w:ascii="仿宋_GB2312" w:eastAsia="仿宋_GB2312" w:hAnsi="仿宋_GB2312"/>
          <w:sz w:val="24"/>
        </w:rPr>
        <w:t>）按照国家有关要</w:t>
      </w:r>
      <w:r>
        <w:rPr>
          <w:rFonts w:ascii="仿宋_GB2312" w:eastAsia="仿宋_GB2312" w:hAnsi="仿宋_GB2312"/>
          <w:sz w:val="24"/>
        </w:rPr>
        <w:t>求通过</w:t>
      </w:r>
      <w:r>
        <w:rPr>
          <w:rFonts w:ascii="仿宋_GB2312" w:eastAsia="仿宋_GB2312" w:hAnsi="仿宋_GB2312"/>
          <w:sz w:val="24"/>
        </w:rPr>
        <w:t>GMP</w:t>
      </w:r>
      <w:r>
        <w:rPr>
          <w:rFonts w:ascii="仿宋_GB2312" w:eastAsia="仿宋_GB2312" w:hAnsi="仿宋_GB2312"/>
          <w:sz w:val="24"/>
        </w:rPr>
        <w:t>（药品生产质量管理规范）、</w:t>
      </w:r>
      <w:r>
        <w:rPr>
          <w:rFonts w:ascii="仿宋_GB2312" w:eastAsia="仿宋_GB2312" w:hAnsi="仿宋_GB2312"/>
          <w:sz w:val="24"/>
        </w:rPr>
        <w:t>GAP</w:t>
      </w:r>
      <w:r>
        <w:rPr>
          <w:rFonts w:ascii="仿宋_GB2312" w:eastAsia="仿宋_GB2312" w:hAnsi="仿宋_GB2312"/>
          <w:sz w:val="24"/>
        </w:rPr>
        <w:t>（中药材生产质量管理规范）等相关认证，新药研制企业符合《药品非临床研究质量管理规范》（</w:t>
      </w:r>
      <w:r>
        <w:rPr>
          <w:rFonts w:ascii="仿宋_GB2312" w:eastAsia="仿宋_GB2312" w:hAnsi="仿宋_GB2312"/>
          <w:sz w:val="24"/>
        </w:rPr>
        <w:t>GLP</w:t>
      </w:r>
      <w:r>
        <w:rPr>
          <w:rFonts w:ascii="仿宋_GB2312" w:eastAsia="仿宋_GB2312" w:hAnsi="仿宋_GB2312"/>
          <w:sz w:val="24"/>
        </w:rPr>
        <w:t>）和《药品临床实验管理规范》（</w:t>
      </w:r>
      <w:r>
        <w:rPr>
          <w:rFonts w:ascii="仿宋_GB2312" w:eastAsia="仿宋_GB2312" w:hAnsi="仿宋_GB2312"/>
          <w:sz w:val="24"/>
        </w:rPr>
        <w:t>GCP</w:t>
      </w:r>
      <w:r>
        <w:rPr>
          <w:rFonts w:ascii="仿宋_GB2312" w:eastAsia="仿宋_GB2312" w:hAnsi="仿宋_GB2312"/>
          <w:sz w:val="24"/>
        </w:rPr>
        <w:t>）；</w:t>
      </w:r>
    </w:p>
    <w:p w:rsidR="00000000" w:rsidRDefault="000A1C5E">
      <w:pPr>
        <w:autoSpaceDN w:val="0"/>
        <w:snapToGrid w:val="0"/>
        <w:spacing w:beforeAutospacing="1" w:afterAutospacing="1" w:line="312" w:lineRule="auto"/>
        <w:ind w:left="-46" w:firstLine="353"/>
        <w:rPr>
          <w:rFonts w:ascii="宋体" w:hAnsi="宋体"/>
          <w:sz w:val="24"/>
        </w:rPr>
      </w:pPr>
      <w:r>
        <w:rPr>
          <w:rFonts w:ascii="仿宋_GB2312" w:eastAsia="仿宋_GB2312" w:hAnsi="仿宋_GB2312"/>
          <w:sz w:val="24"/>
        </w:rPr>
        <w:t>（</w:t>
      </w:r>
      <w:r>
        <w:rPr>
          <w:rFonts w:ascii="仿宋_GB2312" w:eastAsia="仿宋_GB2312" w:hAnsi="仿宋_GB2312"/>
          <w:sz w:val="24"/>
        </w:rPr>
        <w:t>2</w:t>
      </w:r>
      <w:r>
        <w:rPr>
          <w:rFonts w:ascii="仿宋_GB2312" w:eastAsia="仿宋_GB2312" w:hAnsi="仿宋_GB2312"/>
          <w:sz w:val="24"/>
        </w:rPr>
        <w:t>）环保达标，</w:t>
      </w:r>
      <w:r>
        <w:rPr>
          <w:rFonts w:ascii="仿宋_GB2312" w:eastAsia="仿宋_GB2312" w:hAnsi="仿宋_GB2312"/>
          <w:sz w:val="24"/>
        </w:rPr>
        <w:t>“</w:t>
      </w:r>
      <w:r>
        <w:rPr>
          <w:rFonts w:ascii="仿宋_GB2312" w:eastAsia="仿宋_GB2312" w:hAnsi="仿宋_GB2312"/>
          <w:sz w:val="24"/>
        </w:rPr>
        <w:t>三废</w:t>
      </w:r>
      <w:r>
        <w:rPr>
          <w:rFonts w:ascii="仿宋_GB2312" w:eastAsia="仿宋_GB2312" w:hAnsi="仿宋_GB2312"/>
          <w:sz w:val="24"/>
        </w:rPr>
        <w:t>”</w:t>
      </w:r>
      <w:r>
        <w:rPr>
          <w:rFonts w:ascii="仿宋_GB2312" w:eastAsia="仿宋_GB2312" w:hAnsi="仿宋_GB2312"/>
          <w:sz w:val="24"/>
        </w:rPr>
        <w:t>排放符合行业排放标准要求；</w:t>
      </w:r>
    </w:p>
    <w:p w:rsidR="00000000" w:rsidRDefault="000A1C5E">
      <w:pPr>
        <w:autoSpaceDN w:val="0"/>
        <w:snapToGrid w:val="0"/>
        <w:spacing w:beforeAutospacing="1" w:afterAutospacing="1" w:line="312" w:lineRule="auto"/>
        <w:ind w:left="-46" w:firstLine="353"/>
        <w:rPr>
          <w:rFonts w:ascii="宋体" w:hAnsi="宋体"/>
          <w:sz w:val="24"/>
        </w:rPr>
      </w:pPr>
      <w:r>
        <w:rPr>
          <w:rFonts w:ascii="仿宋_GB2312" w:eastAsia="仿宋_GB2312" w:hAnsi="仿宋_GB2312"/>
          <w:sz w:val="24"/>
        </w:rPr>
        <w:lastRenderedPageBreak/>
        <w:t>（</w:t>
      </w:r>
      <w:r>
        <w:rPr>
          <w:rFonts w:ascii="仿宋_GB2312" w:eastAsia="仿宋_GB2312" w:hAnsi="仿宋_GB2312"/>
          <w:sz w:val="24"/>
        </w:rPr>
        <w:t>3</w:t>
      </w:r>
      <w:r>
        <w:rPr>
          <w:rFonts w:ascii="仿宋_GB2312" w:eastAsia="仿宋_GB2312" w:hAnsi="仿宋_GB2312"/>
          <w:sz w:val="24"/>
        </w:rPr>
        <w:t>）产品符合国家产业政策要求且市场需求稳定，未列入国家《产业结构调整指导目录（</w:t>
      </w:r>
      <w:r>
        <w:rPr>
          <w:rFonts w:ascii="仿宋_GB2312" w:eastAsia="仿宋_GB2312" w:hAnsi="仿宋_GB2312"/>
          <w:sz w:val="24"/>
        </w:rPr>
        <w:t>2011</w:t>
      </w:r>
      <w:r>
        <w:rPr>
          <w:rFonts w:ascii="仿宋_GB2312" w:eastAsia="仿宋_GB2312" w:hAnsi="仿宋_GB2312"/>
          <w:sz w:val="24"/>
        </w:rPr>
        <w:t>年本）》中的淘汰类和限制类、以及《当前部分行业制止低水平重复建设目录》或《外商投资产业目录（</w:t>
      </w:r>
      <w:r>
        <w:rPr>
          <w:rFonts w:ascii="仿宋_GB2312" w:eastAsia="仿宋_GB2312" w:hAnsi="仿宋_GB2312"/>
          <w:sz w:val="24"/>
        </w:rPr>
        <w:t>2011</w:t>
      </w:r>
      <w:r>
        <w:rPr>
          <w:rFonts w:ascii="仿宋_GB2312" w:eastAsia="仿宋_GB2312" w:hAnsi="仿宋_GB2312"/>
          <w:sz w:val="24"/>
        </w:rPr>
        <w:t>年修订）》中的禁止类和限制类；</w:t>
      </w:r>
    </w:p>
    <w:p w:rsidR="00000000" w:rsidRDefault="000A1C5E">
      <w:pPr>
        <w:autoSpaceDN w:val="0"/>
        <w:snapToGrid w:val="0"/>
        <w:spacing w:beforeAutospacing="1" w:afterAutospacing="1" w:line="312" w:lineRule="auto"/>
        <w:ind w:left="-46" w:firstLine="353"/>
        <w:rPr>
          <w:rFonts w:ascii="宋体" w:hAnsi="宋体"/>
          <w:sz w:val="24"/>
        </w:rPr>
      </w:pPr>
      <w:r>
        <w:rPr>
          <w:rFonts w:ascii="仿宋_GB2312" w:eastAsia="仿宋_GB2312" w:hAnsi="仿宋_GB2312"/>
          <w:sz w:val="24"/>
        </w:rPr>
        <w:t>（</w:t>
      </w:r>
      <w:r>
        <w:rPr>
          <w:rFonts w:ascii="仿宋_GB2312" w:eastAsia="仿宋_GB2312" w:hAnsi="仿宋_GB2312"/>
          <w:sz w:val="24"/>
        </w:rPr>
        <w:t>4</w:t>
      </w:r>
      <w:r>
        <w:rPr>
          <w:rFonts w:ascii="仿宋_GB2312" w:eastAsia="仿宋_GB2312" w:hAnsi="仿宋_GB2312"/>
          <w:sz w:val="24"/>
        </w:rPr>
        <w:t>）经营财务状况正常，资产负债率原则上应不高于以下水平：中成</w:t>
      </w:r>
      <w:r>
        <w:rPr>
          <w:rFonts w:ascii="仿宋_GB2312" w:eastAsia="仿宋_GB2312" w:hAnsi="仿宋_GB2312"/>
          <w:sz w:val="24"/>
        </w:rPr>
        <w:t>药子行业、中药饮品子行业和生物制药子行业</w:t>
      </w:r>
      <w:r>
        <w:rPr>
          <w:rFonts w:ascii="仿宋_GB2312" w:eastAsia="仿宋_GB2312" w:hAnsi="仿宋_GB2312"/>
          <w:sz w:val="24"/>
        </w:rPr>
        <w:t>60%</w:t>
      </w:r>
      <w:r>
        <w:rPr>
          <w:rFonts w:ascii="仿宋_GB2312" w:eastAsia="仿宋_GB2312" w:hAnsi="仿宋_GB2312"/>
          <w:sz w:val="24"/>
        </w:rPr>
        <w:t>、化学制剂药子行业和化学原料药子行业</w:t>
      </w:r>
      <w:r>
        <w:rPr>
          <w:rFonts w:ascii="仿宋_GB2312" w:eastAsia="仿宋_GB2312" w:hAnsi="仿宋_GB2312"/>
          <w:sz w:val="24"/>
        </w:rPr>
        <w:t>70%</w:t>
      </w:r>
      <w:r>
        <w:rPr>
          <w:rFonts w:ascii="仿宋_GB2312" w:eastAsia="仿宋_GB2312" w:hAnsi="仿宋_GB2312"/>
          <w:sz w:val="24"/>
        </w:rPr>
        <w:t>。</w:t>
      </w:r>
    </w:p>
    <w:p w:rsidR="00000000" w:rsidRDefault="000A1C5E">
      <w:pPr>
        <w:autoSpaceDN w:val="0"/>
        <w:snapToGrid w:val="0"/>
        <w:spacing w:beforeAutospacing="1" w:afterAutospacing="1" w:line="312" w:lineRule="auto"/>
        <w:ind w:firstLine="315"/>
        <w:jc w:val="left"/>
        <w:rPr>
          <w:rFonts w:ascii="宋体" w:hAnsi="宋体"/>
          <w:sz w:val="24"/>
        </w:rPr>
      </w:pPr>
      <w:r>
        <w:rPr>
          <w:rFonts w:ascii="仿宋_GB2312" w:eastAsia="仿宋_GB2312" w:hAnsi="仿宋_GB2312"/>
          <w:sz w:val="24"/>
        </w:rPr>
        <w:t>（</w:t>
      </w:r>
      <w:r>
        <w:rPr>
          <w:rFonts w:ascii="仿宋_GB2312" w:eastAsia="仿宋_GB2312" w:hAnsi="仿宋_GB2312"/>
          <w:sz w:val="24"/>
        </w:rPr>
        <w:t>5</w:t>
      </w:r>
      <w:r>
        <w:rPr>
          <w:rFonts w:ascii="仿宋_GB2312" w:eastAsia="仿宋_GB2312" w:hAnsi="仿宋_GB2312"/>
          <w:sz w:val="24"/>
        </w:rPr>
        <w:t>）对于生物制药子行业客户，还须同时满足：近三年平均销售收入</w:t>
      </w:r>
      <w:r>
        <w:rPr>
          <w:rFonts w:ascii="仿宋_GB2312" w:eastAsia="仿宋_GB2312" w:hAnsi="仿宋_GB2312"/>
          <w:sz w:val="24"/>
        </w:rPr>
        <w:t>≥5000</w:t>
      </w:r>
      <w:r>
        <w:rPr>
          <w:rFonts w:ascii="仿宋_GB2312" w:eastAsia="仿宋_GB2312" w:hAnsi="仿宋_GB2312"/>
          <w:sz w:val="24"/>
        </w:rPr>
        <w:t>万元；连续三年盈利，且利润率不低于</w:t>
      </w:r>
      <w:r>
        <w:rPr>
          <w:rFonts w:ascii="仿宋_GB2312" w:eastAsia="仿宋_GB2312" w:hAnsi="仿宋_GB2312"/>
          <w:sz w:val="24"/>
        </w:rPr>
        <w:t>10%</w:t>
      </w:r>
      <w:r>
        <w:rPr>
          <w:rFonts w:ascii="仿宋_GB2312" w:eastAsia="仿宋_GB2312" w:hAnsi="仿宋_GB2312"/>
          <w:sz w:val="24"/>
        </w:rPr>
        <w:t>；主营产品获得国家一类、二类、三类新药证书。</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b/>
          <w:sz w:val="24"/>
        </w:rPr>
        <w:t>4.</w:t>
      </w:r>
      <w:r>
        <w:rPr>
          <w:rFonts w:ascii="仿宋_GB2312" w:eastAsia="仿宋_GB2312" w:hAnsi="仿宋_GB2312"/>
          <w:b/>
          <w:sz w:val="24"/>
        </w:rPr>
        <w:t>项目准入标准</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1</w:t>
      </w:r>
      <w:r>
        <w:rPr>
          <w:rFonts w:ascii="仿宋_GB2312" w:eastAsia="仿宋_GB2312" w:hAnsi="仿宋_GB2312"/>
          <w:sz w:val="24"/>
        </w:rPr>
        <w:t>）项目投资方或承贷主体达到我行第一层级客户准入标准；</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2</w:t>
      </w:r>
      <w:r>
        <w:rPr>
          <w:rFonts w:ascii="仿宋_GB2312" w:eastAsia="仿宋_GB2312" w:hAnsi="仿宋_GB2312"/>
          <w:sz w:val="24"/>
        </w:rPr>
        <w:t>）项目核准（备案）、环评、土地、药品生产许可证等合法性批复齐备有效；</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3</w:t>
      </w:r>
      <w:r>
        <w:rPr>
          <w:rFonts w:ascii="仿宋_GB2312" w:eastAsia="仿宋_GB2312" w:hAnsi="仿宋_GB2312"/>
          <w:sz w:val="24"/>
        </w:rPr>
        <w:t>）新建项目须符合新版</w:t>
      </w:r>
      <w:r>
        <w:rPr>
          <w:rFonts w:ascii="仿宋_GB2312" w:eastAsia="仿宋_GB2312" w:hAnsi="仿宋_GB2312"/>
          <w:sz w:val="24"/>
        </w:rPr>
        <w:t>GMP</w:t>
      </w:r>
      <w:r>
        <w:rPr>
          <w:rFonts w:ascii="仿宋_GB2312" w:eastAsia="仿宋_GB2312" w:hAnsi="仿宋_GB2312"/>
          <w:sz w:val="24"/>
        </w:rPr>
        <w:t>标准；</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4</w:t>
      </w:r>
      <w:r>
        <w:rPr>
          <w:rFonts w:ascii="仿宋_GB2312" w:eastAsia="仿宋_GB2312" w:hAnsi="仿宋_GB2312"/>
          <w:sz w:val="24"/>
        </w:rPr>
        <w:t>）项目资本金比率不低于</w:t>
      </w:r>
      <w:r>
        <w:rPr>
          <w:rFonts w:ascii="仿宋_GB2312" w:eastAsia="仿宋_GB2312" w:hAnsi="仿宋_GB2312"/>
          <w:sz w:val="24"/>
        </w:rPr>
        <w:t>30%</w:t>
      </w:r>
      <w:r>
        <w:rPr>
          <w:rFonts w:ascii="仿宋_GB2312" w:eastAsia="仿宋_GB2312" w:hAnsi="仿宋_GB2312"/>
          <w:sz w:val="24"/>
        </w:rPr>
        <w:t>；</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5</w:t>
      </w:r>
      <w:r>
        <w:rPr>
          <w:rFonts w:ascii="仿宋_GB2312" w:eastAsia="仿宋_GB2312" w:hAnsi="仿宋_GB2312"/>
          <w:sz w:val="24"/>
        </w:rPr>
        <w:t>）固定资产贷款业务期限原则上应控制</w:t>
      </w:r>
      <w:r>
        <w:rPr>
          <w:rFonts w:ascii="仿宋_GB2312" w:eastAsia="仿宋_GB2312" w:hAnsi="仿宋_GB2312"/>
          <w:sz w:val="24"/>
        </w:rPr>
        <w:t>在</w:t>
      </w:r>
      <w:r>
        <w:rPr>
          <w:rFonts w:ascii="仿宋_GB2312" w:eastAsia="仿宋_GB2312" w:hAnsi="仿宋_GB2312"/>
          <w:sz w:val="24"/>
        </w:rPr>
        <w:t>5</w:t>
      </w:r>
      <w:r>
        <w:rPr>
          <w:rFonts w:ascii="仿宋_GB2312" w:eastAsia="仿宋_GB2312" w:hAnsi="仿宋_GB2312"/>
          <w:sz w:val="24"/>
        </w:rPr>
        <w:t>年内。</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b/>
          <w:sz w:val="24"/>
        </w:rPr>
        <w:t>5.</w:t>
      </w:r>
      <w:r>
        <w:rPr>
          <w:rFonts w:ascii="仿宋_GB2312" w:eastAsia="仿宋_GB2312" w:hAnsi="仿宋_GB2312"/>
          <w:b/>
          <w:sz w:val="24"/>
        </w:rPr>
        <w:t>非信贷业务策略</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医药制造行业可适度开展非信贷业务，目标客户以我行第一、二层级客户为主，其中第二层级客户开展非信贷业务应限于经营周转类、应收账款池融资</w:t>
      </w:r>
      <w:r>
        <w:rPr>
          <w:rFonts w:ascii="仿宋_GB2312" w:eastAsia="仿宋_GB2312" w:hAnsi="仿宋_GB2312"/>
          <w:sz w:val="24"/>
        </w:rPr>
        <w:t>(</w:t>
      </w:r>
      <w:r>
        <w:rPr>
          <w:rFonts w:ascii="仿宋_GB2312" w:eastAsia="仿宋_GB2312" w:hAnsi="仿宋_GB2312"/>
          <w:sz w:val="24"/>
        </w:rPr>
        <w:t>应收账款对象应为当地二甲及以上医院、大型医药批发企业和大型医药分销商</w:t>
      </w:r>
      <w:r>
        <w:rPr>
          <w:rFonts w:ascii="仿宋_GB2312" w:eastAsia="仿宋_GB2312" w:hAnsi="仿宋_GB2312"/>
          <w:sz w:val="24"/>
        </w:rPr>
        <w:t>)</w:t>
      </w:r>
      <w:r>
        <w:rPr>
          <w:rFonts w:ascii="仿宋_GB2312" w:eastAsia="仿宋_GB2312" w:hAnsi="仿宋_GB2312"/>
          <w:sz w:val="24"/>
        </w:rPr>
        <w:t>、票据池融资等短期品种，原则上不介入固定资产建设融资和股权类融资。</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b/>
          <w:sz w:val="24"/>
        </w:rPr>
        <w:t>6.</w:t>
      </w:r>
      <w:r>
        <w:rPr>
          <w:rFonts w:ascii="仿宋_GB2312" w:eastAsia="仿宋_GB2312" w:hAnsi="仿宋_GB2312"/>
          <w:b/>
          <w:sz w:val="24"/>
        </w:rPr>
        <w:t>区域策略</w:t>
      </w:r>
    </w:p>
    <w:p w:rsidR="00000000" w:rsidRDefault="000A1C5E">
      <w:pPr>
        <w:autoSpaceDN w:val="0"/>
        <w:spacing w:beforeAutospacing="1" w:afterAutospacing="1"/>
        <w:ind w:firstLine="420"/>
        <w:rPr>
          <w:rFonts w:ascii="宋体" w:hAnsi="宋体"/>
          <w:sz w:val="24"/>
        </w:rPr>
      </w:pPr>
      <w:r>
        <w:rPr>
          <w:rFonts w:ascii="宋体" w:hAnsi="宋体"/>
          <w:color w:val="000000"/>
        </w:rPr>
        <w:t>医药制造百强企业分布具有较明显的地域特征，对于入围企业较多的山东、江苏、北京、上海和浙江等重点省份，相关分行应加大和辖内百强企业的合作力度，积极提升市场占比；此外两广和西南地区分行，可优选拥有药</w:t>
      </w:r>
      <w:r>
        <w:rPr>
          <w:rFonts w:ascii="宋体" w:hAnsi="宋体"/>
          <w:color w:val="000000"/>
        </w:rPr>
        <w:t>材生产基地或产业链资源、有定价能力和政策优势的现代中药制造企业，结合企业经营需求合理安排授信方案，信贷资源应向贸易融资等低资本消耗业务品种倾斜。</w:t>
      </w:r>
    </w:p>
    <w:p w:rsidR="00000000" w:rsidRDefault="000A1C5E">
      <w:pPr>
        <w:autoSpaceDN w:val="0"/>
        <w:spacing w:before="210" w:after="210"/>
        <w:ind w:firstLine="420"/>
        <w:rPr>
          <w:rFonts w:ascii="宋体" w:hAnsi="宋体"/>
          <w:b/>
          <w:sz w:val="24"/>
        </w:rPr>
      </w:pPr>
      <w:r>
        <w:rPr>
          <w:rFonts w:ascii="仿宋_GB2312" w:eastAsia="仿宋_GB2312" w:hAnsi="仿宋_GB2312"/>
          <w:b/>
          <w:sz w:val="24"/>
        </w:rPr>
        <w:lastRenderedPageBreak/>
        <w:t>（三）风险管控及结构调整要求</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b/>
          <w:sz w:val="24"/>
        </w:rPr>
        <w:t>1.</w:t>
      </w:r>
      <w:r>
        <w:rPr>
          <w:rFonts w:ascii="仿宋_GB2312" w:eastAsia="仿宋_GB2312" w:hAnsi="仿宋_GB2312"/>
          <w:b/>
          <w:sz w:val="24"/>
        </w:rPr>
        <w:t>风险提示及管控要求</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1</w:t>
      </w:r>
      <w:r>
        <w:rPr>
          <w:rFonts w:ascii="仿宋_GB2312" w:eastAsia="仿宋_GB2312" w:hAnsi="仿宋_GB2312"/>
          <w:sz w:val="24"/>
        </w:rPr>
        <w:t>）产品风险。</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一是产品降价风险。在基本药物制度框架下，由各省主导的药品集中采购模式将驱动药品中标价格下调，未来药品价格下降仍将是主旋律，业内主导产品为普药和高价药品种、成本控制能力弱、产品毛利率较低的企业将面临盈利下降甚至亏损出局的风险；二是产品替代风险。随着医药研制技术的进步和国家加大医药创新扶持政策的实</w:t>
      </w:r>
      <w:r>
        <w:rPr>
          <w:rFonts w:ascii="仿宋_GB2312" w:eastAsia="仿宋_GB2312" w:hAnsi="仿宋_GB2312"/>
          <w:sz w:val="24"/>
        </w:rPr>
        <w:t>施，疗效更好、副作用更低的创新药品将进入市场，对相似老药品形成更新换代，无法完成产品转型或升级的企业将被淘汰；三是产品线单一风险。部分制药企业产品线单一，且不具备新药研发能力，难以应对市场需求的变化和同业间激烈的竞争。</w:t>
      </w:r>
    </w:p>
    <w:p w:rsidR="00000000" w:rsidRDefault="000A1C5E">
      <w:pPr>
        <w:autoSpaceDN w:val="0"/>
        <w:spacing w:beforeAutospacing="1" w:afterAutospacing="1"/>
        <w:ind w:firstLine="420"/>
        <w:rPr>
          <w:rFonts w:ascii="宋体" w:hAnsi="宋体"/>
          <w:sz w:val="24"/>
        </w:rPr>
      </w:pPr>
      <w:r>
        <w:rPr>
          <w:rFonts w:ascii="宋体" w:hAnsi="宋体"/>
          <w:color w:val="000000"/>
        </w:rPr>
        <w:t>（</w:t>
      </w:r>
      <w:r>
        <w:rPr>
          <w:rFonts w:ascii="宋体" w:hAnsi="宋体"/>
          <w:color w:val="000000"/>
        </w:rPr>
        <w:t>2</w:t>
      </w:r>
      <w:r>
        <w:rPr>
          <w:rFonts w:ascii="宋体" w:hAnsi="宋体"/>
          <w:color w:val="000000"/>
        </w:rPr>
        <w:t>）国家抑制产能过剩举措对领域内企业经营带来一定影响。目前，国家已着手通过价格机制抑制资源浪费和重复建设，如发改委《药品价格管理办法（征求意见稿）》对仿制药价格做出限定，办法有望近期定稿出台，此举将对仿制药企的收入盈利情况造成一定影响。</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3</w:t>
      </w:r>
      <w:r>
        <w:rPr>
          <w:rFonts w:ascii="仿宋_GB2312" w:eastAsia="仿宋_GB2312" w:hAnsi="仿宋_GB2312"/>
          <w:sz w:val="24"/>
        </w:rPr>
        <w:t>）集团关联互保和频繁资本运作、多元化经营风险。部</w:t>
      </w:r>
      <w:r>
        <w:rPr>
          <w:rFonts w:ascii="仿宋_GB2312" w:eastAsia="仿宋_GB2312" w:hAnsi="仿宋_GB2312"/>
          <w:sz w:val="24"/>
        </w:rPr>
        <w:t>分医药集团内部企业关联互保现象突出，担保条件较弱；部分企业资本运作频繁，跨领域、跨地域快速扩张、多元化经营，经营前景存在一定不确定性。</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4</w:t>
      </w:r>
      <w:r>
        <w:rPr>
          <w:rFonts w:ascii="仿宋_GB2312" w:eastAsia="仿宋_GB2312" w:hAnsi="仿宋_GB2312"/>
          <w:sz w:val="24"/>
        </w:rPr>
        <w:t>）频发药品质量安全事件。</w:t>
      </w:r>
      <w:r>
        <w:rPr>
          <w:rFonts w:ascii="仿宋_GB2312" w:eastAsia="仿宋_GB2312" w:hAnsi="仿宋_GB2312"/>
          <w:sz w:val="24"/>
        </w:rPr>
        <w:t>2012</w:t>
      </w:r>
      <w:r>
        <w:rPr>
          <w:rFonts w:ascii="仿宋_GB2312" w:eastAsia="仿宋_GB2312" w:hAnsi="仿宋_GB2312"/>
          <w:sz w:val="24"/>
        </w:rPr>
        <w:t>年多起药品质量安全事件已引发全社会的高度重视，对医药行业和相关企业的影响仍将持续一段发酵期，各分行应保持重点关注。随着国家相关规定的出台，生产过程不达标、生产原料不合格的医药制造企业，特别是备受公众关注的中成药制造领域，将面临淘汰出局的风险。</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5</w:t>
      </w:r>
      <w:r>
        <w:rPr>
          <w:rFonts w:ascii="仿宋_GB2312" w:eastAsia="仿宋_GB2312" w:hAnsi="仿宋_GB2312"/>
          <w:sz w:val="24"/>
        </w:rPr>
        <w:t>）产业整合及环保升级过程中企业关停风险。目前我国医药制造业集中度处于较低水平，伴随着行业内生</w:t>
      </w:r>
      <w:r>
        <w:rPr>
          <w:rFonts w:ascii="仿宋_GB2312" w:eastAsia="仿宋_GB2312" w:hAnsi="仿宋_GB2312"/>
          <w:sz w:val="24"/>
        </w:rPr>
        <w:t>需求和新版</w:t>
      </w:r>
      <w:r>
        <w:rPr>
          <w:rFonts w:ascii="仿宋_GB2312" w:eastAsia="仿宋_GB2312" w:hAnsi="仿宋_GB2312"/>
          <w:sz w:val="24"/>
        </w:rPr>
        <w:t>GMP</w:t>
      </w:r>
      <w:r>
        <w:rPr>
          <w:rFonts w:ascii="仿宋_GB2312" w:eastAsia="仿宋_GB2312" w:hAnsi="仿宋_GB2312"/>
          <w:sz w:val="24"/>
        </w:rPr>
        <w:t>实施、中药产业</w:t>
      </w:r>
      <w:r>
        <w:rPr>
          <w:rFonts w:ascii="仿宋_GB2312" w:eastAsia="仿宋_GB2312" w:hAnsi="仿宋_GB2312"/>
          <w:sz w:val="24"/>
        </w:rPr>
        <w:t>“</w:t>
      </w:r>
      <w:r>
        <w:rPr>
          <w:rFonts w:ascii="仿宋_GB2312" w:eastAsia="仿宋_GB2312" w:hAnsi="仿宋_GB2312"/>
          <w:sz w:val="24"/>
        </w:rPr>
        <w:t>十二五</w:t>
      </w:r>
      <w:r>
        <w:rPr>
          <w:rFonts w:ascii="仿宋_GB2312" w:eastAsia="仿宋_GB2312" w:hAnsi="仿宋_GB2312"/>
          <w:sz w:val="24"/>
        </w:rPr>
        <w:t>”</w:t>
      </w:r>
      <w:r>
        <w:rPr>
          <w:rFonts w:ascii="仿宋_GB2312" w:eastAsia="仿宋_GB2312" w:hAnsi="仿宋_GB2312"/>
          <w:sz w:val="24"/>
        </w:rPr>
        <w:t>规划等外部政策的共同作用，产业集中度将大幅提升。产业整合升级过程中，环境部门亦加大对环保的要求力度，如</w:t>
      </w:r>
      <w:r>
        <w:rPr>
          <w:rFonts w:ascii="仿宋_GB2312" w:eastAsia="仿宋_GB2312" w:hAnsi="仿宋_GB2312"/>
          <w:sz w:val="24"/>
        </w:rPr>
        <w:t>2013</w:t>
      </w:r>
      <w:r>
        <w:rPr>
          <w:rFonts w:ascii="仿宋_GB2312" w:eastAsia="仿宋_GB2312" w:hAnsi="仿宋_GB2312"/>
          <w:sz w:val="24"/>
        </w:rPr>
        <w:t>年</w:t>
      </w:r>
      <w:r>
        <w:rPr>
          <w:rFonts w:ascii="仿宋_GB2312" w:eastAsia="仿宋_GB2312" w:hAnsi="仿宋_GB2312"/>
          <w:sz w:val="24"/>
        </w:rPr>
        <w:t>5</w:t>
      </w:r>
      <w:r>
        <w:rPr>
          <w:rFonts w:ascii="仿宋_GB2312" w:eastAsia="仿宋_GB2312" w:hAnsi="仿宋_GB2312"/>
          <w:sz w:val="24"/>
        </w:rPr>
        <w:t>月环保部等八部委联合开展环保专项行动，重点整治医药行业污染，需密切关注化学制剂子行业环保不达标和中药饮片子行业整合兼并导致企业关停的风险。</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w:t>
      </w:r>
      <w:r>
        <w:rPr>
          <w:rFonts w:ascii="仿宋_GB2312" w:eastAsia="仿宋_GB2312" w:hAnsi="仿宋_GB2312"/>
          <w:sz w:val="24"/>
        </w:rPr>
        <w:t>6</w:t>
      </w:r>
      <w:r>
        <w:rPr>
          <w:rFonts w:ascii="仿宋_GB2312" w:eastAsia="仿宋_GB2312" w:hAnsi="仿宋_GB2312"/>
          <w:sz w:val="24"/>
        </w:rPr>
        <w:t>）企业兼并重组过程中的风险。</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lastRenderedPageBreak/>
        <w:t>在工信部联合</w:t>
      </w:r>
      <w:r>
        <w:rPr>
          <w:rFonts w:ascii="仿宋_GB2312" w:eastAsia="仿宋_GB2312" w:hAnsi="仿宋_GB2312"/>
          <w:sz w:val="24"/>
        </w:rPr>
        <w:t>11</w:t>
      </w:r>
      <w:r>
        <w:rPr>
          <w:rFonts w:ascii="仿宋_GB2312" w:eastAsia="仿宋_GB2312" w:hAnsi="仿宋_GB2312"/>
          <w:sz w:val="24"/>
        </w:rPr>
        <w:t>部委发文推进重点行业企业兼并收购、提升行业集中度的要求下，应对相关企业风险予以关注：一方面，基本药物主要品种销量排名</w:t>
      </w:r>
      <w:r>
        <w:rPr>
          <w:rFonts w:ascii="仿宋_GB2312" w:eastAsia="仿宋_GB2312" w:hAnsi="仿宋_GB2312"/>
          <w:sz w:val="24"/>
        </w:rPr>
        <w:t>20</w:t>
      </w:r>
      <w:r>
        <w:rPr>
          <w:rFonts w:ascii="仿宋_GB2312" w:eastAsia="仿宋_GB2312" w:hAnsi="仿宋_GB2312"/>
          <w:sz w:val="24"/>
        </w:rPr>
        <w:t>位以后的企业市场份额将压缩至</w:t>
      </w:r>
      <w:r>
        <w:rPr>
          <w:rFonts w:ascii="仿宋_GB2312" w:eastAsia="仿宋_GB2312" w:hAnsi="仿宋_GB2312"/>
          <w:sz w:val="24"/>
        </w:rPr>
        <w:t>20%</w:t>
      </w:r>
      <w:r>
        <w:rPr>
          <w:rFonts w:ascii="仿宋_GB2312" w:eastAsia="仿宋_GB2312" w:hAnsi="仿宋_GB2312"/>
          <w:sz w:val="24"/>
        </w:rPr>
        <w:t>以内，意味着该</w:t>
      </w:r>
      <w:r>
        <w:rPr>
          <w:rFonts w:ascii="仿宋_GB2312" w:eastAsia="仿宋_GB2312" w:hAnsi="仿宋_GB2312"/>
          <w:sz w:val="24"/>
        </w:rPr>
        <w:t>类产品边缘企业的生存空间受到进一步挤压。故对预期无法进入基本药物市场前</w:t>
      </w:r>
      <w:r>
        <w:rPr>
          <w:rFonts w:ascii="仿宋_GB2312" w:eastAsia="仿宋_GB2312" w:hAnsi="仿宋_GB2312"/>
          <w:sz w:val="24"/>
        </w:rPr>
        <w:t>20</w:t>
      </w:r>
      <w:r>
        <w:rPr>
          <w:rFonts w:ascii="仿宋_GB2312" w:eastAsia="仿宋_GB2312" w:hAnsi="仿宋_GB2312"/>
          <w:sz w:val="24"/>
        </w:rPr>
        <w:t>位的一般企业、经营前景不明朗企业应加大减退加固力度，切实防范风险。另一方面，并购主体主要兼并目标为被并购主体的核心资产，其非核心资产和债务有可能悬空，故对潜在被并购对象，我行授信应落实核心资产抵押以确保未来并购中的主动地位。</w:t>
      </w:r>
    </w:p>
    <w:p w:rsidR="00000000" w:rsidRDefault="000A1C5E">
      <w:pPr>
        <w:autoSpaceDN w:val="0"/>
        <w:spacing w:beforeAutospacing="1" w:afterAutospacing="1"/>
        <w:ind w:firstLine="464"/>
        <w:rPr>
          <w:rFonts w:ascii="宋体" w:hAnsi="宋体"/>
          <w:sz w:val="24"/>
        </w:rPr>
      </w:pPr>
      <w:r>
        <w:rPr>
          <w:rFonts w:ascii="宋体" w:hAnsi="宋体"/>
          <w:b/>
          <w:color w:val="000000"/>
        </w:rPr>
        <w:t>2.</w:t>
      </w:r>
      <w:r>
        <w:rPr>
          <w:rFonts w:ascii="宋体" w:hAnsi="宋体"/>
          <w:b/>
          <w:color w:val="000000"/>
        </w:rPr>
        <w:t>结构调整要求</w:t>
      </w:r>
    </w:p>
    <w:p w:rsidR="00000000" w:rsidRDefault="000A1C5E">
      <w:pPr>
        <w:autoSpaceDN w:val="0"/>
        <w:spacing w:beforeAutospacing="1" w:afterAutospacing="1"/>
        <w:ind w:firstLine="464"/>
        <w:rPr>
          <w:rFonts w:ascii="宋体" w:hAnsi="宋体"/>
          <w:sz w:val="24"/>
        </w:rPr>
      </w:pPr>
      <w:r>
        <w:rPr>
          <w:rFonts w:ascii="宋体" w:hAnsi="宋体"/>
          <w:color w:val="000000"/>
        </w:rPr>
        <w:t>（</w:t>
      </w:r>
      <w:r>
        <w:rPr>
          <w:rFonts w:ascii="宋体" w:hAnsi="宋体"/>
          <w:color w:val="000000"/>
        </w:rPr>
        <w:t>1</w:t>
      </w:r>
      <w:r>
        <w:rPr>
          <w:rFonts w:ascii="宋体" w:hAnsi="宋体"/>
          <w:color w:val="000000"/>
        </w:rPr>
        <w:t>）结合不同子行业经营财务特点合理核定授信额度，并根据行业政策、监管措施动态调整授信策略。</w:t>
      </w:r>
    </w:p>
    <w:p w:rsidR="00000000" w:rsidRDefault="000A1C5E">
      <w:pPr>
        <w:autoSpaceDN w:val="0"/>
        <w:spacing w:beforeAutospacing="1" w:afterAutospacing="1"/>
        <w:ind w:firstLine="464"/>
        <w:rPr>
          <w:rFonts w:ascii="宋体" w:hAnsi="宋体"/>
          <w:sz w:val="24"/>
        </w:rPr>
      </w:pPr>
      <w:r>
        <w:rPr>
          <w:rFonts w:ascii="宋体" w:hAnsi="宋体"/>
          <w:color w:val="000000"/>
        </w:rPr>
        <w:t>针对不同子行业经营财务特点，在授信审查中应有所侧重关注：对化学原料药子行业客户应关注其毛利率、现金流</w:t>
      </w:r>
      <w:r>
        <w:rPr>
          <w:rFonts w:ascii="宋体" w:hAnsi="宋体"/>
          <w:color w:val="000000"/>
        </w:rPr>
        <w:t>和对外投资等情况，针对部分原料药产能过剩现状，应仅介入市场份额较高、后续经营前景稳定的优势企业；对化学制剂子行业客户重点关注其现金流运转情况；对中成药和中药饮品两个子行业客户应关注其品牌优势以及机密、独家或国家保护药方持有等情况；对生物制药子行业客户，关键看其产品是否定型、是否为市场所接纳，审慎把握准入。</w:t>
      </w:r>
    </w:p>
    <w:p w:rsidR="00000000" w:rsidRDefault="000A1C5E">
      <w:pPr>
        <w:autoSpaceDN w:val="0"/>
        <w:spacing w:beforeAutospacing="1" w:afterAutospacing="1"/>
        <w:ind w:firstLine="464"/>
        <w:rPr>
          <w:rFonts w:ascii="宋体" w:hAnsi="宋体"/>
          <w:sz w:val="24"/>
        </w:rPr>
      </w:pPr>
      <w:r>
        <w:rPr>
          <w:rFonts w:ascii="宋体" w:hAnsi="宋体"/>
          <w:color w:val="000000"/>
        </w:rPr>
        <w:t>针对行业政策和监管措施出台频率较高且对相关企业影响较大的特点，分行应及时了解行业政策与信息，包括新医改配套方案、药品降价、环保信息等；跟踪市场走势，包括原材料价格波动、政府集中采购中标情况等，尤其对突发性</w:t>
      </w:r>
      <w:r>
        <w:rPr>
          <w:rFonts w:ascii="宋体" w:hAnsi="宋体"/>
          <w:color w:val="000000"/>
        </w:rPr>
        <w:t>药品安全事件须反应迅速，分析判断授信客户受到的影响及程度、我行授信业务风险有无增加，根据风险管控需要及时调整授信策略，确保我行信贷资产安全。</w:t>
      </w:r>
    </w:p>
    <w:p w:rsidR="00000000" w:rsidRDefault="000A1C5E">
      <w:pPr>
        <w:autoSpaceDN w:val="0"/>
        <w:spacing w:beforeAutospacing="1" w:afterAutospacing="1"/>
        <w:ind w:firstLine="464"/>
        <w:rPr>
          <w:rFonts w:ascii="宋体" w:hAnsi="宋体"/>
          <w:sz w:val="24"/>
        </w:rPr>
      </w:pPr>
      <w:r>
        <w:rPr>
          <w:rFonts w:ascii="宋体" w:hAnsi="宋体"/>
          <w:color w:val="000000"/>
        </w:rPr>
        <w:t>（</w:t>
      </w:r>
      <w:r>
        <w:rPr>
          <w:rFonts w:ascii="宋体" w:hAnsi="宋体"/>
          <w:color w:val="000000"/>
        </w:rPr>
        <w:t>2</w:t>
      </w:r>
      <w:r>
        <w:rPr>
          <w:rFonts w:ascii="宋体" w:hAnsi="宋体"/>
          <w:color w:val="000000"/>
        </w:rPr>
        <w:t>）加强存量客户管理和调整力度，持续做好存量授信结构调整工作。</w:t>
      </w:r>
    </w:p>
    <w:p w:rsidR="00000000" w:rsidRDefault="000A1C5E">
      <w:pPr>
        <w:autoSpaceDN w:val="0"/>
        <w:spacing w:beforeAutospacing="1" w:afterAutospacing="1"/>
        <w:ind w:firstLine="464"/>
        <w:rPr>
          <w:rFonts w:ascii="宋体" w:hAnsi="宋体"/>
          <w:sz w:val="24"/>
        </w:rPr>
      </w:pPr>
      <w:r>
        <w:rPr>
          <w:rFonts w:ascii="宋体" w:hAnsi="宋体"/>
          <w:color w:val="000000"/>
        </w:rPr>
        <w:t>一是加强授后管理。对授信客户资金流向、工艺技术、投资方及管理层素质和关联企业等情况应予以高度重视，密切关注客户的多元化经营、高速扩张及账外经营风险，加强资产规模、销售规模和授信规模的匹配管理，严格控制非主业授信。</w:t>
      </w:r>
    </w:p>
    <w:p w:rsidR="00000000" w:rsidRDefault="000A1C5E">
      <w:pPr>
        <w:autoSpaceDN w:val="0"/>
        <w:spacing w:beforeAutospacing="1" w:afterAutospacing="1"/>
        <w:ind w:firstLine="464"/>
        <w:rPr>
          <w:rFonts w:ascii="宋体" w:hAnsi="宋体"/>
          <w:sz w:val="24"/>
        </w:rPr>
      </w:pPr>
      <w:r>
        <w:rPr>
          <w:rFonts w:ascii="宋体" w:hAnsi="宋体"/>
          <w:color w:val="000000"/>
        </w:rPr>
        <w:t>二是针对我行该行业客户中小型企业占比较大的现状，结合全面风险排查和</w:t>
      </w:r>
      <w:r>
        <w:rPr>
          <w:rFonts w:ascii="宋体" w:hAnsi="宋体"/>
          <w:color w:val="000000"/>
        </w:rPr>
        <w:t>“</w:t>
      </w:r>
      <w:r>
        <w:rPr>
          <w:rFonts w:ascii="宋体" w:hAnsi="宋体"/>
          <w:color w:val="000000"/>
        </w:rPr>
        <w:t>盘活存量</w:t>
      </w:r>
      <w:r>
        <w:rPr>
          <w:rFonts w:ascii="宋体" w:hAnsi="宋体"/>
          <w:color w:val="000000"/>
        </w:rPr>
        <w:t>“</w:t>
      </w:r>
      <w:r>
        <w:rPr>
          <w:rFonts w:ascii="宋体" w:hAnsi="宋体"/>
          <w:color w:val="000000"/>
        </w:rPr>
        <w:t>工作要求，各</w:t>
      </w:r>
      <w:r>
        <w:rPr>
          <w:rFonts w:ascii="宋体" w:hAnsi="宋体"/>
          <w:color w:val="000000"/>
        </w:rPr>
        <w:t>行应进一步增强行业风险意识，着力提高风险识别能力，对不符合我行信贷准入标准的存量客户及风险较大的客户，应通过总额控制、敞口压降、业务及期限结构调整和减退加固降解风险。</w:t>
      </w:r>
    </w:p>
    <w:p w:rsidR="00000000" w:rsidRDefault="000A1C5E">
      <w:pPr>
        <w:autoSpaceDN w:val="0"/>
        <w:spacing w:beforeAutospacing="1" w:afterAutospacing="1"/>
        <w:ind w:firstLine="464"/>
        <w:rPr>
          <w:rFonts w:ascii="宋体" w:hAnsi="宋体"/>
          <w:sz w:val="24"/>
        </w:rPr>
      </w:pPr>
      <w:r>
        <w:rPr>
          <w:rFonts w:ascii="宋体" w:hAnsi="宋体"/>
          <w:color w:val="000000"/>
        </w:rPr>
        <w:t>三是针对存量业务担保方式中保证占比较高、部分担保人实力偏弱的情况，各行在叙做授信业务时，应继续积极争取客户提供有效资产抵质押于我行，进一步提高抵质押担保比例，持续加强抵质押担保管理。</w:t>
      </w:r>
    </w:p>
    <w:p w:rsidR="00000000" w:rsidRDefault="000A1C5E">
      <w:pPr>
        <w:autoSpaceDN w:val="0"/>
        <w:spacing w:beforeAutospacing="1" w:afterAutospacing="1"/>
        <w:ind w:firstLine="464"/>
        <w:rPr>
          <w:rFonts w:ascii="宋体" w:hAnsi="宋体"/>
          <w:sz w:val="24"/>
        </w:rPr>
      </w:pPr>
      <w:r>
        <w:rPr>
          <w:rFonts w:ascii="宋体" w:hAnsi="宋体"/>
          <w:color w:val="000000"/>
        </w:rPr>
        <w:t>四是对存在以下问题的客户，应加快减退力度：</w:t>
      </w:r>
    </w:p>
    <w:p w:rsidR="00000000" w:rsidRDefault="000A1C5E">
      <w:pPr>
        <w:autoSpaceDN w:val="0"/>
        <w:spacing w:beforeAutospacing="1" w:afterAutospacing="1"/>
        <w:ind w:firstLine="464"/>
        <w:rPr>
          <w:rFonts w:ascii="宋体" w:hAnsi="宋体"/>
          <w:sz w:val="24"/>
        </w:rPr>
      </w:pPr>
      <w:r>
        <w:rPr>
          <w:rFonts w:ascii="宋体" w:hAnsi="宋体"/>
          <w:color w:val="000000"/>
        </w:rPr>
        <w:lastRenderedPageBreak/>
        <w:t>①</w:t>
      </w:r>
      <w:r>
        <w:rPr>
          <w:rFonts w:ascii="宋体" w:hAnsi="宋体"/>
          <w:color w:val="000000"/>
        </w:rPr>
        <w:t>产品或项目列入国家《产业结构调整指导目录（</w:t>
      </w:r>
      <w:r>
        <w:rPr>
          <w:rFonts w:ascii="宋体" w:hAnsi="宋体"/>
          <w:color w:val="000000"/>
        </w:rPr>
        <w:t>2011</w:t>
      </w:r>
      <w:r>
        <w:rPr>
          <w:rFonts w:ascii="宋体" w:hAnsi="宋体"/>
          <w:color w:val="000000"/>
        </w:rPr>
        <w:t>年本）》中淘汰类，或列入《当前部分行业制止低水平重复建设目录》或</w:t>
      </w:r>
      <w:r>
        <w:rPr>
          <w:rFonts w:ascii="宋体" w:hAnsi="宋体"/>
          <w:color w:val="000000"/>
        </w:rPr>
        <w:t>《外商投资产业目录（</w:t>
      </w:r>
      <w:r>
        <w:rPr>
          <w:rFonts w:ascii="宋体" w:hAnsi="宋体"/>
          <w:color w:val="000000"/>
        </w:rPr>
        <w:t>2011</w:t>
      </w:r>
      <w:r>
        <w:rPr>
          <w:rFonts w:ascii="宋体" w:hAnsi="宋体"/>
          <w:color w:val="000000"/>
        </w:rPr>
        <w:t>年修订）》中禁止类和限制类的企业；</w:t>
      </w:r>
    </w:p>
    <w:p w:rsidR="00000000" w:rsidRDefault="000A1C5E">
      <w:pPr>
        <w:autoSpaceDN w:val="0"/>
        <w:spacing w:beforeAutospacing="1" w:afterAutospacing="1"/>
        <w:ind w:firstLine="464"/>
        <w:rPr>
          <w:rFonts w:ascii="宋体" w:hAnsi="宋体"/>
          <w:sz w:val="24"/>
        </w:rPr>
      </w:pPr>
      <w:r>
        <w:rPr>
          <w:rFonts w:ascii="宋体" w:hAnsi="宋体"/>
          <w:color w:val="000000"/>
        </w:rPr>
        <w:t>②</w:t>
      </w:r>
      <w:r>
        <w:rPr>
          <w:rFonts w:ascii="宋体" w:hAnsi="宋体"/>
          <w:color w:val="000000"/>
        </w:rPr>
        <w:t>生产过程中</w:t>
      </w:r>
      <w:r>
        <w:rPr>
          <w:rFonts w:ascii="宋体" w:hAnsi="宋体"/>
          <w:color w:val="000000"/>
        </w:rPr>
        <w:t>“</w:t>
      </w:r>
      <w:r>
        <w:rPr>
          <w:rFonts w:ascii="宋体" w:hAnsi="宋体"/>
          <w:color w:val="000000"/>
        </w:rPr>
        <w:t>三废</w:t>
      </w:r>
      <w:r>
        <w:rPr>
          <w:rFonts w:ascii="宋体" w:hAnsi="宋体"/>
          <w:color w:val="000000"/>
        </w:rPr>
        <w:t>”</w:t>
      </w:r>
      <w:r>
        <w:rPr>
          <w:rFonts w:ascii="宋体" w:hAnsi="宋体"/>
          <w:color w:val="000000"/>
        </w:rPr>
        <w:t>排放量大，未达绿色信贷标准，环保风险较高，发生过环保不达标且未整改完毕，或者近三年出现过药品安全重大事故的企业；</w:t>
      </w:r>
    </w:p>
    <w:p w:rsidR="00000000" w:rsidRDefault="000A1C5E">
      <w:pPr>
        <w:autoSpaceDN w:val="0"/>
        <w:spacing w:beforeAutospacing="1" w:afterAutospacing="1"/>
        <w:ind w:firstLine="464"/>
        <w:rPr>
          <w:rFonts w:ascii="宋体" w:hAnsi="宋体"/>
          <w:sz w:val="24"/>
        </w:rPr>
      </w:pPr>
      <w:r>
        <w:rPr>
          <w:rFonts w:ascii="宋体" w:hAnsi="宋体"/>
          <w:color w:val="000000"/>
        </w:rPr>
        <w:t>③</w:t>
      </w:r>
      <w:r>
        <w:rPr>
          <w:rFonts w:ascii="宋体" w:hAnsi="宋体"/>
          <w:color w:val="000000"/>
        </w:rPr>
        <w:t>产品无特色、竞争能力不强、品种单一、过度依赖营销、财务状况不佳、获利结构不稳定、获利水平波动较大、发展前景不明朗等经营财务风险较高的企业；</w:t>
      </w:r>
    </w:p>
    <w:p w:rsidR="00000000" w:rsidRDefault="000A1C5E">
      <w:pPr>
        <w:autoSpaceDN w:val="0"/>
        <w:spacing w:beforeAutospacing="1" w:afterAutospacing="1"/>
        <w:ind w:firstLine="464"/>
        <w:rPr>
          <w:rFonts w:ascii="宋体" w:hAnsi="宋体"/>
          <w:sz w:val="24"/>
        </w:rPr>
      </w:pPr>
      <w:r>
        <w:rPr>
          <w:rFonts w:ascii="宋体" w:hAnsi="宋体"/>
          <w:color w:val="000000"/>
        </w:rPr>
        <w:t>④</w:t>
      </w:r>
      <w:r>
        <w:rPr>
          <w:rFonts w:ascii="宋体" w:hAnsi="宋体"/>
          <w:color w:val="000000"/>
        </w:rPr>
        <w:t>资本运作频繁，规模扩张主要依靠并购而主营业务增长和盈利不佳，跨地域多元化经营扩张较快，借助重组逃废银行债务的企业；</w:t>
      </w:r>
    </w:p>
    <w:p w:rsidR="00000000" w:rsidRDefault="000A1C5E">
      <w:pPr>
        <w:autoSpaceDN w:val="0"/>
        <w:spacing w:beforeAutospacing="1" w:afterAutospacing="1"/>
        <w:ind w:firstLine="464"/>
        <w:rPr>
          <w:rFonts w:ascii="宋体" w:hAnsi="宋体"/>
          <w:sz w:val="24"/>
        </w:rPr>
      </w:pPr>
      <w:r>
        <w:rPr>
          <w:rFonts w:ascii="宋体" w:hAnsi="宋体"/>
          <w:color w:val="000000"/>
        </w:rPr>
        <w:t>⑤</w:t>
      </w:r>
      <w:r>
        <w:rPr>
          <w:rFonts w:ascii="宋体" w:hAnsi="宋体"/>
          <w:color w:val="000000"/>
        </w:rPr>
        <w:t>主体生产线、药物品种或生产车间与新版</w:t>
      </w:r>
      <w:r>
        <w:rPr>
          <w:rFonts w:ascii="宋体" w:hAnsi="宋体"/>
          <w:color w:val="000000"/>
        </w:rPr>
        <w:t>GMP</w:t>
      </w:r>
      <w:r>
        <w:rPr>
          <w:rFonts w:ascii="宋体" w:hAnsi="宋体"/>
          <w:color w:val="000000"/>
        </w:rPr>
        <w:t>认证标准差</w:t>
      </w:r>
      <w:r>
        <w:rPr>
          <w:rFonts w:ascii="宋体" w:hAnsi="宋体"/>
          <w:color w:val="000000"/>
        </w:rPr>
        <w:t>距大、且实力不足以完成技术升级的企业。</w:t>
      </w:r>
    </w:p>
    <w:p w:rsidR="00000000" w:rsidRDefault="000A1C5E">
      <w:pPr>
        <w:autoSpaceDN w:val="0"/>
        <w:spacing w:beforeAutospacing="1" w:afterAutospacing="1"/>
        <w:ind w:firstLine="464"/>
        <w:rPr>
          <w:rFonts w:ascii="宋体" w:hAnsi="宋体"/>
          <w:sz w:val="24"/>
        </w:rPr>
      </w:pPr>
      <w:r>
        <w:rPr>
          <w:rFonts w:ascii="宋体" w:hAnsi="宋体"/>
          <w:b/>
          <w:color w:val="000000"/>
        </w:rPr>
        <w:t>3.</w:t>
      </w:r>
      <w:r>
        <w:rPr>
          <w:rFonts w:ascii="宋体" w:hAnsi="宋体"/>
          <w:b/>
          <w:color w:val="000000"/>
        </w:rPr>
        <w:t>收益提升要求</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一是继续保持该行业客户较高风险调整后资本收益。应重点叙做综合收益水平较高的中型规模客户业务，着重提升部分授信规模较大客户的</w:t>
      </w:r>
      <w:r>
        <w:rPr>
          <w:rFonts w:ascii="仿宋_GB2312" w:eastAsia="仿宋_GB2312" w:hAnsi="仿宋_GB2312"/>
          <w:sz w:val="24"/>
        </w:rPr>
        <w:t>RAROC'</w:t>
      </w:r>
      <w:r>
        <w:rPr>
          <w:rFonts w:ascii="仿宋_GB2312" w:eastAsia="仿宋_GB2312" w:hAnsi="仿宋_GB2312"/>
          <w:sz w:val="24"/>
        </w:rPr>
        <w:t>表现。</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二是加大贸易融资业务占比。加深信贷合作，根据行业经营财务特点，积极拓展贸易融资业务，促进资金在我行的体内循环，持续发挥授信业务对存款、中间业务的带动作用，提高综合效益。</w:t>
      </w:r>
    </w:p>
    <w:p w:rsidR="00000000" w:rsidRDefault="000A1C5E">
      <w:pPr>
        <w:autoSpaceDN w:val="0"/>
        <w:snapToGrid w:val="0"/>
        <w:spacing w:beforeAutospacing="1" w:afterAutospacing="1" w:line="312" w:lineRule="auto"/>
        <w:jc w:val="left"/>
        <w:rPr>
          <w:rFonts w:ascii="宋体" w:hAnsi="宋体"/>
          <w:sz w:val="24"/>
        </w:rPr>
      </w:pPr>
      <w:r>
        <w:rPr>
          <w:rFonts w:ascii="仿宋_GB2312" w:eastAsia="仿宋_GB2312" w:hAnsi="仿宋_GB2312"/>
          <w:sz w:val="24"/>
        </w:rPr>
        <w:t>附件：</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1.2012</w:t>
      </w:r>
      <w:r>
        <w:rPr>
          <w:rFonts w:ascii="仿宋_GB2312" w:eastAsia="仿宋_GB2312" w:hAnsi="仿宋_GB2312"/>
          <w:sz w:val="24"/>
        </w:rPr>
        <w:t>年国内医药工业企业营业收入排名前</w:t>
      </w:r>
      <w:r>
        <w:rPr>
          <w:rFonts w:ascii="仿宋_GB2312" w:eastAsia="仿宋_GB2312" w:hAnsi="仿宋_GB2312"/>
          <w:sz w:val="24"/>
        </w:rPr>
        <w:t>50</w:t>
      </w:r>
      <w:r>
        <w:rPr>
          <w:rFonts w:ascii="仿宋_GB2312" w:eastAsia="仿宋_GB2312" w:hAnsi="仿宋_GB2312"/>
          <w:sz w:val="24"/>
        </w:rPr>
        <w:t>名单</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2.2012</w:t>
      </w:r>
      <w:r>
        <w:rPr>
          <w:rFonts w:ascii="仿宋_GB2312" w:eastAsia="仿宋_GB2312" w:hAnsi="仿宋_GB2312"/>
          <w:sz w:val="24"/>
        </w:rPr>
        <w:t>年国内医药工业利润总额排名前</w:t>
      </w:r>
      <w:r>
        <w:rPr>
          <w:rFonts w:ascii="仿宋_GB2312" w:eastAsia="仿宋_GB2312" w:hAnsi="仿宋_GB2312"/>
          <w:sz w:val="24"/>
        </w:rPr>
        <w:t>50</w:t>
      </w:r>
      <w:r>
        <w:rPr>
          <w:rFonts w:ascii="仿宋_GB2312" w:eastAsia="仿宋_GB2312" w:hAnsi="仿宋_GB2312"/>
          <w:sz w:val="24"/>
        </w:rPr>
        <w:t>名单</w:t>
      </w:r>
    </w:p>
    <w:p w:rsidR="00000000" w:rsidRDefault="000A1C5E">
      <w:pPr>
        <w:autoSpaceDN w:val="0"/>
        <w:snapToGrid w:val="0"/>
        <w:spacing w:beforeAutospacing="1" w:afterAutospacing="1" w:line="312" w:lineRule="auto"/>
        <w:ind w:firstLine="420"/>
        <w:jc w:val="left"/>
        <w:rPr>
          <w:rFonts w:ascii="宋体" w:hAnsi="宋体"/>
          <w:sz w:val="24"/>
        </w:rPr>
      </w:pPr>
      <w:r>
        <w:rPr>
          <w:rFonts w:ascii="仿宋_GB2312" w:eastAsia="仿宋_GB2312" w:hAnsi="仿宋_GB2312"/>
          <w:sz w:val="24"/>
        </w:rPr>
        <w:t>3.</w:t>
      </w:r>
      <w:r>
        <w:rPr>
          <w:rFonts w:ascii="仿宋_GB2312" w:eastAsia="仿宋_GB2312" w:hAnsi="仿宋_GB2312"/>
          <w:sz w:val="24"/>
        </w:rPr>
        <w:t>医药制造行业财务评价标准值</w:t>
      </w:r>
    </w:p>
    <w:p w:rsidR="00000000" w:rsidRDefault="000A1C5E">
      <w:pPr>
        <w:autoSpaceDN w:val="0"/>
        <w:snapToGrid w:val="0"/>
        <w:spacing w:beforeAutospacing="1" w:afterAutospacing="1" w:line="312" w:lineRule="auto"/>
        <w:jc w:val="left"/>
        <w:rPr>
          <w:rFonts w:ascii="宋体" w:hAnsi="宋体"/>
          <w:sz w:val="24"/>
        </w:rPr>
      </w:pPr>
      <w:r>
        <w:rPr>
          <w:rFonts w:ascii="仿宋_GB2312" w:eastAsia="仿宋_GB2312" w:hAnsi="仿宋_GB2312"/>
          <w:sz w:val="24"/>
        </w:rPr>
        <w:t>附件</w:t>
      </w:r>
      <w:r>
        <w:rPr>
          <w:rFonts w:ascii="仿宋_GB2312" w:eastAsia="仿宋_GB2312" w:hAnsi="仿宋_GB2312"/>
          <w:sz w:val="24"/>
        </w:rPr>
        <w:t>1</w:t>
      </w:r>
      <w:r>
        <w:rPr>
          <w:rFonts w:ascii="仿宋_GB2312" w:eastAsia="仿宋_GB2312" w:hAnsi="仿宋_GB2312"/>
          <w:sz w:val="24"/>
        </w:rPr>
        <w:t>：</w:t>
      </w:r>
    </w:p>
    <w:p w:rsidR="00000000" w:rsidRDefault="000A1C5E">
      <w:pPr>
        <w:autoSpaceDN w:val="0"/>
        <w:snapToGrid w:val="0"/>
        <w:spacing w:beforeAutospacing="1" w:afterAutospacing="1" w:line="312" w:lineRule="auto"/>
        <w:jc w:val="center"/>
        <w:rPr>
          <w:rFonts w:ascii="宋体" w:hAnsi="宋体"/>
          <w:sz w:val="24"/>
        </w:rPr>
      </w:pPr>
      <w:r>
        <w:rPr>
          <w:rFonts w:ascii="仿宋_GB2312" w:eastAsia="仿宋_GB2312" w:hAnsi="仿宋_GB2312"/>
          <w:b/>
          <w:sz w:val="24"/>
        </w:rPr>
        <w:t>2012</w:t>
      </w:r>
      <w:r>
        <w:rPr>
          <w:rFonts w:ascii="仿宋_GB2312" w:eastAsia="仿宋_GB2312" w:hAnsi="仿宋_GB2312"/>
          <w:b/>
          <w:sz w:val="24"/>
        </w:rPr>
        <w:t>年国内医药工业企业营业收入排名前</w:t>
      </w:r>
      <w:r>
        <w:rPr>
          <w:rFonts w:ascii="仿宋_GB2312" w:eastAsia="仿宋_GB2312" w:hAnsi="仿宋_GB2312"/>
          <w:b/>
          <w:sz w:val="24"/>
        </w:rPr>
        <w:t>50</w:t>
      </w:r>
      <w:r>
        <w:rPr>
          <w:rFonts w:ascii="仿宋_GB2312" w:eastAsia="仿宋_GB2312" w:hAnsi="仿宋_GB2312"/>
          <w:b/>
          <w:sz w:val="24"/>
        </w:rPr>
        <w:t>名单</w:t>
      </w:r>
    </w:p>
    <w:tbl>
      <w:tblPr>
        <w:tblW w:w="0" w:type="auto"/>
        <w:tblInd w:w="108" w:type="dxa"/>
        <w:tblLayout w:type="fixed"/>
        <w:tblLook w:val="0000" w:firstRow="0" w:lastRow="0" w:firstColumn="0" w:lastColumn="0" w:noHBand="0" w:noVBand="0"/>
      </w:tblPr>
      <w:tblGrid>
        <w:gridCol w:w="2073"/>
        <w:gridCol w:w="2204"/>
        <w:gridCol w:w="2073"/>
        <w:gridCol w:w="2596"/>
      </w:tblGrid>
      <w:tr w:rsidR="00000000">
        <w:trPr>
          <w:trHeight w:val="270"/>
        </w:trPr>
        <w:tc>
          <w:tcPr>
            <w:tcW w:w="20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snapToGrid w:val="0"/>
              <w:spacing w:line="312" w:lineRule="auto"/>
              <w:rPr>
                <w:rFonts w:ascii="宋体" w:hAnsi="宋体"/>
                <w:sz w:val="24"/>
              </w:rPr>
            </w:pPr>
            <w:r>
              <w:rPr>
                <w:rFonts w:ascii="仿宋_GB2312" w:eastAsia="仿宋_GB2312" w:hAnsi="仿宋_GB2312"/>
                <w:b/>
                <w:kern w:val="0"/>
                <w:sz w:val="24"/>
              </w:rPr>
              <w:t>排名</w:t>
            </w:r>
          </w:p>
        </w:tc>
        <w:tc>
          <w:tcPr>
            <w:tcW w:w="220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center"/>
              <w:rPr>
                <w:rFonts w:ascii="宋体" w:hAnsi="宋体"/>
                <w:sz w:val="24"/>
              </w:rPr>
            </w:pPr>
            <w:r>
              <w:rPr>
                <w:rFonts w:ascii="仿宋_GB2312" w:eastAsia="仿宋_GB2312" w:hAnsi="仿宋_GB2312"/>
                <w:b/>
                <w:kern w:val="0"/>
                <w:sz w:val="24"/>
              </w:rPr>
              <w:t>企业名称</w:t>
            </w:r>
          </w:p>
        </w:tc>
        <w:tc>
          <w:tcPr>
            <w:tcW w:w="2073"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center"/>
              <w:rPr>
                <w:rFonts w:ascii="宋体" w:hAnsi="宋体"/>
                <w:sz w:val="24"/>
              </w:rPr>
            </w:pPr>
            <w:r>
              <w:rPr>
                <w:rFonts w:ascii="仿宋_GB2312" w:eastAsia="仿宋_GB2312" w:hAnsi="仿宋_GB2312"/>
                <w:b/>
                <w:kern w:val="0"/>
                <w:sz w:val="24"/>
              </w:rPr>
              <w:t>排名</w:t>
            </w:r>
          </w:p>
        </w:tc>
        <w:tc>
          <w:tcPr>
            <w:tcW w:w="2596"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center"/>
              <w:rPr>
                <w:rFonts w:ascii="宋体" w:hAnsi="宋体"/>
                <w:sz w:val="24"/>
              </w:rPr>
            </w:pPr>
            <w:r>
              <w:rPr>
                <w:rFonts w:ascii="仿宋_GB2312" w:eastAsia="仿宋_GB2312" w:hAnsi="仿宋_GB2312"/>
                <w:b/>
                <w:kern w:val="0"/>
                <w:sz w:val="24"/>
              </w:rPr>
              <w:t>企业名称</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广州医药集团有限公司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26</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赛诺菲</w:t>
            </w:r>
            <w:r>
              <w:rPr>
                <w:rFonts w:ascii="仿宋_GB2312" w:eastAsia="仿宋_GB2312" w:hAnsi="仿宋_GB2312"/>
                <w:sz w:val="18"/>
              </w:rPr>
              <w:t>(</w:t>
            </w:r>
            <w:r>
              <w:rPr>
                <w:rFonts w:ascii="仿宋_GB2312" w:eastAsia="仿宋_GB2312" w:hAnsi="仿宋_GB2312"/>
                <w:sz w:val="18"/>
              </w:rPr>
              <w:t>杭州</w:t>
            </w:r>
            <w:r>
              <w:rPr>
                <w:rFonts w:ascii="仿宋_GB2312" w:eastAsia="仿宋_GB2312" w:hAnsi="仿宋_GB2312"/>
                <w:sz w:val="18"/>
              </w:rPr>
              <w:t>)</w:t>
            </w:r>
            <w:r>
              <w:rPr>
                <w:rFonts w:ascii="仿宋_GB2312" w:eastAsia="仿宋_GB2312" w:hAnsi="仿宋_GB2312"/>
                <w:sz w:val="18"/>
              </w:rPr>
              <w:t>制药有限公司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扬子江药业集团有限公司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27</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江苏恒瑞医药股份有限公司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修正药业集团股份有限公</w:t>
            </w:r>
            <w:r>
              <w:rPr>
                <w:rFonts w:ascii="仿宋_GB2312" w:eastAsia="仿宋_GB2312" w:hAnsi="仿宋_GB2312"/>
                <w:sz w:val="18"/>
              </w:rPr>
              <w:lastRenderedPageBreak/>
              <w:t>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lastRenderedPageBreak/>
              <w:t>28</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江苏豪森医药集团有限公司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lastRenderedPageBreak/>
              <w:t>4</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华北制药集团有限责任公司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29</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西安杨森制药有限公司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5</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哈药集团有限公司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30</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瑞阳制药有限公司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6</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天津天士力集团有限公司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31</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山东绿叶制药集团有限公司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7</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威高集团有限公司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32</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浙江医药股份有限公司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8</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石</w:t>
            </w:r>
            <w:r>
              <w:rPr>
                <w:rFonts w:ascii="仿宋_GB2312" w:eastAsia="仿宋_GB2312" w:hAnsi="仿宋_GB2312"/>
                <w:sz w:val="18"/>
              </w:rPr>
              <w:t>药集团有限公司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33</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鲁南制药集团股份有限公司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9</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中国医药集团总公司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34</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阿斯利康制药有限公司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10</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拜耳医药保健有限公司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35</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珠海联邦制药股份有限公司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11</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天津中新药业集团股份有限公司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36</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山东罗欣药业股份有限公司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12</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东北制药集团股份有限公司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37</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宜昌东阳光药业股份有限公司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13</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杭州华东医药集团有限公司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38</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中国远大集团有限责任公司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14</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太极集团有限公司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39</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费森尤斯卡比（中国）投资有限公司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15</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四川科伦药业股份有限公司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40</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寿光富康制药有限公司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16</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华润双鹤</w:t>
            </w:r>
            <w:r>
              <w:rPr>
                <w:rFonts w:ascii="仿宋_GB2312" w:eastAsia="仿宋_GB2312" w:hAnsi="仿宋_GB2312"/>
                <w:sz w:val="18"/>
              </w:rPr>
              <w:t>药业股份有限公司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41</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天圣制药集团股份有限公司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17</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齐鲁制药有限公司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42</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江苏正大天晴药业股份有限公司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18</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辉瑞制药有限公司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43</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江苏济川制药有限公司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19</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上海罗氏制药有限公司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44</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丽珠医药集团股份有限公司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20</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辅仁药业集团有限公司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45</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普洛股份有限公司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21</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山东步长制药股份有限公司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46</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江西汇仁药业有限公司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22</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江西济民可信集团有限公司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47</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海南海药股份有限公司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23</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诺和诺德</w:t>
            </w:r>
            <w:r>
              <w:rPr>
                <w:rFonts w:ascii="仿宋_GB2312" w:eastAsia="仿宋_GB2312" w:hAnsi="仿宋_GB2312"/>
                <w:sz w:val="18"/>
              </w:rPr>
              <w:t>(</w:t>
            </w:r>
            <w:r>
              <w:rPr>
                <w:rFonts w:ascii="仿宋_GB2312" w:eastAsia="仿宋_GB2312" w:hAnsi="仿宋_GB2312"/>
                <w:sz w:val="18"/>
              </w:rPr>
              <w:t>中国</w:t>
            </w:r>
            <w:r>
              <w:rPr>
                <w:rFonts w:ascii="仿宋_GB2312" w:eastAsia="仿宋_GB2312" w:hAnsi="仿宋_GB2312"/>
                <w:sz w:val="18"/>
              </w:rPr>
              <w:t>)</w:t>
            </w:r>
            <w:r>
              <w:rPr>
                <w:rFonts w:ascii="仿宋_GB2312" w:eastAsia="仿宋_GB2312" w:hAnsi="仿宋_GB2312"/>
                <w:sz w:val="18"/>
              </w:rPr>
              <w:t>制药有限公司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48</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中国通用技术（集团）控股有限责任公司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24</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华方医药科技有限</w:t>
            </w:r>
            <w:r>
              <w:rPr>
                <w:rFonts w:ascii="仿宋_GB2312" w:eastAsia="仿宋_GB2312" w:hAnsi="仿宋_GB2312"/>
                <w:sz w:val="18"/>
              </w:rPr>
              <w:t>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49</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仁和（集团）发展有限公司</w:t>
            </w:r>
          </w:p>
        </w:tc>
      </w:tr>
      <w:tr w:rsidR="00000000">
        <w:trPr>
          <w:trHeight w:val="270"/>
        </w:trPr>
        <w:tc>
          <w:tcPr>
            <w:tcW w:w="2073"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25</w:t>
            </w:r>
          </w:p>
        </w:tc>
        <w:tc>
          <w:tcPr>
            <w:tcW w:w="220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武汉人福医药集团股份有限公司</w:t>
            </w:r>
          </w:p>
        </w:tc>
        <w:tc>
          <w:tcPr>
            <w:tcW w:w="2073"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right"/>
              <w:rPr>
                <w:rFonts w:ascii="宋体" w:hAnsi="宋体"/>
                <w:sz w:val="24"/>
              </w:rPr>
            </w:pPr>
            <w:r>
              <w:rPr>
                <w:rFonts w:ascii="仿宋_GB2312" w:eastAsia="仿宋_GB2312" w:hAnsi="仿宋_GB2312"/>
                <w:kern w:val="0"/>
                <w:sz w:val="24"/>
              </w:rPr>
              <w:t>50</w:t>
            </w:r>
          </w:p>
        </w:tc>
        <w:tc>
          <w:tcPr>
            <w:tcW w:w="2596"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autoSpaceDN w:val="0"/>
              <w:rPr>
                <w:rFonts w:ascii="宋体" w:hAnsi="宋体"/>
                <w:sz w:val="24"/>
              </w:rPr>
            </w:pPr>
            <w:r>
              <w:rPr>
                <w:rFonts w:ascii="仿宋_GB2312" w:eastAsia="仿宋_GB2312" w:hAnsi="仿宋_GB2312"/>
                <w:sz w:val="18"/>
              </w:rPr>
              <w:t>江苏康缘集团有限责任公司</w:t>
            </w:r>
          </w:p>
        </w:tc>
      </w:tr>
    </w:tbl>
    <w:p w:rsidR="00000000" w:rsidRDefault="000A1C5E">
      <w:pPr>
        <w:autoSpaceDN w:val="0"/>
        <w:snapToGrid w:val="0"/>
        <w:spacing w:beforeAutospacing="1" w:afterAutospacing="1" w:line="312" w:lineRule="auto"/>
        <w:jc w:val="left"/>
        <w:rPr>
          <w:rFonts w:ascii="宋体" w:hAnsi="宋体"/>
          <w:sz w:val="24"/>
        </w:rPr>
      </w:pPr>
      <w:r>
        <w:rPr>
          <w:rFonts w:ascii="仿宋_GB2312" w:eastAsia="仿宋_GB2312" w:hAnsi="仿宋_GB2312"/>
          <w:sz w:val="24"/>
        </w:rPr>
        <w:t>附件</w:t>
      </w:r>
      <w:r>
        <w:rPr>
          <w:rFonts w:ascii="仿宋_GB2312" w:eastAsia="仿宋_GB2312" w:hAnsi="仿宋_GB2312"/>
          <w:sz w:val="24"/>
        </w:rPr>
        <w:t>2</w:t>
      </w:r>
      <w:r>
        <w:rPr>
          <w:rFonts w:ascii="仿宋_GB2312" w:eastAsia="仿宋_GB2312" w:hAnsi="仿宋_GB2312"/>
          <w:sz w:val="24"/>
        </w:rPr>
        <w:t>：</w:t>
      </w:r>
    </w:p>
    <w:p w:rsidR="00000000" w:rsidRDefault="000A1C5E">
      <w:pPr>
        <w:autoSpaceDN w:val="0"/>
        <w:snapToGrid w:val="0"/>
        <w:spacing w:beforeAutospacing="1" w:afterAutospacing="1" w:line="312" w:lineRule="auto"/>
        <w:jc w:val="center"/>
        <w:rPr>
          <w:rFonts w:ascii="宋体" w:hAnsi="宋体"/>
          <w:sz w:val="24"/>
        </w:rPr>
      </w:pPr>
      <w:r>
        <w:rPr>
          <w:rFonts w:ascii="仿宋_GB2312" w:eastAsia="仿宋_GB2312" w:hAnsi="仿宋_GB2312"/>
          <w:b/>
          <w:sz w:val="24"/>
        </w:rPr>
        <w:t>2012</w:t>
      </w:r>
      <w:r>
        <w:rPr>
          <w:rFonts w:ascii="仿宋_GB2312" w:eastAsia="仿宋_GB2312" w:hAnsi="仿宋_GB2312"/>
          <w:b/>
          <w:sz w:val="24"/>
        </w:rPr>
        <w:t>年国内医药工业利润总额排名前</w:t>
      </w:r>
      <w:r>
        <w:rPr>
          <w:rFonts w:ascii="仿宋_GB2312" w:eastAsia="仿宋_GB2312" w:hAnsi="仿宋_GB2312"/>
          <w:b/>
          <w:sz w:val="24"/>
        </w:rPr>
        <w:t>50</w:t>
      </w:r>
      <w:r>
        <w:rPr>
          <w:rFonts w:ascii="仿宋_GB2312" w:eastAsia="仿宋_GB2312" w:hAnsi="仿宋_GB2312"/>
          <w:b/>
          <w:sz w:val="24"/>
        </w:rPr>
        <w:t>名单</w:t>
      </w:r>
    </w:p>
    <w:tbl>
      <w:tblPr>
        <w:tblW w:w="0" w:type="auto"/>
        <w:tblInd w:w="108" w:type="dxa"/>
        <w:tblLayout w:type="fixed"/>
        <w:tblLook w:val="0000" w:firstRow="0" w:lastRow="0" w:firstColumn="0" w:lastColumn="0" w:noHBand="0" w:noVBand="0"/>
      </w:tblPr>
      <w:tblGrid>
        <w:gridCol w:w="497"/>
        <w:gridCol w:w="2164"/>
        <w:gridCol w:w="497"/>
        <w:gridCol w:w="5362"/>
      </w:tblGrid>
      <w:tr w:rsidR="00000000">
        <w:trPr>
          <w:trHeight w:val="270"/>
        </w:trPr>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排名</w:t>
            </w:r>
          </w:p>
        </w:tc>
        <w:tc>
          <w:tcPr>
            <w:tcW w:w="216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企业名称</w:t>
            </w:r>
          </w:p>
        </w:tc>
        <w:tc>
          <w:tcPr>
            <w:tcW w:w="497"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排名</w:t>
            </w:r>
          </w:p>
        </w:tc>
        <w:tc>
          <w:tcPr>
            <w:tcW w:w="5362"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企业名称</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1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威高集团有限公司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26</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神威药业集团有限公司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lastRenderedPageBreak/>
              <w:t xml:space="preserve">2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扬子江药业集团有限公司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27</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华润双鹤药业股份有限公司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3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山东步长制药股份有限公司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28</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北京泰德制药股份有限公司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4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中国医药集团总公司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29</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杭州华东医药集团有限公司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5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齐鲁制药有限公司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30</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深圳市海普瑞药业股份有限公司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6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修正药业集团股份有限公司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31</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深圳信立泰药业股份有限公司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7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新和成控股集团有限公司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32</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吉林敖东药业集团股份有限公司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8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天津天士力集团有限公司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33</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葵花药业集团股份有限公司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 xml:space="preserve">9 </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广州医药集团有限公司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34</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天津中新药业集团股份有限公司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10</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赛诺菲</w:t>
            </w:r>
            <w:r>
              <w:rPr>
                <w:rFonts w:ascii="仿宋_GB2312" w:eastAsia="仿宋_GB2312" w:hAnsi="仿宋_GB2312"/>
                <w:sz w:val="18"/>
              </w:rPr>
              <w:t>(</w:t>
            </w:r>
            <w:r>
              <w:rPr>
                <w:rFonts w:ascii="仿宋_GB2312" w:eastAsia="仿宋_GB2312" w:hAnsi="仿宋_GB2312"/>
                <w:sz w:val="18"/>
              </w:rPr>
              <w:t>杭州</w:t>
            </w:r>
            <w:r>
              <w:rPr>
                <w:rFonts w:ascii="仿宋_GB2312" w:eastAsia="仿宋_GB2312" w:hAnsi="仿宋_GB2312"/>
                <w:sz w:val="18"/>
              </w:rPr>
              <w:t>)</w:t>
            </w:r>
            <w:r>
              <w:rPr>
                <w:rFonts w:ascii="仿宋_GB2312" w:eastAsia="仿宋_GB2312" w:hAnsi="仿宋_GB2312"/>
                <w:sz w:val="18"/>
              </w:rPr>
              <w:t>制药有限公司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35</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武汉人福医药集团股份有限公司</w:t>
            </w:r>
          </w:p>
        </w:tc>
      </w:tr>
      <w:tr w:rsidR="00000000">
        <w:trPr>
          <w:trHeight w:val="285"/>
        </w:trPr>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11</w:t>
            </w:r>
          </w:p>
        </w:tc>
        <w:tc>
          <w:tcPr>
            <w:tcW w:w="216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江苏恒瑞医药股份有限公司</w:t>
            </w:r>
          </w:p>
        </w:tc>
        <w:tc>
          <w:tcPr>
            <w:tcW w:w="497"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36</w:t>
            </w:r>
          </w:p>
        </w:tc>
        <w:tc>
          <w:tcPr>
            <w:tcW w:w="5362"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拜耳医药保健有限公司</w:t>
            </w:r>
          </w:p>
        </w:tc>
      </w:tr>
      <w:tr w:rsidR="00000000">
        <w:trPr>
          <w:trHeight w:val="285"/>
        </w:trPr>
        <w:tc>
          <w:tcPr>
            <w:tcW w:w="4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12</w:t>
            </w:r>
          </w:p>
        </w:tc>
        <w:tc>
          <w:tcPr>
            <w:tcW w:w="2164"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四川科伦药业股份有限公司</w:t>
            </w:r>
          </w:p>
        </w:tc>
        <w:tc>
          <w:tcPr>
            <w:tcW w:w="497"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37</w:t>
            </w:r>
          </w:p>
        </w:tc>
        <w:tc>
          <w:tcPr>
            <w:tcW w:w="5362" w:type="dxa"/>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上海罗氏制药有限公司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13</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山东东阿阿胶股份有限公司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38</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北京同仁堂健康药业</w:t>
            </w:r>
            <w:r>
              <w:rPr>
                <w:rFonts w:ascii="仿宋_GB2312" w:eastAsia="仿宋_GB2312" w:hAnsi="仿宋_GB2312"/>
                <w:sz w:val="18"/>
              </w:rPr>
              <w:t>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14</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北京四环制药有限公司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39</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辽宁成大生物股份有限公司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15</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江苏豪森医药集团有限公司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40</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丽珠医药集团股份有限公司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16</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辉瑞制药有限公司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41</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北京双鹭药业股份有限公司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17</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江苏正大天晴药业股份有限公司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42</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山东罗欣药业股份有限公司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18</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浙江医药股份有限公司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43</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广西梧州制药</w:t>
            </w:r>
            <w:r>
              <w:rPr>
                <w:rFonts w:ascii="仿宋_GB2312" w:eastAsia="仿宋_GB2312" w:hAnsi="仿宋_GB2312"/>
                <w:sz w:val="18"/>
              </w:rPr>
              <w:t>(</w:t>
            </w:r>
            <w:r>
              <w:rPr>
                <w:rFonts w:ascii="仿宋_GB2312" w:eastAsia="仿宋_GB2312" w:hAnsi="仿宋_GB2312"/>
                <w:sz w:val="18"/>
              </w:rPr>
              <w:t>集团</w:t>
            </w:r>
            <w:r>
              <w:rPr>
                <w:rFonts w:ascii="仿宋_GB2312" w:eastAsia="仿宋_GB2312" w:hAnsi="仿宋_GB2312"/>
                <w:sz w:val="18"/>
              </w:rPr>
              <w:t>)</w:t>
            </w:r>
            <w:r>
              <w:rPr>
                <w:rFonts w:ascii="仿宋_GB2312" w:eastAsia="仿宋_GB2312" w:hAnsi="仿宋_GB2312"/>
                <w:sz w:val="18"/>
              </w:rPr>
              <w:t>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19</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费森尤斯卡比（中国）投资有限公司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44</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中国远大集团有限责任公司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20</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辅仁药业集团有限公司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45</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康恩贝集团有限公司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21</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石药集团有限公司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46</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西安万隆制</w:t>
            </w:r>
            <w:r>
              <w:rPr>
                <w:rFonts w:ascii="仿宋_GB2312" w:eastAsia="仿宋_GB2312" w:hAnsi="仿宋_GB2312"/>
                <w:sz w:val="18"/>
              </w:rPr>
              <w:t>药股份有限公司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22</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鲁南制药集团股份有限公司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47</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乐普</w:t>
            </w:r>
            <w:r>
              <w:rPr>
                <w:rFonts w:ascii="仿宋_GB2312" w:eastAsia="仿宋_GB2312" w:hAnsi="仿宋_GB2312"/>
                <w:sz w:val="18"/>
              </w:rPr>
              <w:t>(</w:t>
            </w:r>
            <w:r>
              <w:rPr>
                <w:rFonts w:ascii="仿宋_GB2312" w:eastAsia="仿宋_GB2312" w:hAnsi="仿宋_GB2312"/>
                <w:sz w:val="18"/>
              </w:rPr>
              <w:t>北京）医疗器械股份有限公司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23</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山东绿叶制药集团有限公司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48</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仁和（集团）发展有限公司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24</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哈药集团有限公司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49</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微创医疗器械（上海）有限公司</w:t>
            </w:r>
          </w:p>
        </w:tc>
      </w:tr>
      <w:tr w:rsidR="00000000">
        <w:trPr>
          <w:trHeight w:val="285"/>
        </w:trPr>
        <w:tc>
          <w:tcPr>
            <w:tcW w:w="497"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25</w:t>
            </w:r>
          </w:p>
        </w:tc>
        <w:tc>
          <w:tcPr>
            <w:tcW w:w="2164"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中美天津史克制药有限公司</w:t>
            </w:r>
          </w:p>
        </w:tc>
        <w:tc>
          <w:tcPr>
            <w:tcW w:w="497"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kern w:val="0"/>
                <w:sz w:val="24"/>
              </w:rPr>
              <w:t>50</w:t>
            </w:r>
          </w:p>
        </w:tc>
        <w:tc>
          <w:tcPr>
            <w:tcW w:w="5362" w:type="dxa"/>
            <w:tcBorders>
              <w:top w:val="nil"/>
              <w:left w:val="nil"/>
              <w:bottom w:val="single" w:sz="4" w:space="0" w:color="000000"/>
              <w:right w:val="single" w:sz="4" w:space="0" w:color="000000"/>
            </w:tcBorders>
            <w:tcMar>
              <w:top w:w="0" w:type="dxa"/>
              <w:left w:w="108" w:type="dxa"/>
              <w:bottom w:w="0" w:type="dxa"/>
              <w:right w:w="108" w:type="dxa"/>
            </w:tcMar>
            <w:vAlign w:val="center"/>
          </w:tcPr>
          <w:p w:rsidR="00000000" w:rsidRDefault="000A1C5E">
            <w:pPr>
              <w:widowControl/>
              <w:autoSpaceDN w:val="0"/>
              <w:jc w:val="left"/>
              <w:rPr>
                <w:rFonts w:ascii="宋体" w:hAnsi="宋体"/>
                <w:sz w:val="24"/>
              </w:rPr>
            </w:pPr>
            <w:r>
              <w:rPr>
                <w:rFonts w:ascii="仿宋_GB2312" w:eastAsia="仿宋_GB2312" w:hAnsi="仿宋_GB2312"/>
                <w:sz w:val="18"/>
              </w:rPr>
              <w:t>桂林三金药业股份有限公司</w:t>
            </w:r>
          </w:p>
        </w:tc>
      </w:tr>
    </w:tbl>
    <w:p w:rsidR="00000000" w:rsidRDefault="000A1C5E">
      <w:pPr>
        <w:autoSpaceDN w:val="0"/>
        <w:snapToGrid w:val="0"/>
        <w:spacing w:beforeAutospacing="1" w:afterAutospacing="1" w:line="312" w:lineRule="auto"/>
        <w:jc w:val="left"/>
        <w:rPr>
          <w:rFonts w:ascii="宋体" w:hAnsi="宋体"/>
          <w:sz w:val="24"/>
        </w:rPr>
      </w:pPr>
      <w:r>
        <w:rPr>
          <w:rFonts w:ascii="仿宋_GB2312" w:eastAsia="仿宋_GB2312" w:hAnsi="仿宋_GB2312"/>
          <w:sz w:val="24"/>
        </w:rPr>
        <w:t>附件</w:t>
      </w:r>
      <w:r>
        <w:rPr>
          <w:rFonts w:ascii="仿宋_GB2312" w:eastAsia="仿宋_GB2312" w:hAnsi="仿宋_GB2312"/>
          <w:sz w:val="24"/>
        </w:rPr>
        <w:t>3</w:t>
      </w:r>
      <w:r>
        <w:rPr>
          <w:rFonts w:ascii="仿宋_GB2312" w:eastAsia="仿宋_GB2312" w:hAnsi="仿宋_GB2312"/>
          <w:sz w:val="24"/>
        </w:rPr>
        <w:t>：</w:t>
      </w:r>
    </w:p>
    <w:p w:rsidR="00000000" w:rsidRDefault="000A1C5E">
      <w:pPr>
        <w:autoSpaceDN w:val="0"/>
        <w:snapToGrid w:val="0"/>
        <w:spacing w:beforeAutospacing="1" w:afterAutospacing="1" w:line="312" w:lineRule="auto"/>
        <w:jc w:val="center"/>
        <w:rPr>
          <w:rFonts w:ascii="宋体" w:hAnsi="宋体"/>
          <w:sz w:val="24"/>
        </w:rPr>
      </w:pPr>
      <w:r>
        <w:rPr>
          <w:rFonts w:ascii="仿宋_GB2312" w:eastAsia="仿宋_GB2312" w:hAnsi="仿宋_GB2312"/>
          <w:b/>
          <w:sz w:val="24"/>
        </w:rPr>
        <w:t>医药制造行业财务标准值</w:t>
      </w:r>
    </w:p>
    <w:p w:rsidR="00000000" w:rsidRDefault="000A1C5E">
      <w:pPr>
        <w:autoSpaceDN w:val="0"/>
        <w:snapToGrid w:val="0"/>
        <w:spacing w:beforeAutospacing="1" w:afterAutospacing="1" w:line="312" w:lineRule="auto"/>
        <w:jc w:val="center"/>
        <w:rPr>
          <w:rFonts w:ascii="宋体" w:hAnsi="宋体"/>
          <w:sz w:val="24"/>
        </w:rPr>
      </w:pPr>
      <w:r>
        <w:rPr>
          <w:rFonts w:ascii="仿宋_GB2312" w:eastAsia="仿宋_GB2312" w:hAnsi="仿宋_GB2312"/>
          <w:sz w:val="24"/>
        </w:rPr>
        <w:lastRenderedPageBreak/>
        <w:t>（以国标</w:t>
      </w:r>
      <w:r>
        <w:rPr>
          <w:rFonts w:ascii="仿宋_GB2312" w:eastAsia="仿宋_GB2312" w:hAnsi="仿宋_GB2312"/>
          <w:sz w:val="24"/>
        </w:rPr>
        <w:t>C27</w:t>
      </w:r>
      <w:r>
        <w:rPr>
          <w:rFonts w:ascii="仿宋_GB2312" w:eastAsia="仿宋_GB2312" w:hAnsi="仿宋_GB2312"/>
          <w:sz w:val="24"/>
        </w:rPr>
        <w:t>医药制造业为该行业标准值）</w:t>
      </w:r>
    </w:p>
    <w:p w:rsidR="00000000" w:rsidRDefault="000A1C5E">
      <w:pPr>
        <w:autoSpaceDN w:val="0"/>
        <w:spacing w:beforeAutospacing="1" w:afterAutospacing="1"/>
        <w:rPr>
          <w:rFonts w:ascii="宋体" w:hAnsi="宋体"/>
          <w:sz w:val="24"/>
        </w:rPr>
      </w:pPr>
      <w:r>
        <w:rPr>
          <w:rFonts w:ascii="仿宋_GB2312" w:eastAsia="仿宋_GB2312" w:hAnsi="仿宋_GB2312"/>
          <w:sz w:val="18"/>
        </w:rPr>
        <w:t>全行业</w:t>
      </w:r>
    </w:p>
    <w:tbl>
      <w:tblPr>
        <w:tblW w:w="0" w:type="auto"/>
        <w:tblInd w:w="30" w:type="dxa"/>
        <w:tblBorders>
          <w:top w:val="single" w:sz="8" w:space="0" w:color="000000"/>
          <w:left w:val="single" w:sz="8" w:space="0" w:color="000000"/>
          <w:bottom w:val="single" w:sz="8" w:space="0" w:color="000000"/>
          <w:right w:val="single" w:sz="8" w:space="0" w:color="000000"/>
        </w:tblBorders>
        <w:tblLayout w:type="fixed"/>
        <w:tblCellMar>
          <w:left w:w="30" w:type="dxa"/>
          <w:right w:w="30" w:type="dxa"/>
        </w:tblCellMar>
        <w:tblLook w:val="0000" w:firstRow="0" w:lastRow="0" w:firstColumn="0" w:lastColumn="0" w:noHBand="0" w:noVBand="0"/>
      </w:tblPr>
      <w:tblGrid>
        <w:gridCol w:w="260"/>
        <w:gridCol w:w="1667"/>
        <w:gridCol w:w="530"/>
        <w:gridCol w:w="530"/>
        <w:gridCol w:w="530"/>
        <w:gridCol w:w="530"/>
        <w:gridCol w:w="530"/>
        <w:gridCol w:w="3788"/>
      </w:tblGrid>
      <w:tr w:rsidR="00000000">
        <w:trPr>
          <w:trHeight w:val="284"/>
        </w:trPr>
        <w:tc>
          <w:tcPr>
            <w:tcW w:w="260" w:type="dxa"/>
            <w:tcBorders>
              <w:top w:val="single" w:sz="8"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1667"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指</w:t>
            </w:r>
            <w:r>
              <w:rPr>
                <w:rFonts w:ascii="仿宋_GB2312" w:eastAsia="仿宋_GB2312" w:hAnsi="仿宋_GB2312"/>
                <w:b/>
                <w:sz w:val="18"/>
              </w:rPr>
              <w:t xml:space="preserve">  </w:t>
            </w:r>
            <w:r>
              <w:rPr>
                <w:rFonts w:ascii="仿宋_GB2312" w:eastAsia="仿宋_GB2312" w:hAnsi="仿宋_GB2312"/>
                <w:b/>
                <w:sz w:val="18"/>
              </w:rPr>
              <w:t>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优秀</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良好</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平均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警戒线</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偏差</w:t>
            </w:r>
          </w:p>
        </w:tc>
        <w:tc>
          <w:tcPr>
            <w:tcW w:w="3788" w:type="dxa"/>
            <w:tcBorders>
              <w:top w:val="single" w:sz="8"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较差</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一</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盈利能力指标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股本收益率（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25.63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16.04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8.43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w:t>
            </w:r>
            <w:r>
              <w:rPr>
                <w:rFonts w:ascii="仿宋_GB2312" w:eastAsia="仿宋_GB2312" w:hAnsi="仿宋_GB2312"/>
                <w:sz w:val="18"/>
              </w:rPr>
              <w:t>.90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3.37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毛利率（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38.63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31.97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21.99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13.65</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8.71</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18.48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6.44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-1.44</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成本费用利润率（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24.52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16.15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8.51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3.98</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二</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债务风险指标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资产负债率（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34.00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43.90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52.75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66.55</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75.30</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0.61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总债务</w:t>
            </w:r>
            <w:r>
              <w:rPr>
                <w:rFonts w:ascii="仿宋_GB2312" w:eastAsia="仿宋_GB2312" w:hAnsi="仿宋_GB2312"/>
                <w:sz w:val="18"/>
              </w:rPr>
              <w:t>/EBITDA</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1.94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4.08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6.30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8.46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14.09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息税前利润保障比率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26.59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16.51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9.24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6.29</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2.58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速动比率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0.70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0.17</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现金债务总比率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0.25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三</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资金营运指标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0.80</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0.67</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3.11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w:t>
            </w:r>
            <w:r>
              <w:rPr>
                <w:rFonts w:ascii="仿宋_GB2312" w:eastAsia="仿宋_GB2312" w:hAnsi="仿宋_GB2312"/>
                <w:sz w:val="18"/>
              </w:rPr>
              <w:t>.72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1.13</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0.93</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存货周转率（次）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9.73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7.06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4.47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2.68</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应收账款周转率（次）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14.37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9.73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5.67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3.21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2.10</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四</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发展指标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营业收入增长率（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30.74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23.14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13.43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6.31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-2.53</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有形净资产增长率（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23.13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10.89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5.19</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24.26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18.82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10.79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7.7</w:t>
            </w:r>
            <w:r>
              <w:rPr>
                <w:rFonts w:ascii="仿宋_GB2312" w:eastAsia="仿宋_GB2312" w:hAnsi="仿宋_GB2312"/>
                <w:sz w:val="18"/>
              </w:rPr>
              <w:t>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4.63</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0.23</w:t>
            </w:r>
          </w:p>
        </w:tc>
      </w:tr>
      <w:tr w:rsidR="00000000">
        <w:trPr>
          <w:trHeight w:val="284"/>
        </w:trPr>
        <w:tc>
          <w:tcPr>
            <w:tcW w:w="260" w:type="dxa"/>
            <w:tcBorders>
              <w:top w:val="single" w:sz="2" w:space="0" w:color="000000"/>
              <w:left w:val="single" w:sz="8" w:space="0" w:color="000000"/>
              <w:bottom w:val="single" w:sz="8"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三年利润平均增长率（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28.82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21.77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9.64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-2.91</w:t>
            </w:r>
          </w:p>
        </w:tc>
        <w:tc>
          <w:tcPr>
            <w:tcW w:w="3788" w:type="dxa"/>
            <w:tcBorders>
              <w:top w:val="single" w:sz="2" w:space="0" w:color="000000"/>
              <w:left w:val="single" w:sz="2" w:space="0" w:color="000000"/>
              <w:bottom w:val="single" w:sz="8"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-13.16</w:t>
            </w:r>
          </w:p>
        </w:tc>
      </w:tr>
    </w:tbl>
    <w:p w:rsidR="00000000" w:rsidRDefault="000A1C5E">
      <w:pPr>
        <w:autoSpaceDN w:val="0"/>
        <w:spacing w:beforeAutospacing="1" w:afterAutospacing="1"/>
        <w:rPr>
          <w:rFonts w:ascii="宋体" w:hAnsi="宋体"/>
          <w:sz w:val="24"/>
        </w:rPr>
      </w:pPr>
      <w:r>
        <w:rPr>
          <w:rFonts w:ascii="仿宋_GB2312" w:eastAsia="仿宋_GB2312" w:hAnsi="仿宋_GB2312"/>
          <w:sz w:val="18"/>
        </w:rPr>
        <w:t>大型企业</w:t>
      </w:r>
    </w:p>
    <w:tbl>
      <w:tblPr>
        <w:tblW w:w="0" w:type="auto"/>
        <w:tblInd w:w="30" w:type="dxa"/>
        <w:tblBorders>
          <w:top w:val="single" w:sz="8" w:space="0" w:color="000000"/>
          <w:left w:val="single" w:sz="8" w:space="0" w:color="000000"/>
          <w:bottom w:val="single" w:sz="8" w:space="0" w:color="000000"/>
          <w:right w:val="single" w:sz="8" w:space="0" w:color="000000"/>
        </w:tblBorders>
        <w:tblLayout w:type="fixed"/>
        <w:tblCellMar>
          <w:left w:w="30" w:type="dxa"/>
          <w:right w:w="30" w:type="dxa"/>
        </w:tblCellMar>
        <w:tblLook w:val="0000" w:firstRow="0" w:lastRow="0" w:firstColumn="0" w:lastColumn="0" w:noHBand="0" w:noVBand="0"/>
      </w:tblPr>
      <w:tblGrid>
        <w:gridCol w:w="260"/>
        <w:gridCol w:w="1667"/>
        <w:gridCol w:w="530"/>
        <w:gridCol w:w="530"/>
        <w:gridCol w:w="530"/>
        <w:gridCol w:w="530"/>
        <w:gridCol w:w="530"/>
        <w:gridCol w:w="3788"/>
      </w:tblGrid>
      <w:tr w:rsidR="00000000">
        <w:trPr>
          <w:trHeight w:val="284"/>
        </w:trPr>
        <w:tc>
          <w:tcPr>
            <w:tcW w:w="260" w:type="dxa"/>
            <w:tcBorders>
              <w:top w:val="single" w:sz="8"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1667"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指</w:t>
            </w:r>
            <w:r>
              <w:rPr>
                <w:rFonts w:ascii="仿宋_GB2312" w:eastAsia="仿宋_GB2312" w:hAnsi="仿宋_GB2312"/>
                <w:b/>
                <w:sz w:val="18"/>
              </w:rPr>
              <w:t xml:space="preserve">  </w:t>
            </w:r>
            <w:r>
              <w:rPr>
                <w:rFonts w:ascii="仿宋_GB2312" w:eastAsia="仿宋_GB2312" w:hAnsi="仿宋_GB2312"/>
                <w:b/>
                <w:sz w:val="18"/>
              </w:rPr>
              <w:t>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优秀</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良好</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平均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警戒线</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偏差</w:t>
            </w:r>
          </w:p>
        </w:tc>
        <w:tc>
          <w:tcPr>
            <w:tcW w:w="3788" w:type="dxa"/>
            <w:tcBorders>
              <w:top w:val="single" w:sz="8"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较差</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一</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盈利能力指标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股本收益率（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25.14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15.47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7.50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2.39</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-1.40</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毛利率（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38.54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30.37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19.62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11.91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6.48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21.31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15.89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9.51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5.04</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成本费用利润率</w:t>
            </w:r>
            <w:r>
              <w:rPr>
                <w:rFonts w:ascii="仿宋_GB2312" w:eastAsia="仿宋_GB2312" w:hAnsi="仿宋_GB2312"/>
                <w:sz w:val="18"/>
              </w:rPr>
              <w:t>（</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23.42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14.56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7.66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3.36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二</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债务风险指标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lastRenderedPageBreak/>
              <w:t>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资产负债率（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38.09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46.47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57.37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69.00</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76.71</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0.55</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0.32</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总债务</w:t>
            </w:r>
            <w:r>
              <w:rPr>
                <w:rFonts w:ascii="仿宋_GB2312" w:eastAsia="仿宋_GB2312" w:hAnsi="仿宋_GB2312"/>
                <w:sz w:val="18"/>
              </w:rPr>
              <w:t>/EBITDA</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5.23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6.30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9.51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16.15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息税前利润保障比率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15.67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9.17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4.19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-5.66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速动比率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0.34</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0.13</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现金债务总比率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-0.03</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三</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资金营运指标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0.79</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0.64</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2.69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1.10</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0.87</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存货周转率（次）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8.09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5.83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3.92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2.07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应收账款周转率（次）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12.76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8.63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5.08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2.72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1.67</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四</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发展指标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营业收入增长率（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28.86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21.82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12.75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5.02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-4.62</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有形净资产增长率（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21.44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15.88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9.79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4.52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22.63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18.28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7.70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3.94</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-0.58</w:t>
            </w:r>
          </w:p>
        </w:tc>
      </w:tr>
      <w:tr w:rsidR="00000000">
        <w:trPr>
          <w:trHeight w:val="284"/>
        </w:trPr>
        <w:tc>
          <w:tcPr>
            <w:tcW w:w="260" w:type="dxa"/>
            <w:tcBorders>
              <w:top w:val="single" w:sz="2" w:space="0" w:color="000000"/>
              <w:left w:val="single" w:sz="8" w:space="0" w:color="000000"/>
              <w:bottom w:val="single" w:sz="8"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三年利润平均增长率（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27.60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21.03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8.41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-5.71</w:t>
            </w:r>
          </w:p>
        </w:tc>
        <w:tc>
          <w:tcPr>
            <w:tcW w:w="3788" w:type="dxa"/>
            <w:tcBorders>
              <w:top w:val="single" w:sz="2" w:space="0" w:color="000000"/>
              <w:left w:val="single" w:sz="2" w:space="0" w:color="000000"/>
              <w:bottom w:val="single" w:sz="8"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-14.21</w:t>
            </w:r>
          </w:p>
        </w:tc>
      </w:tr>
    </w:tbl>
    <w:p w:rsidR="00000000" w:rsidRDefault="000A1C5E">
      <w:pPr>
        <w:autoSpaceDN w:val="0"/>
        <w:spacing w:beforeAutospacing="1" w:afterAutospacing="1"/>
        <w:rPr>
          <w:rFonts w:ascii="宋体" w:hAnsi="宋体"/>
          <w:sz w:val="24"/>
        </w:rPr>
      </w:pPr>
      <w:r>
        <w:rPr>
          <w:rFonts w:ascii="仿宋_GB2312" w:eastAsia="仿宋_GB2312" w:hAnsi="仿宋_GB2312"/>
          <w:sz w:val="18"/>
        </w:rPr>
        <w:t>中型企业</w:t>
      </w:r>
    </w:p>
    <w:tbl>
      <w:tblPr>
        <w:tblW w:w="0" w:type="auto"/>
        <w:tblInd w:w="30" w:type="dxa"/>
        <w:tblBorders>
          <w:top w:val="single" w:sz="8" w:space="0" w:color="000000"/>
          <w:left w:val="single" w:sz="8" w:space="0" w:color="000000"/>
          <w:bottom w:val="single" w:sz="8" w:space="0" w:color="000000"/>
          <w:right w:val="single" w:sz="8" w:space="0" w:color="000000"/>
        </w:tblBorders>
        <w:tblLayout w:type="fixed"/>
        <w:tblCellMar>
          <w:left w:w="30" w:type="dxa"/>
          <w:right w:w="30" w:type="dxa"/>
        </w:tblCellMar>
        <w:tblLook w:val="0000" w:firstRow="0" w:lastRow="0" w:firstColumn="0" w:lastColumn="0" w:noHBand="0" w:noVBand="0"/>
      </w:tblPr>
      <w:tblGrid>
        <w:gridCol w:w="260"/>
        <w:gridCol w:w="1667"/>
        <w:gridCol w:w="530"/>
        <w:gridCol w:w="530"/>
        <w:gridCol w:w="530"/>
        <w:gridCol w:w="530"/>
        <w:gridCol w:w="530"/>
        <w:gridCol w:w="3788"/>
      </w:tblGrid>
      <w:tr w:rsidR="00000000">
        <w:trPr>
          <w:trHeight w:val="284"/>
        </w:trPr>
        <w:tc>
          <w:tcPr>
            <w:tcW w:w="260" w:type="dxa"/>
            <w:tcBorders>
              <w:top w:val="single" w:sz="8"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1667"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指</w:t>
            </w:r>
            <w:r>
              <w:rPr>
                <w:rFonts w:ascii="仿宋_GB2312" w:eastAsia="仿宋_GB2312" w:hAnsi="仿宋_GB2312"/>
                <w:b/>
                <w:sz w:val="18"/>
              </w:rPr>
              <w:t xml:space="preserve">  </w:t>
            </w:r>
            <w:r>
              <w:rPr>
                <w:rFonts w:ascii="仿宋_GB2312" w:eastAsia="仿宋_GB2312" w:hAnsi="仿宋_GB2312"/>
                <w:b/>
                <w:sz w:val="18"/>
              </w:rPr>
              <w:t>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优秀</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良好</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平均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警戒线</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偏差</w:t>
            </w:r>
          </w:p>
        </w:tc>
        <w:tc>
          <w:tcPr>
            <w:tcW w:w="3788" w:type="dxa"/>
            <w:tcBorders>
              <w:top w:val="single" w:sz="8"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较差</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一</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盈利能力指标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股</w:t>
            </w:r>
            <w:r>
              <w:rPr>
                <w:rFonts w:ascii="仿宋_GB2312" w:eastAsia="仿宋_GB2312" w:hAnsi="仿宋_GB2312"/>
                <w:sz w:val="18"/>
              </w:rPr>
              <w:t>本收益率（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26.15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16.38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3.73</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毛利率（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39.80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32.88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21.93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14.37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9.90</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24.07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11.03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5.32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成本费用利润率（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26.34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16.71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9.12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3.77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0.40</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二</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债务风险指标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资产负债率（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34.46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43.51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55.01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65.57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74.05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1.97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w:t>
            </w:r>
            <w:r>
              <w:rPr>
                <w:rFonts w:ascii="仿宋_GB2312" w:eastAsia="仿宋_GB2312" w:hAnsi="仿宋_GB2312"/>
                <w:sz w:val="18"/>
              </w:rPr>
              <w:t>41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0.61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总债务</w:t>
            </w:r>
            <w:r>
              <w:rPr>
                <w:rFonts w:ascii="仿宋_GB2312" w:eastAsia="仿宋_GB2312" w:hAnsi="仿宋_GB2312"/>
                <w:sz w:val="18"/>
              </w:rPr>
              <w:t>/EBITDA</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4.28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6.30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8.51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14.18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息税前利润保障比率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22.37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13.28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6.25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2.66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0.82</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速动比率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0.71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现金债务总比率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0.27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-0.06</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三</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资金营运指标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0.84</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0.69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3.16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存货周转率（次）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9.30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6.78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4.31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2.71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lastRenderedPageBreak/>
              <w:t>14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应收账款周转率（次）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14.11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9.33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5.39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3.00</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2.17</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四</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发展指标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营业收入增长率（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30.32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23.03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13.59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6.42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-1.40</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有形净资产增长率（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22.88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16.72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10.63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4.97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-0.37</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总资产增长率</w:t>
            </w:r>
            <w:r>
              <w:rPr>
                <w:rFonts w:ascii="仿宋_GB2312" w:eastAsia="仿宋_GB2312" w:hAnsi="仿宋_GB2312"/>
                <w:sz w:val="18"/>
              </w:rPr>
              <w:t>（</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23.88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10.79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7.70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5.04</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0.59</w:t>
            </w:r>
          </w:p>
        </w:tc>
      </w:tr>
      <w:tr w:rsidR="00000000">
        <w:trPr>
          <w:trHeight w:val="284"/>
        </w:trPr>
        <w:tc>
          <w:tcPr>
            <w:tcW w:w="260" w:type="dxa"/>
            <w:tcBorders>
              <w:top w:val="single" w:sz="2" w:space="0" w:color="000000"/>
              <w:left w:val="single" w:sz="8" w:space="0" w:color="000000"/>
              <w:bottom w:val="single" w:sz="8"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三年利润平均增长率（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28.69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21.51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9.35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-3.39</w:t>
            </w:r>
          </w:p>
        </w:tc>
        <w:tc>
          <w:tcPr>
            <w:tcW w:w="3788" w:type="dxa"/>
            <w:tcBorders>
              <w:top w:val="single" w:sz="2" w:space="0" w:color="000000"/>
              <w:left w:val="single" w:sz="2" w:space="0" w:color="000000"/>
              <w:bottom w:val="single" w:sz="8"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-12.53</w:t>
            </w:r>
          </w:p>
        </w:tc>
      </w:tr>
    </w:tbl>
    <w:p w:rsidR="00000000" w:rsidRDefault="000A1C5E">
      <w:pPr>
        <w:autoSpaceDN w:val="0"/>
        <w:spacing w:beforeAutospacing="1" w:afterAutospacing="1"/>
        <w:rPr>
          <w:rFonts w:ascii="宋体" w:hAnsi="宋体"/>
          <w:sz w:val="24"/>
        </w:rPr>
      </w:pPr>
      <w:r>
        <w:rPr>
          <w:rFonts w:ascii="仿宋_GB2312" w:eastAsia="仿宋_GB2312" w:hAnsi="仿宋_GB2312"/>
          <w:sz w:val="18"/>
        </w:rPr>
        <w:t>小型企业</w:t>
      </w:r>
    </w:p>
    <w:tbl>
      <w:tblPr>
        <w:tblW w:w="0" w:type="auto"/>
        <w:tblInd w:w="30" w:type="dxa"/>
        <w:tblBorders>
          <w:top w:val="single" w:sz="8" w:space="0" w:color="000000"/>
          <w:left w:val="single" w:sz="8" w:space="0" w:color="000000"/>
          <w:bottom w:val="single" w:sz="8" w:space="0" w:color="000000"/>
          <w:right w:val="single" w:sz="8" w:space="0" w:color="000000"/>
        </w:tblBorders>
        <w:tblLayout w:type="fixed"/>
        <w:tblCellMar>
          <w:left w:w="30" w:type="dxa"/>
          <w:right w:w="30" w:type="dxa"/>
        </w:tblCellMar>
        <w:tblLook w:val="0000" w:firstRow="0" w:lastRow="0" w:firstColumn="0" w:lastColumn="0" w:noHBand="0" w:noVBand="0"/>
      </w:tblPr>
      <w:tblGrid>
        <w:gridCol w:w="260"/>
        <w:gridCol w:w="1667"/>
        <w:gridCol w:w="530"/>
        <w:gridCol w:w="530"/>
        <w:gridCol w:w="530"/>
        <w:gridCol w:w="530"/>
        <w:gridCol w:w="530"/>
        <w:gridCol w:w="3788"/>
      </w:tblGrid>
      <w:tr w:rsidR="00000000">
        <w:trPr>
          <w:trHeight w:val="284"/>
        </w:trPr>
        <w:tc>
          <w:tcPr>
            <w:tcW w:w="260" w:type="dxa"/>
            <w:tcBorders>
              <w:top w:val="single" w:sz="8"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1667"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指</w:t>
            </w:r>
            <w:r>
              <w:rPr>
                <w:rFonts w:ascii="仿宋_GB2312" w:eastAsia="仿宋_GB2312" w:hAnsi="仿宋_GB2312"/>
                <w:b/>
                <w:sz w:val="18"/>
              </w:rPr>
              <w:t xml:space="preserve">  </w:t>
            </w:r>
            <w:r>
              <w:rPr>
                <w:rFonts w:ascii="仿宋_GB2312" w:eastAsia="仿宋_GB2312" w:hAnsi="仿宋_GB2312"/>
                <w:b/>
                <w:sz w:val="18"/>
              </w:rPr>
              <w:t>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优秀</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良好</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平均</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警戒线</w:t>
            </w:r>
          </w:p>
        </w:tc>
        <w:tc>
          <w:tcPr>
            <w:tcW w:w="530" w:type="dxa"/>
            <w:tcBorders>
              <w:top w:val="single" w:sz="8"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偏差</w:t>
            </w:r>
          </w:p>
        </w:tc>
        <w:tc>
          <w:tcPr>
            <w:tcW w:w="3788" w:type="dxa"/>
            <w:tcBorders>
              <w:top w:val="single" w:sz="8"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较差</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一</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盈利能力指标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股本收益率（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28.77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18.38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9.51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4.94</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毛利率（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41.65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34.61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24.14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15.92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11.89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总资产收益率（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25.08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19.10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11.89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6.66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2.99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成本费用利润率（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28.56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18.27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4.96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1.81</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二</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债务风险指标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资产负债率（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32.44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40.65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52.73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63.86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72.44</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2.15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0.66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0.44</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总债务</w:t>
            </w:r>
            <w:r>
              <w:rPr>
                <w:rFonts w:ascii="仿宋_GB2312" w:eastAsia="仿宋_GB2312" w:hAnsi="仿宋_GB2312"/>
                <w:sz w:val="18"/>
              </w:rPr>
              <w:t>/EBITDA</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3.73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6.30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7.33</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12.27</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息税前利润保障比率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27.08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6.86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7.80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3.07</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速动比率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0.77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0.50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0.42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0.25</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现金债务总比率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0.66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0.32</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0.10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-0.04</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三</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资金营运指标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2.06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0.86</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0.70</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流动资产周转率（次）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4.17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2.89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1.22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0.99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13</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存货周转率（次）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10.33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7.68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4.71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3.60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3.04</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2.28</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14</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应收账款周转率（次）</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15.55</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10.34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w:t>
            </w:r>
            <w:r>
              <w:rPr>
                <w:rFonts w:ascii="仿宋_GB2312" w:eastAsia="仿宋_GB2312" w:hAnsi="仿宋_GB2312"/>
                <w:sz w:val="18"/>
              </w:rPr>
              <w:t>.36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4.40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3.95</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2.89</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b/>
                <w:sz w:val="18"/>
              </w:rPr>
              <w:t>四</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b/>
                <w:sz w:val="18"/>
              </w:rPr>
              <w:t>发展指标</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textAlignment w:val="top"/>
              <w:rPr>
                <w:rFonts w:ascii="宋体" w:hAnsi="宋体"/>
                <w:sz w:val="24"/>
              </w:rPr>
            </w:pP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营业收入增长率（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32.47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23.99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15.01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9.90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7.12</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0.01</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16</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有形净资产增长率（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24.68</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18.49</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11.41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8.00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6.01</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1.12</w:t>
            </w:r>
          </w:p>
        </w:tc>
      </w:tr>
      <w:tr w:rsidR="00000000">
        <w:trPr>
          <w:trHeight w:val="284"/>
        </w:trPr>
        <w:tc>
          <w:tcPr>
            <w:tcW w:w="260" w:type="dxa"/>
            <w:tcBorders>
              <w:top w:val="single" w:sz="2" w:space="0" w:color="000000"/>
              <w:left w:val="single" w:sz="8"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17</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总资产增长率（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25.04</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19.43</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11.16</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7.70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5.98</w:t>
            </w:r>
          </w:p>
        </w:tc>
        <w:tc>
          <w:tcPr>
            <w:tcW w:w="3788" w:type="dxa"/>
            <w:tcBorders>
              <w:top w:val="single" w:sz="2" w:space="0" w:color="000000"/>
              <w:left w:val="single" w:sz="2" w:space="0" w:color="000000"/>
              <w:bottom w:val="single" w:sz="2"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2.27</w:t>
            </w:r>
          </w:p>
        </w:tc>
      </w:tr>
      <w:tr w:rsidR="00000000">
        <w:trPr>
          <w:trHeight w:val="284"/>
        </w:trPr>
        <w:tc>
          <w:tcPr>
            <w:tcW w:w="260" w:type="dxa"/>
            <w:tcBorders>
              <w:top w:val="single" w:sz="2" w:space="0" w:color="000000"/>
              <w:left w:val="single" w:sz="8" w:space="0" w:color="000000"/>
              <w:bottom w:val="single" w:sz="8"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18</w:t>
            </w:r>
          </w:p>
        </w:tc>
        <w:tc>
          <w:tcPr>
            <w:tcW w:w="166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rPr>
                <w:rFonts w:ascii="宋体" w:hAnsi="宋体"/>
                <w:sz w:val="24"/>
              </w:rPr>
            </w:pPr>
            <w:r>
              <w:rPr>
                <w:rFonts w:ascii="仿宋_GB2312" w:eastAsia="仿宋_GB2312" w:hAnsi="仿宋_GB2312"/>
                <w:sz w:val="18"/>
              </w:rPr>
              <w:t>三年利润平均增长率（</w:t>
            </w:r>
            <w:r>
              <w:rPr>
                <w:rFonts w:ascii="仿宋_GB2312" w:eastAsia="仿宋_GB2312" w:hAnsi="仿宋_GB2312"/>
                <w:sz w:val="18"/>
              </w:rPr>
              <w:t>%</w:t>
            </w:r>
            <w:r>
              <w:rPr>
                <w:rFonts w:ascii="仿宋_GB2312" w:eastAsia="仿宋_GB2312" w:hAnsi="仿宋_GB2312"/>
                <w:sz w:val="18"/>
              </w:rPr>
              <w:t>）</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30.20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22.87</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10.81</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3.40</w:t>
            </w:r>
          </w:p>
        </w:tc>
        <w:tc>
          <w:tcPr>
            <w:tcW w:w="53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-0.32</w:t>
            </w:r>
          </w:p>
        </w:tc>
        <w:tc>
          <w:tcPr>
            <w:tcW w:w="3788" w:type="dxa"/>
            <w:tcBorders>
              <w:top w:val="single" w:sz="2" w:space="0" w:color="000000"/>
              <w:left w:val="single" w:sz="2" w:space="0" w:color="000000"/>
              <w:bottom w:val="single" w:sz="8" w:space="0" w:color="000000"/>
              <w:right w:val="single" w:sz="8" w:space="0" w:color="000000"/>
            </w:tcBorders>
            <w:tcMar>
              <w:top w:w="0" w:type="dxa"/>
              <w:left w:w="30" w:type="dxa"/>
              <w:bottom w:w="0" w:type="dxa"/>
              <w:right w:w="30" w:type="dxa"/>
            </w:tcMar>
          </w:tcPr>
          <w:p w:rsidR="00000000" w:rsidRDefault="000A1C5E">
            <w:pPr>
              <w:autoSpaceDN w:val="0"/>
              <w:jc w:val="center"/>
              <w:rPr>
                <w:rFonts w:ascii="宋体" w:hAnsi="宋体"/>
                <w:sz w:val="24"/>
              </w:rPr>
            </w:pPr>
            <w:r>
              <w:rPr>
                <w:rFonts w:ascii="仿宋_GB2312" w:eastAsia="仿宋_GB2312" w:hAnsi="仿宋_GB2312"/>
                <w:sz w:val="18"/>
              </w:rPr>
              <w:t>-11.37</w:t>
            </w:r>
          </w:p>
        </w:tc>
      </w:tr>
    </w:tbl>
    <w:p w:rsidR="00000000" w:rsidRDefault="000A1C5E"/>
    <w:sectPr w:rsidR="00000000">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altName w:val="Segoe Light"/>
    <w:panose1 w:val="020F0302020204030204"/>
    <w:charset w:val="00"/>
    <w:family w:val="roman"/>
    <w:notTrueType/>
    <w:pitch w:val="default"/>
  </w:font>
  <w:font w:name="Calibri">
    <w:panose1 w:val="020F0502020204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A1C5E"/>
    <w:rsid w:val="00A97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BC8EC228-E9BB-4ACE-926D-A47A0F5E6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2579</Words>
  <Characters>14704</Characters>
  <Application>Microsoft Office Word</Application>
  <DocSecurity>0</DocSecurity>
  <PresentationFormat/>
  <Lines>122</Lines>
  <Paragraphs>34</Paragraphs>
  <Slides>0</Slides>
  <Notes>0</Notes>
  <HiddenSlides>0</HiddenSlides>
  <MMClips>0</MMClips>
  <ScaleCrop>false</ScaleCrop>
  <Manager/>
  <Company/>
  <LinksUpToDate>false</LinksUpToDate>
  <CharactersWithSpaces>17249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医药制造行业2014年政策及投向指引</dc:title>
  <dc:subject/>
  <cp:keywords/>
  <dc:description/>
  <cp:lastModifiedBy>张艳坤</cp:lastModifiedBy>
  <cp:revision>2</cp:revision>
  <dcterms:created xsi:type="dcterms:W3CDTF">2015-05-17T15:05:00Z</dcterms:created>
  <dcterms:modified xsi:type="dcterms:W3CDTF">2015-05-17T15:05:00Z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