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661157">
      <w:pPr>
        <w:jc w:val="center"/>
        <w:rPr>
          <w:rFonts w:eastAsia="黑体" w:hint="eastAsia"/>
          <w:b/>
          <w:sz w:val="44"/>
        </w:rPr>
      </w:pPr>
    </w:p>
    <w:p w:rsidR="00000000" w:rsidRDefault="00661157">
      <w:pPr>
        <w:jc w:val="center"/>
        <w:rPr>
          <w:rFonts w:eastAsia="黑体" w:hint="eastAsia"/>
          <w:b/>
          <w:sz w:val="44"/>
        </w:rPr>
      </w:pPr>
      <w:r>
        <w:rPr>
          <w:rFonts w:eastAsia="黑体" w:hint="eastAsia"/>
          <w:b/>
          <w:sz w:val="44"/>
        </w:rPr>
        <w:t>重新认识经营租赁</w:t>
      </w:r>
    </w:p>
    <w:p w:rsidR="00000000" w:rsidRDefault="00661157">
      <w:pPr>
        <w:jc w:val="center"/>
        <w:rPr>
          <w:rFonts w:eastAsia="希望仿宋" w:hint="eastAsia"/>
          <w:b/>
          <w:sz w:val="32"/>
        </w:rPr>
      </w:pPr>
      <w:r>
        <w:rPr>
          <w:rFonts w:eastAsia="黑体" w:hint="eastAsia"/>
          <w:b/>
          <w:sz w:val="44"/>
        </w:rPr>
        <w:t xml:space="preserve">                </w:t>
      </w:r>
      <w:r>
        <w:rPr>
          <w:rFonts w:eastAsia="希望仿宋" w:hint="eastAsia"/>
          <w:b/>
          <w:sz w:val="32"/>
        </w:rPr>
        <w:t>－－经营租赁论丛之一</w:t>
      </w:r>
    </w:p>
    <w:p w:rsidR="00000000" w:rsidRDefault="00661157">
      <w:pPr>
        <w:jc w:val="center"/>
        <w:rPr>
          <w:rFonts w:eastAsia="黑体" w:hint="eastAsia"/>
          <w:b/>
          <w:sz w:val="44"/>
        </w:rPr>
      </w:pPr>
    </w:p>
    <w:p w:rsidR="00000000" w:rsidRDefault="00661157">
      <w:pPr>
        <w:numPr>
          <w:ilvl w:val="0"/>
          <w:numId w:val="11"/>
        </w:numPr>
        <w:jc w:val="center"/>
        <w:rPr>
          <w:rFonts w:eastAsia="黑体" w:hint="eastAsia"/>
          <w:b/>
          <w:sz w:val="28"/>
        </w:rPr>
      </w:pPr>
      <w:r>
        <w:rPr>
          <w:rFonts w:eastAsia="黑体" w:hint="eastAsia"/>
          <w:b/>
          <w:sz w:val="28"/>
        </w:rPr>
        <w:t>问题的由来</w:t>
      </w:r>
    </w:p>
    <w:p w:rsidR="00000000" w:rsidRDefault="00661157">
      <w:pPr>
        <w:jc w:val="center"/>
        <w:rPr>
          <w:rFonts w:eastAsia="黑体" w:hint="eastAsia"/>
          <w:b/>
          <w:sz w:val="28"/>
        </w:rPr>
      </w:pPr>
    </w:p>
    <w:p w:rsidR="00000000" w:rsidRDefault="00661157">
      <w:pPr>
        <w:ind w:firstLine="495"/>
        <w:rPr>
          <w:rFonts w:eastAsia="楷体_GB2312" w:hint="eastAsia"/>
          <w:b/>
          <w:sz w:val="24"/>
        </w:rPr>
      </w:pPr>
      <w:r>
        <w:rPr>
          <w:rFonts w:eastAsia="楷体_GB2312" w:hint="eastAsia"/>
          <w:b/>
          <w:sz w:val="24"/>
        </w:rPr>
        <w:t>经营租赁这个词，人们耳熟能详。好象是，自八十年代初融资租赁引入我国时起，就同时有了经营租赁的说法。然而，值得玩味的是，这个用语正式见诸我国的行政法规，却是二十年后的事。我们首次见到有这个用语的行政法规，是中国人民银行于</w:t>
      </w:r>
      <w:r>
        <w:rPr>
          <w:rFonts w:eastAsia="楷体_GB2312" w:hint="eastAsia"/>
          <w:b/>
          <w:sz w:val="24"/>
        </w:rPr>
        <w:t>2000</w:t>
      </w:r>
      <w:r>
        <w:rPr>
          <w:rFonts w:eastAsia="楷体_GB2312" w:hint="eastAsia"/>
          <w:b/>
          <w:sz w:val="24"/>
        </w:rPr>
        <w:t>年</w:t>
      </w:r>
      <w:r>
        <w:rPr>
          <w:rFonts w:eastAsia="楷体_GB2312" w:hint="eastAsia"/>
          <w:b/>
          <w:sz w:val="24"/>
        </w:rPr>
        <w:t>6</w:t>
      </w:r>
      <w:r>
        <w:rPr>
          <w:rFonts w:eastAsia="楷体_GB2312" w:hint="eastAsia"/>
          <w:b/>
          <w:sz w:val="24"/>
        </w:rPr>
        <w:t>月</w:t>
      </w:r>
      <w:r>
        <w:rPr>
          <w:rFonts w:eastAsia="楷体_GB2312" w:hint="eastAsia"/>
          <w:b/>
          <w:sz w:val="24"/>
        </w:rPr>
        <w:t>30</w:t>
      </w:r>
      <w:r>
        <w:rPr>
          <w:rFonts w:eastAsia="楷体_GB2312" w:hint="eastAsia"/>
          <w:b/>
          <w:sz w:val="24"/>
        </w:rPr>
        <w:t>日发布实施的《</w:t>
      </w:r>
      <w:r>
        <w:rPr>
          <w:rFonts w:eastAsia="黑体" w:hint="eastAsia"/>
          <w:b/>
          <w:sz w:val="24"/>
        </w:rPr>
        <w:t>金融租赁公司管理办法</w:t>
      </w:r>
      <w:r>
        <w:rPr>
          <w:rFonts w:eastAsia="楷体_GB2312" w:hint="eastAsia"/>
          <w:b/>
          <w:sz w:val="24"/>
        </w:rPr>
        <w:t>》，但是未见其定义。接着，我们在财政部于</w:t>
      </w:r>
      <w:r>
        <w:rPr>
          <w:rFonts w:eastAsia="楷体_GB2312" w:hint="eastAsia"/>
          <w:b/>
          <w:sz w:val="24"/>
        </w:rPr>
        <w:t>2001</w:t>
      </w:r>
      <w:r>
        <w:rPr>
          <w:rFonts w:eastAsia="楷体_GB2312" w:hint="eastAsia"/>
          <w:b/>
          <w:sz w:val="24"/>
        </w:rPr>
        <w:t>年</w:t>
      </w:r>
      <w:r>
        <w:rPr>
          <w:rFonts w:eastAsia="楷体_GB2312" w:hint="eastAsia"/>
          <w:b/>
          <w:sz w:val="24"/>
        </w:rPr>
        <w:t>1</w:t>
      </w:r>
      <w:r>
        <w:rPr>
          <w:rFonts w:eastAsia="楷体_GB2312" w:hint="eastAsia"/>
          <w:b/>
          <w:sz w:val="24"/>
        </w:rPr>
        <w:t>月</w:t>
      </w:r>
      <w:r>
        <w:rPr>
          <w:rFonts w:eastAsia="楷体_GB2312" w:hint="eastAsia"/>
          <w:b/>
          <w:sz w:val="24"/>
        </w:rPr>
        <w:t>1</w:t>
      </w:r>
      <w:r>
        <w:rPr>
          <w:rFonts w:eastAsia="楷体_GB2312" w:hint="eastAsia"/>
          <w:b/>
          <w:sz w:val="24"/>
        </w:rPr>
        <w:t>日起实施的《</w:t>
      </w:r>
      <w:r>
        <w:rPr>
          <w:rFonts w:eastAsia="黑体" w:hint="eastAsia"/>
          <w:b/>
          <w:sz w:val="24"/>
        </w:rPr>
        <w:t>企业会计准则－租赁</w:t>
      </w:r>
      <w:r>
        <w:rPr>
          <w:rFonts w:eastAsia="楷体_GB2312" w:hint="eastAsia"/>
          <w:b/>
          <w:sz w:val="24"/>
        </w:rPr>
        <w:t>》中又见到了这个用语，而且还见到了它的定义：“</w:t>
      </w:r>
      <w:r>
        <w:rPr>
          <w:rFonts w:eastAsia="仿宋_GB2312" w:hint="eastAsia"/>
          <w:b/>
          <w:sz w:val="24"/>
        </w:rPr>
        <w:t>经营租赁是指除融资租</w:t>
      </w:r>
      <w:r>
        <w:rPr>
          <w:rFonts w:eastAsia="仿宋_GB2312" w:hint="eastAsia"/>
          <w:b/>
          <w:sz w:val="24"/>
        </w:rPr>
        <w:t>赁以外的其它租赁。</w:t>
      </w:r>
      <w:r>
        <w:rPr>
          <w:rFonts w:eastAsia="楷体_GB2312" w:hint="eastAsia"/>
          <w:b/>
          <w:sz w:val="24"/>
        </w:rPr>
        <w:t>”</w:t>
      </w:r>
      <w:r>
        <w:rPr>
          <w:rFonts w:hint="eastAsia"/>
          <w:b/>
          <w:sz w:val="28"/>
        </w:rPr>
        <w:t xml:space="preserve"> </w:t>
      </w:r>
      <w:r>
        <w:rPr>
          <w:rFonts w:eastAsia="楷体_GB2312" w:hint="eastAsia"/>
          <w:b/>
          <w:sz w:val="24"/>
        </w:rPr>
        <w:t>或许是受这个定义的影响吧，在对外贸易经济合作部于</w:t>
      </w:r>
      <w:r>
        <w:rPr>
          <w:rFonts w:eastAsia="楷体_GB2312" w:hint="eastAsia"/>
          <w:b/>
          <w:sz w:val="24"/>
        </w:rPr>
        <w:t>2001</w:t>
      </w:r>
      <w:r>
        <w:rPr>
          <w:rFonts w:eastAsia="楷体_GB2312" w:hint="eastAsia"/>
          <w:b/>
          <w:sz w:val="24"/>
        </w:rPr>
        <w:t>年</w:t>
      </w:r>
      <w:r>
        <w:rPr>
          <w:rFonts w:eastAsia="楷体_GB2312" w:hint="eastAsia"/>
          <w:b/>
          <w:sz w:val="24"/>
        </w:rPr>
        <w:t>9</w:t>
      </w:r>
      <w:r>
        <w:rPr>
          <w:rFonts w:eastAsia="楷体_GB2312" w:hint="eastAsia"/>
          <w:b/>
          <w:sz w:val="24"/>
        </w:rPr>
        <w:t>月</w:t>
      </w:r>
      <w:r>
        <w:rPr>
          <w:rFonts w:eastAsia="楷体_GB2312" w:hint="eastAsia"/>
          <w:b/>
          <w:sz w:val="24"/>
        </w:rPr>
        <w:t>1</w:t>
      </w:r>
      <w:r>
        <w:rPr>
          <w:rFonts w:eastAsia="楷体_GB2312" w:hint="eastAsia"/>
          <w:b/>
          <w:sz w:val="24"/>
        </w:rPr>
        <w:t>日起实施的《</w:t>
      </w:r>
      <w:r>
        <w:rPr>
          <w:rFonts w:eastAsia="黑体" w:hint="eastAsia"/>
          <w:b/>
          <w:sz w:val="24"/>
        </w:rPr>
        <w:t>外商投资租赁公司审批管理暂行办法</w:t>
      </w:r>
      <w:r>
        <w:rPr>
          <w:rFonts w:eastAsia="楷体_GB2312" w:hint="eastAsia"/>
          <w:b/>
          <w:sz w:val="24"/>
        </w:rPr>
        <w:t>》中，我们见到的是“</w:t>
      </w:r>
      <w:r>
        <w:rPr>
          <w:rFonts w:eastAsia="仿宋_GB2312" w:hint="eastAsia"/>
          <w:b/>
          <w:sz w:val="24"/>
        </w:rPr>
        <w:t>其他租赁</w:t>
      </w:r>
      <w:r>
        <w:rPr>
          <w:rFonts w:eastAsia="楷体_GB2312" w:hint="eastAsia"/>
          <w:b/>
          <w:sz w:val="24"/>
        </w:rPr>
        <w:t>”这个用语。至于法律文件，则在《</w:t>
      </w:r>
      <w:r>
        <w:rPr>
          <w:rFonts w:eastAsia="黑体" w:hint="eastAsia"/>
          <w:b/>
          <w:sz w:val="24"/>
        </w:rPr>
        <w:t>中华人民共和国合同法</w:t>
      </w:r>
      <w:r>
        <w:rPr>
          <w:rFonts w:eastAsia="楷体_GB2312" w:hint="eastAsia"/>
          <w:b/>
          <w:sz w:val="24"/>
        </w:rPr>
        <w:t>》中，我们只见到“</w:t>
      </w:r>
      <w:r>
        <w:rPr>
          <w:rFonts w:eastAsia="仿宋_GB2312" w:hint="eastAsia"/>
          <w:b/>
          <w:sz w:val="24"/>
        </w:rPr>
        <w:t>租赁合同”，</w:t>
      </w:r>
      <w:r>
        <w:rPr>
          <w:rFonts w:eastAsia="楷体_GB2312" w:hint="eastAsia"/>
          <w:b/>
          <w:sz w:val="24"/>
        </w:rPr>
        <w:t>而未见</w:t>
      </w:r>
      <w:r>
        <w:rPr>
          <w:rFonts w:eastAsia="仿宋_GB2312" w:hint="eastAsia"/>
          <w:b/>
          <w:sz w:val="24"/>
        </w:rPr>
        <w:t>“经营租赁合同</w:t>
      </w:r>
      <w:r>
        <w:rPr>
          <w:rFonts w:eastAsia="楷体_GB2312" w:hint="eastAsia"/>
          <w:b/>
          <w:sz w:val="24"/>
        </w:rPr>
        <w:t>”的字样。面对法律法规中的不同表述，人们早已理出了头绪。原来，从随附于租赁物所有权的风险和报酬向承租人转移的程度看，租赁分为两大类。一类是融资租赁。其中，随附于租赁物所有权的风险和报酬是向承租人实质性地转移的；另一类是经营租赁。其中，随附于租赁物所有权</w:t>
      </w:r>
      <w:r>
        <w:rPr>
          <w:rFonts w:eastAsia="楷体_GB2312" w:hint="eastAsia"/>
          <w:b/>
          <w:sz w:val="24"/>
        </w:rPr>
        <w:t>的风险和报酬是不向承租人实质性地转移的。我们所见的“</w:t>
      </w:r>
      <w:r>
        <w:rPr>
          <w:rFonts w:eastAsia="仿宋_GB2312" w:hint="eastAsia"/>
          <w:b/>
          <w:sz w:val="24"/>
        </w:rPr>
        <w:t>其他租赁</w:t>
      </w:r>
      <w:r>
        <w:rPr>
          <w:rFonts w:eastAsia="楷体_GB2312" w:hint="eastAsia"/>
          <w:b/>
          <w:sz w:val="24"/>
        </w:rPr>
        <w:t>”和“</w:t>
      </w:r>
      <w:r>
        <w:rPr>
          <w:rFonts w:eastAsia="仿宋_GB2312" w:hint="eastAsia"/>
          <w:b/>
          <w:sz w:val="24"/>
        </w:rPr>
        <w:t>租赁合同</w:t>
      </w:r>
      <w:r>
        <w:rPr>
          <w:rFonts w:eastAsia="楷体_GB2312" w:hint="eastAsia"/>
          <w:b/>
          <w:sz w:val="24"/>
        </w:rPr>
        <w:t>”中的“</w:t>
      </w:r>
      <w:r>
        <w:rPr>
          <w:rFonts w:eastAsia="仿宋_GB2312" w:hint="eastAsia"/>
          <w:b/>
          <w:sz w:val="24"/>
        </w:rPr>
        <w:t>租赁</w:t>
      </w:r>
      <w:r>
        <w:rPr>
          <w:rFonts w:eastAsia="楷体_GB2312" w:hint="eastAsia"/>
          <w:b/>
          <w:sz w:val="24"/>
        </w:rPr>
        <w:t>”，应视为是“</w:t>
      </w:r>
      <w:r>
        <w:rPr>
          <w:rFonts w:eastAsia="仿宋_GB2312" w:hint="eastAsia"/>
          <w:b/>
          <w:sz w:val="24"/>
        </w:rPr>
        <w:t>经营租赁</w:t>
      </w:r>
      <w:r>
        <w:rPr>
          <w:rFonts w:eastAsia="楷体_GB2312" w:hint="eastAsia"/>
          <w:b/>
          <w:sz w:val="24"/>
        </w:rPr>
        <w:t>”的别称。而既然只有《</w:t>
      </w:r>
      <w:r>
        <w:rPr>
          <w:rFonts w:eastAsia="黑体" w:hint="eastAsia"/>
          <w:b/>
          <w:sz w:val="24"/>
        </w:rPr>
        <w:t>企业会计准则－租赁</w:t>
      </w:r>
      <w:r>
        <w:rPr>
          <w:rFonts w:eastAsia="楷体_GB2312" w:hint="eastAsia"/>
          <w:b/>
          <w:sz w:val="24"/>
        </w:rPr>
        <w:t>》中给出了经营租赁的上述定义，人们在区分租赁的类别时，很自然地都是按这个定义考虑的。为了可操作，财政部编写的《</w:t>
      </w:r>
      <w:r>
        <w:rPr>
          <w:rFonts w:eastAsia="黑体" w:hint="eastAsia"/>
          <w:b/>
          <w:sz w:val="24"/>
        </w:rPr>
        <w:t>企业会计准则－租赁</w:t>
      </w:r>
      <w:r>
        <w:rPr>
          <w:rFonts w:eastAsia="楷体_GB2312" w:hint="eastAsia"/>
          <w:b/>
          <w:sz w:val="24"/>
        </w:rPr>
        <w:t>》指南中规定了两个量化指标：一是，凡是租赁期限不小于租赁物可使用年限的</w:t>
      </w:r>
      <w:r>
        <w:rPr>
          <w:rFonts w:eastAsia="楷体_GB2312" w:hint="eastAsia"/>
          <w:b/>
          <w:sz w:val="24"/>
        </w:rPr>
        <w:t>75%</w:t>
      </w:r>
      <w:r>
        <w:rPr>
          <w:rFonts w:eastAsia="楷体_GB2312" w:hint="eastAsia"/>
          <w:b/>
          <w:sz w:val="24"/>
        </w:rPr>
        <w:t>的，是融资租赁，否则，就是经营租赁；二是，凡是据以计算租金的金额不小于租赁物原值的</w:t>
      </w:r>
      <w:r>
        <w:rPr>
          <w:rFonts w:eastAsia="楷体_GB2312" w:hint="eastAsia"/>
          <w:b/>
          <w:sz w:val="24"/>
        </w:rPr>
        <w:t>90%</w:t>
      </w:r>
      <w:r>
        <w:rPr>
          <w:rFonts w:eastAsia="楷体_GB2312" w:hint="eastAsia"/>
          <w:b/>
          <w:sz w:val="24"/>
        </w:rPr>
        <w:t>的，是融资租赁，否则，就是经营租赁。至此，租赁的从这个角度的分类问题，似</w:t>
      </w:r>
      <w:r>
        <w:rPr>
          <w:rFonts w:eastAsia="楷体_GB2312" w:hint="eastAsia"/>
          <w:b/>
          <w:sz w:val="24"/>
        </w:rPr>
        <w:t>乎是圆满地解决了。多明白呀！判别是否是融资租赁，已经有了十分明确的量化标准。而只要不符合这个标准的，就必是经营租赁无疑！而且，从对各类租赁机构监管的角度，从规范各类租赁交易当事人的权利义务的角度，从会计处理规范和信息披露的角度，以及，从税收的角度看，这样的界定应该说也就够了，或者说差不多了。然而，难题也正是藏在这个地方。经营租赁不是融资租赁，这好理解。但是，经营租赁到底是什么呢？单凭着不是什么这一点，我们并不能知道它到底是什么。之所以提出这样的问题，并非是要咬文嚼字，而是实践有这个要求。人们越来越感兴趣的是</w:t>
      </w:r>
      <w:r>
        <w:rPr>
          <w:rFonts w:eastAsia="楷体_GB2312" w:hint="eastAsia"/>
          <w:b/>
          <w:sz w:val="24"/>
        </w:rPr>
        <w:t>，经营租赁到底具有何种市场功能？例如，一部进口小轿车，价格是</w:t>
      </w:r>
      <w:r>
        <w:rPr>
          <w:rFonts w:eastAsia="楷体_GB2312" w:hint="eastAsia"/>
          <w:b/>
          <w:sz w:val="24"/>
        </w:rPr>
        <w:t>25</w:t>
      </w:r>
      <w:r>
        <w:rPr>
          <w:rFonts w:eastAsia="楷体_GB2312" w:hint="eastAsia"/>
          <w:b/>
          <w:sz w:val="24"/>
        </w:rPr>
        <w:t>万元，可以行驶</w:t>
      </w:r>
      <w:r>
        <w:rPr>
          <w:rFonts w:eastAsia="楷体_GB2312" w:hint="eastAsia"/>
          <w:b/>
          <w:sz w:val="24"/>
        </w:rPr>
        <w:t>30</w:t>
      </w:r>
      <w:r>
        <w:rPr>
          <w:rFonts w:eastAsia="楷体_GB2312" w:hint="eastAsia"/>
          <w:b/>
          <w:sz w:val="24"/>
        </w:rPr>
        <w:t>万公里，现在出租。如果据以计算租金的本金不小于</w:t>
      </w:r>
      <w:r>
        <w:rPr>
          <w:rFonts w:eastAsia="楷体_GB2312" w:hint="eastAsia"/>
          <w:b/>
          <w:sz w:val="24"/>
        </w:rPr>
        <w:t>22.5</w:t>
      </w:r>
      <w:r>
        <w:rPr>
          <w:rFonts w:eastAsia="楷体_GB2312" w:hint="eastAsia"/>
          <w:b/>
          <w:sz w:val="24"/>
        </w:rPr>
        <w:t>万元，或者出租的行驶里程不小于</w:t>
      </w:r>
      <w:r>
        <w:rPr>
          <w:rFonts w:eastAsia="楷体_GB2312" w:hint="eastAsia"/>
          <w:b/>
          <w:sz w:val="24"/>
        </w:rPr>
        <w:t>22.5</w:t>
      </w:r>
      <w:r>
        <w:rPr>
          <w:rFonts w:eastAsia="楷体_GB2312" w:hint="eastAsia"/>
          <w:b/>
          <w:sz w:val="24"/>
        </w:rPr>
        <w:t>万公里，那就是融资租赁。此外，就都是经营租赁。包括据以计算租金的本金从</w:t>
      </w:r>
      <w:r>
        <w:rPr>
          <w:rFonts w:eastAsia="楷体_GB2312" w:hint="eastAsia"/>
          <w:b/>
          <w:sz w:val="24"/>
        </w:rPr>
        <w:t>10</w:t>
      </w:r>
      <w:r>
        <w:rPr>
          <w:rFonts w:eastAsia="楷体_GB2312" w:hint="eastAsia"/>
          <w:b/>
          <w:sz w:val="24"/>
        </w:rPr>
        <w:t>元到</w:t>
      </w:r>
      <w:r>
        <w:rPr>
          <w:rFonts w:eastAsia="楷体_GB2312" w:hint="eastAsia"/>
          <w:b/>
          <w:sz w:val="24"/>
        </w:rPr>
        <w:t>22.49</w:t>
      </w:r>
      <w:r>
        <w:rPr>
          <w:rFonts w:eastAsia="楷体_GB2312" w:hint="eastAsia"/>
          <w:b/>
          <w:sz w:val="24"/>
        </w:rPr>
        <w:t>万元不等，或者出租的行驶里程从</w:t>
      </w:r>
      <w:r>
        <w:rPr>
          <w:rFonts w:eastAsia="楷体_GB2312" w:hint="eastAsia"/>
          <w:b/>
          <w:sz w:val="24"/>
        </w:rPr>
        <w:t>1</w:t>
      </w:r>
      <w:r>
        <w:rPr>
          <w:rFonts w:eastAsia="楷体_GB2312" w:hint="eastAsia"/>
          <w:b/>
          <w:sz w:val="24"/>
        </w:rPr>
        <w:t>公里到</w:t>
      </w:r>
      <w:r>
        <w:rPr>
          <w:rFonts w:eastAsia="楷体_GB2312" w:hint="eastAsia"/>
          <w:b/>
          <w:sz w:val="24"/>
        </w:rPr>
        <w:t>22.49</w:t>
      </w:r>
      <w:r>
        <w:rPr>
          <w:rFonts w:eastAsia="楷体_GB2312" w:hint="eastAsia"/>
          <w:b/>
          <w:sz w:val="24"/>
        </w:rPr>
        <w:t>万公里不等。试问，某人花十几元钱坐一趟出租汽车，同某公司总共花</w:t>
      </w:r>
      <w:r>
        <w:rPr>
          <w:rFonts w:eastAsia="楷体_GB2312" w:hint="eastAsia"/>
          <w:b/>
          <w:sz w:val="24"/>
        </w:rPr>
        <w:t>20</w:t>
      </w:r>
      <w:r>
        <w:rPr>
          <w:rFonts w:eastAsia="楷体_GB2312" w:hint="eastAsia"/>
          <w:b/>
          <w:sz w:val="24"/>
        </w:rPr>
        <w:t>多万元的租金长期租用一辆车，其市场功能是相同的吗？举这样的极端的例子，是为了说明，在经营租赁的帽子下，可能包含有功能十分不同的交易。既有</w:t>
      </w:r>
      <w:r>
        <w:rPr>
          <w:rFonts w:eastAsia="楷体_GB2312" w:hint="eastAsia"/>
          <w:b/>
          <w:sz w:val="24"/>
        </w:rPr>
        <w:t>我们太熟悉的传统租赁，例如租一间会议室用两天、租一部录像机用三个小时，租一件游泳衣用一个小时等等谈不上随附于租赁物所有权的风险和报酬的转移的租赁，也有上面所说的总共花几十万元租入一部小轿车用上好几年的、随附于租赁物所有权的风险和报酬有很大程度转移的、现代的、但又并非融资租赁的租赁。正是后面这种租赁，在国际上广为流行，被国际知名的租赁专家称为是融资租赁的发展形式。而且，在我国，近年来对这种租赁的市场需求，也呈现出日益旺盛的趋势，令人不由地刮目相看。我们这里要重新认识的，也正是这种租赁。</w:t>
      </w:r>
    </w:p>
    <w:p w:rsidR="00000000" w:rsidRDefault="00661157">
      <w:pPr>
        <w:numPr>
          <w:ilvl w:val="0"/>
          <w:numId w:val="11"/>
        </w:numPr>
        <w:jc w:val="center"/>
        <w:rPr>
          <w:rFonts w:eastAsia="黑体" w:hint="eastAsia"/>
          <w:b/>
          <w:sz w:val="28"/>
        </w:rPr>
      </w:pPr>
      <w:r>
        <w:rPr>
          <w:rFonts w:eastAsia="黑体" w:hint="eastAsia"/>
          <w:b/>
          <w:sz w:val="28"/>
        </w:rPr>
        <w:lastRenderedPageBreak/>
        <w:t>经营租赁同融资租赁的根</w:t>
      </w:r>
      <w:r>
        <w:rPr>
          <w:rFonts w:eastAsia="黑体" w:hint="eastAsia"/>
          <w:b/>
          <w:sz w:val="28"/>
        </w:rPr>
        <w:t>本区别</w:t>
      </w:r>
    </w:p>
    <w:p w:rsidR="00000000" w:rsidRDefault="00661157">
      <w:pPr>
        <w:rPr>
          <w:rFonts w:eastAsia="楷体_GB2312" w:hint="eastAsia"/>
          <w:b/>
          <w:sz w:val="24"/>
        </w:rPr>
      </w:pPr>
    </w:p>
    <w:p w:rsidR="00000000" w:rsidRDefault="00661157">
      <w:pPr>
        <w:ind w:firstLine="495"/>
        <w:rPr>
          <w:rFonts w:eastAsia="楷体_GB2312" w:hint="eastAsia"/>
          <w:b/>
          <w:sz w:val="24"/>
        </w:rPr>
      </w:pPr>
      <w:r>
        <w:rPr>
          <w:rFonts w:eastAsia="楷体_GB2312" w:hint="eastAsia"/>
          <w:b/>
          <w:sz w:val="24"/>
        </w:rPr>
        <w:t>这个小节的题目似乎有点怪。不是刚刚说过区别经营租赁同融资租赁的量化界限吗？怎么又来谈根本区别了呢？这是因为，上面说的量化界限，是为了规范会计处理和税收待遇的。正如合同法中对融资租赁合同和租赁合同的区分，是看租赁物是否是出租人根据承租人的要求购买的。如果是，是融资租赁合同，如果不是，则不问租赁物的来源如何，就都是租赁合同一样，都仅仅是从某个角度所作的区别。我们这里说根本区别，则是要从交易发生的根本原因上找。我们知道，租赁是只能以实体财产为标的物的交易。租赁同买卖的区别在于，买卖转移所有权，而租赁则不</w:t>
      </w:r>
      <w:r>
        <w:rPr>
          <w:rFonts w:eastAsia="楷体_GB2312" w:hint="eastAsia"/>
          <w:b/>
          <w:sz w:val="24"/>
        </w:rPr>
        <w:t>转移所有权。买入是为了拥有，租入则是为了使用。租赁发展到一定阶段时，出现了融资租赁这种方式。它不仅是为了使用，而且还为了最终拥有。正是从这个意义上考虑，人们说它实际上类似于分期付款销售或抵押贷款，尽管就法律关系而言，它们是完全不同的。租赁带上了融资功能，是租赁所具有的明显的现代特征。但是，随着市场的发育，人们发现，租赁的融资功能固然可取，但是典型的融资租赁对于承租人来说，同时也有负面影响。其中，最主要的是两条。一是，承租人要完全承担租赁物的残值风险；二是，由于融资租赁项下的应付租金是承租人的财务报表上的负债</w:t>
      </w:r>
      <w:r>
        <w:rPr>
          <w:rFonts w:eastAsia="楷体_GB2312" w:hint="eastAsia"/>
          <w:b/>
          <w:sz w:val="24"/>
        </w:rPr>
        <w:t>，因此其负债对净资产的比率会加大，外部筹资的空间会被挤压。正是在这样的背景下，具有一定的融资功能、又有别于典型的融资租赁的经营租赁应运而生。对于这样的经营租赁，我们认为，它同融资租赁的根本区别，就并非是它毫无融资功能，而在于承租人不承担租赁物的残值风险。</w:t>
      </w:r>
    </w:p>
    <w:p w:rsidR="00000000" w:rsidRDefault="00661157">
      <w:pPr>
        <w:rPr>
          <w:rFonts w:eastAsia="楷体_GB2312" w:hint="eastAsia"/>
          <w:b/>
          <w:sz w:val="24"/>
        </w:rPr>
      </w:pPr>
    </w:p>
    <w:p w:rsidR="00000000" w:rsidRDefault="00661157">
      <w:pPr>
        <w:numPr>
          <w:ilvl w:val="0"/>
          <w:numId w:val="11"/>
        </w:numPr>
        <w:jc w:val="center"/>
        <w:rPr>
          <w:rFonts w:eastAsia="黑体" w:hint="eastAsia"/>
          <w:b/>
          <w:sz w:val="28"/>
        </w:rPr>
      </w:pPr>
      <w:r>
        <w:rPr>
          <w:rFonts w:eastAsia="黑体" w:hint="eastAsia"/>
          <w:b/>
          <w:sz w:val="28"/>
        </w:rPr>
        <w:t>几个角度的对比</w:t>
      </w:r>
    </w:p>
    <w:p w:rsidR="00000000" w:rsidRDefault="00661157">
      <w:pPr>
        <w:rPr>
          <w:rFonts w:eastAsia="楷体_GB2312" w:hint="eastAsia"/>
          <w:b/>
          <w:sz w:val="24"/>
        </w:rPr>
      </w:pPr>
    </w:p>
    <w:p w:rsidR="00000000" w:rsidRDefault="00661157">
      <w:pPr>
        <w:ind w:left="570"/>
        <w:rPr>
          <w:rFonts w:eastAsia="楷体_GB2312" w:hint="eastAsia"/>
          <w:b/>
          <w:sz w:val="24"/>
        </w:rPr>
      </w:pPr>
      <w:r>
        <w:rPr>
          <w:rFonts w:eastAsia="楷体_GB2312" w:hint="eastAsia"/>
          <w:b/>
          <w:sz w:val="24"/>
        </w:rPr>
        <w:t>下面，从几个角度将经营租赁同融资租赁作一对比。</w:t>
      </w:r>
    </w:p>
    <w:p w:rsidR="00000000" w:rsidRDefault="00661157">
      <w:pPr>
        <w:ind w:left="570"/>
        <w:rPr>
          <w:rFonts w:eastAsia="楷体_GB2312" w:hint="eastAsia"/>
          <w:b/>
          <w:sz w:val="24"/>
        </w:rPr>
      </w:pPr>
    </w:p>
    <w:p w:rsidR="00000000" w:rsidRDefault="00661157">
      <w:pPr>
        <w:numPr>
          <w:ilvl w:val="0"/>
          <w:numId w:val="12"/>
        </w:numPr>
        <w:rPr>
          <w:rFonts w:eastAsia="黑体" w:hint="eastAsia"/>
          <w:b/>
          <w:sz w:val="24"/>
        </w:rPr>
      </w:pPr>
      <w:r>
        <w:rPr>
          <w:rFonts w:eastAsia="黑体" w:hint="eastAsia"/>
          <w:b/>
          <w:sz w:val="24"/>
        </w:rPr>
        <w:t>全额支付还是非全额支付</w:t>
      </w:r>
    </w:p>
    <w:p w:rsidR="00000000" w:rsidRDefault="00661157">
      <w:pPr>
        <w:ind w:left="570"/>
        <w:rPr>
          <w:rFonts w:eastAsia="楷体_GB2312" w:hint="eastAsia"/>
          <w:b/>
          <w:sz w:val="24"/>
        </w:rPr>
      </w:pPr>
    </w:p>
    <w:p w:rsidR="00000000" w:rsidRDefault="00661157">
      <w:pPr>
        <w:ind w:left="570"/>
        <w:rPr>
          <w:rFonts w:eastAsia="楷体_GB2312" w:hint="eastAsia"/>
          <w:b/>
          <w:sz w:val="24"/>
        </w:rPr>
      </w:pPr>
      <w:r>
        <w:rPr>
          <w:rFonts w:eastAsia="楷体_GB2312" w:hint="eastAsia"/>
          <w:b/>
          <w:sz w:val="24"/>
        </w:rPr>
        <w:t>在典型的融资租赁中，出租人几乎总是会在租赁期限届满时取得租赁物的所有权的。</w:t>
      </w:r>
    </w:p>
    <w:p w:rsidR="00000000" w:rsidRDefault="00661157">
      <w:pPr>
        <w:rPr>
          <w:rFonts w:eastAsia="楷体_GB2312" w:hint="eastAsia"/>
          <w:b/>
          <w:sz w:val="24"/>
        </w:rPr>
      </w:pPr>
      <w:r>
        <w:rPr>
          <w:rFonts w:eastAsia="楷体_GB2312" w:hint="eastAsia"/>
          <w:b/>
          <w:sz w:val="24"/>
        </w:rPr>
        <w:t>在租金的计算以摊提出租人所承担的租赁物全部购置成本为基础的条件下，融资租赁合同总是会</w:t>
      </w:r>
      <w:r>
        <w:rPr>
          <w:rFonts w:eastAsia="楷体_GB2312" w:hint="eastAsia"/>
          <w:b/>
          <w:sz w:val="24"/>
        </w:rPr>
        <w:t>约定承租人有权在租赁期限届满、承租人的支付租金的责任履行完毕时，以某个名义价格（象征性的价格）取得租赁物的所有权。在租金的计算不是以摊提出租人所承担的租赁物全部购置成本为基础，而是以不小于其</w:t>
      </w:r>
      <w:r>
        <w:rPr>
          <w:rFonts w:eastAsia="楷体_GB2312" w:hint="eastAsia"/>
          <w:b/>
          <w:sz w:val="24"/>
        </w:rPr>
        <w:t>90%</w:t>
      </w:r>
      <w:r>
        <w:rPr>
          <w:rFonts w:eastAsia="楷体_GB2312" w:hint="eastAsia"/>
          <w:b/>
          <w:sz w:val="24"/>
        </w:rPr>
        <w:t>的某个数额为基础的条件下，融资租赁合同又总是会约定由承租人或第三人对未摊提的那一部分购置成本（称“余值”）提供担保。也就是说，租赁期限届满时出租人一定会收到该余值。不言而喻，届时承租人也一定会由此而取得租赁物的所有权的。当然，也会有承租人以该余值为新本金而续租的作法。这时，在接续的融资租赁合同中，肯定地将约定租赁期</w:t>
      </w:r>
      <w:r>
        <w:rPr>
          <w:rFonts w:eastAsia="楷体_GB2312" w:hint="eastAsia"/>
          <w:b/>
          <w:sz w:val="24"/>
        </w:rPr>
        <w:t>限届满时承租人有权以名义价格留购。</w:t>
      </w:r>
    </w:p>
    <w:p w:rsidR="00000000" w:rsidRDefault="00661157">
      <w:pPr>
        <w:ind w:firstLine="495"/>
        <w:rPr>
          <w:rFonts w:eastAsia="楷体_GB2312" w:hint="eastAsia"/>
          <w:b/>
          <w:sz w:val="24"/>
        </w:rPr>
      </w:pPr>
      <w:r>
        <w:rPr>
          <w:rFonts w:eastAsia="楷体_GB2312" w:hint="eastAsia"/>
          <w:b/>
          <w:sz w:val="24"/>
        </w:rPr>
        <w:t>举例说明。例</w:t>
      </w:r>
      <w:r>
        <w:rPr>
          <w:rFonts w:eastAsia="楷体_GB2312" w:hint="eastAsia"/>
          <w:b/>
          <w:sz w:val="24"/>
        </w:rPr>
        <w:t>A</w:t>
      </w:r>
      <w:r>
        <w:rPr>
          <w:rFonts w:eastAsia="楷体_GB2312" w:hint="eastAsia"/>
          <w:b/>
          <w:sz w:val="24"/>
        </w:rPr>
        <w:t>：某融资租赁合同，出租人承担的购置成本是</w:t>
      </w:r>
      <w:r>
        <w:rPr>
          <w:rFonts w:eastAsia="楷体_GB2312" w:hint="eastAsia"/>
          <w:b/>
          <w:sz w:val="24"/>
        </w:rPr>
        <w:t>1,000,000</w:t>
      </w:r>
      <w:r>
        <w:rPr>
          <w:rFonts w:eastAsia="楷体_GB2312" w:hint="eastAsia"/>
          <w:b/>
          <w:sz w:val="24"/>
        </w:rPr>
        <w:t>元，</w:t>
      </w:r>
      <w:r>
        <w:rPr>
          <w:rFonts w:eastAsia="楷体_GB2312" w:hint="eastAsia"/>
          <w:b/>
          <w:sz w:val="24"/>
        </w:rPr>
        <w:t>5</w:t>
      </w:r>
      <w:r>
        <w:rPr>
          <w:rFonts w:eastAsia="楷体_GB2312" w:hint="eastAsia"/>
          <w:b/>
          <w:sz w:val="24"/>
        </w:rPr>
        <w:t>年</w:t>
      </w:r>
      <w:r>
        <w:rPr>
          <w:rFonts w:eastAsia="楷体_GB2312" w:hint="eastAsia"/>
          <w:b/>
          <w:sz w:val="24"/>
        </w:rPr>
        <w:t>5</w:t>
      </w:r>
      <w:r>
        <w:rPr>
          <w:rFonts w:eastAsia="楷体_GB2312" w:hint="eastAsia"/>
          <w:b/>
          <w:sz w:val="24"/>
        </w:rPr>
        <w:t>期后付，余值为</w:t>
      </w:r>
      <w:r>
        <w:rPr>
          <w:rFonts w:eastAsia="楷体_GB2312" w:hint="eastAsia"/>
          <w:b/>
          <w:sz w:val="24"/>
        </w:rPr>
        <w:t>0</w:t>
      </w:r>
      <w:r>
        <w:rPr>
          <w:rFonts w:eastAsia="楷体_GB2312" w:hint="eastAsia"/>
          <w:b/>
          <w:sz w:val="24"/>
        </w:rPr>
        <w:t>，租赁年利率</w:t>
      </w:r>
      <w:r>
        <w:rPr>
          <w:rFonts w:eastAsia="楷体_GB2312" w:hint="eastAsia"/>
          <w:b/>
          <w:sz w:val="24"/>
        </w:rPr>
        <w:t>10%</w:t>
      </w:r>
      <w:r>
        <w:rPr>
          <w:rFonts w:eastAsia="楷体_GB2312" w:hint="eastAsia"/>
          <w:b/>
          <w:sz w:val="24"/>
        </w:rPr>
        <w:t>，筹资年利率</w:t>
      </w:r>
      <w:r>
        <w:rPr>
          <w:rFonts w:eastAsia="楷体_GB2312" w:hint="eastAsia"/>
          <w:b/>
          <w:sz w:val="24"/>
        </w:rPr>
        <w:t>8%</w:t>
      </w:r>
      <w:r>
        <w:rPr>
          <w:rFonts w:eastAsia="楷体_GB2312" w:hint="eastAsia"/>
          <w:b/>
          <w:sz w:val="24"/>
        </w:rPr>
        <w:t>。则各期租金及未考虑税费的毛收益如下：</w:t>
      </w:r>
    </w:p>
    <w:p w:rsidR="00000000" w:rsidRDefault="00661157">
      <w:pPr>
        <w:ind w:firstLine="495"/>
        <w:rPr>
          <w:rFonts w:eastAsia="楷体_GB2312" w:hint="eastAsia"/>
          <w:b/>
          <w:sz w:val="24"/>
        </w:rPr>
      </w:pPr>
    </w:p>
    <w:tbl>
      <w:tblPr>
        <w:tblW w:w="0" w:type="auto"/>
        <w:tblLayout w:type="fixed"/>
        <w:tblCellMar>
          <w:left w:w="30" w:type="dxa"/>
          <w:right w:w="30" w:type="dxa"/>
        </w:tblCellMar>
        <w:tblLook w:val="0000" w:firstRow="0" w:lastRow="0" w:firstColumn="0" w:lastColumn="0" w:noHBand="0" w:noVBand="0"/>
      </w:tblPr>
      <w:tblGrid>
        <w:gridCol w:w="480"/>
        <w:gridCol w:w="1406"/>
        <w:gridCol w:w="1632"/>
        <w:gridCol w:w="1066"/>
        <w:gridCol w:w="1326"/>
        <w:gridCol w:w="1365"/>
        <w:gridCol w:w="1155"/>
        <w:gridCol w:w="1260"/>
      </w:tblGrid>
      <w:tr w:rsidR="00000000">
        <w:tblPrEx>
          <w:tblCellMar>
            <w:top w:w="0" w:type="dxa"/>
            <w:bottom w:w="0" w:type="dxa"/>
          </w:tblCellMar>
        </w:tblPrEx>
        <w:trPr>
          <w:trHeight w:val="205"/>
        </w:trPr>
        <w:tc>
          <w:tcPr>
            <w:tcW w:w="480" w:type="dxa"/>
            <w:tcBorders>
              <w:top w:val="single" w:sz="12" w:space="0" w:color="auto"/>
              <w:left w:val="single" w:sz="12"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期次</w:t>
            </w:r>
          </w:p>
        </w:tc>
        <w:tc>
          <w:tcPr>
            <w:tcW w:w="140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本期初本金余额</w:t>
            </w: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折合占用一年资金</w:t>
            </w: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本期年利率</w:t>
            </w:r>
          </w:p>
        </w:tc>
        <w:tc>
          <w:tcPr>
            <w:tcW w:w="132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本期租金</w:t>
            </w:r>
          </w:p>
        </w:tc>
        <w:tc>
          <w:tcPr>
            <w:tcW w:w="1365"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其中含本金</w:t>
            </w:r>
          </w:p>
        </w:tc>
        <w:tc>
          <w:tcPr>
            <w:tcW w:w="1155"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其中含收益</w:t>
            </w:r>
          </w:p>
        </w:tc>
        <w:tc>
          <w:tcPr>
            <w:tcW w:w="1260" w:type="dxa"/>
            <w:tcBorders>
              <w:top w:val="single" w:sz="12"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租金折现值</w:t>
            </w:r>
          </w:p>
        </w:tc>
      </w:tr>
      <w:tr w:rsidR="00000000">
        <w:tblPrEx>
          <w:tblCellMar>
            <w:top w:w="0" w:type="dxa"/>
            <w:bottom w:w="0" w:type="dxa"/>
          </w:tblCellMar>
        </w:tblPrEx>
        <w:trPr>
          <w:trHeight w:val="259"/>
        </w:trPr>
        <w:tc>
          <w:tcPr>
            <w:tcW w:w="480" w:type="dxa"/>
            <w:tcBorders>
              <w:top w:val="single" w:sz="12" w:space="0" w:color="auto"/>
              <w:left w:val="single" w:sz="12"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w:t>
            </w:r>
          </w:p>
        </w:tc>
        <w:tc>
          <w:tcPr>
            <w:tcW w:w="1406"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1,000,000.00 </w:t>
            </w:r>
          </w:p>
        </w:tc>
        <w:tc>
          <w:tcPr>
            <w:tcW w:w="1632"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1,000,000.00 </w:t>
            </w:r>
          </w:p>
        </w:tc>
        <w:tc>
          <w:tcPr>
            <w:tcW w:w="1066"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10.0000%</w:t>
            </w:r>
          </w:p>
        </w:tc>
        <w:tc>
          <w:tcPr>
            <w:tcW w:w="1326"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263,797.48 </w:t>
            </w:r>
          </w:p>
        </w:tc>
        <w:tc>
          <w:tcPr>
            <w:tcW w:w="1365"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163,797.48 </w:t>
            </w:r>
          </w:p>
        </w:tc>
        <w:tc>
          <w:tcPr>
            <w:tcW w:w="1155"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100,000.00 </w:t>
            </w:r>
          </w:p>
        </w:tc>
        <w:tc>
          <w:tcPr>
            <w:tcW w:w="1260" w:type="dxa"/>
            <w:tcBorders>
              <w:top w:val="single" w:sz="12" w:space="0" w:color="auto"/>
              <w:left w:val="single" w:sz="6" w:space="0" w:color="auto"/>
              <w:bottom w:val="single" w:sz="6" w:space="0" w:color="auto"/>
              <w:right w:val="single" w:sz="12"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w:t>
            </w:r>
            <w:r>
              <w:rPr>
                <w:rFonts w:eastAsia="黑体"/>
                <w:b/>
                <w:i/>
                <w:color w:val="000000"/>
                <w:sz w:val="18"/>
              </w:rPr>
              <w:t xml:space="preserve">244,256.93 </w:t>
            </w:r>
          </w:p>
        </w:tc>
      </w:tr>
      <w:tr w:rsidR="00000000">
        <w:tblPrEx>
          <w:tblCellMar>
            <w:top w:w="0" w:type="dxa"/>
            <w:bottom w:w="0" w:type="dxa"/>
          </w:tblCellMar>
        </w:tblPrEx>
        <w:trPr>
          <w:trHeight w:val="259"/>
        </w:trPr>
        <w:tc>
          <w:tcPr>
            <w:tcW w:w="480" w:type="dxa"/>
            <w:tcBorders>
              <w:top w:val="single" w:sz="6" w:space="0" w:color="auto"/>
              <w:left w:val="single" w:sz="12"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2</w:t>
            </w:r>
          </w:p>
        </w:tc>
        <w:tc>
          <w:tcPr>
            <w:tcW w:w="140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836,202.52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836,202.52 </w:t>
            </w:r>
          </w:p>
        </w:tc>
        <w:tc>
          <w:tcPr>
            <w:tcW w:w="106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10.0000%</w:t>
            </w:r>
          </w:p>
        </w:tc>
        <w:tc>
          <w:tcPr>
            <w:tcW w:w="132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263,797.48 </w:t>
            </w:r>
          </w:p>
        </w:tc>
        <w:tc>
          <w:tcPr>
            <w:tcW w:w="1365"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180,177.23 </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83,620.25 </w:t>
            </w:r>
          </w:p>
        </w:tc>
        <w:tc>
          <w:tcPr>
            <w:tcW w:w="1260" w:type="dxa"/>
            <w:tcBorders>
              <w:top w:val="single" w:sz="6" w:space="0" w:color="auto"/>
              <w:left w:val="single" w:sz="6" w:space="0" w:color="auto"/>
              <w:bottom w:val="single" w:sz="6" w:space="0" w:color="auto"/>
              <w:right w:val="single" w:sz="12"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226,163.82 </w:t>
            </w:r>
          </w:p>
        </w:tc>
      </w:tr>
      <w:tr w:rsidR="00000000">
        <w:tblPrEx>
          <w:tblCellMar>
            <w:top w:w="0" w:type="dxa"/>
            <w:bottom w:w="0" w:type="dxa"/>
          </w:tblCellMar>
        </w:tblPrEx>
        <w:trPr>
          <w:trHeight w:val="259"/>
        </w:trPr>
        <w:tc>
          <w:tcPr>
            <w:tcW w:w="480" w:type="dxa"/>
            <w:tcBorders>
              <w:top w:val="single" w:sz="6" w:space="0" w:color="auto"/>
              <w:left w:val="single" w:sz="12"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3</w:t>
            </w:r>
          </w:p>
        </w:tc>
        <w:tc>
          <w:tcPr>
            <w:tcW w:w="140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656,025.29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656,025.29 </w:t>
            </w:r>
          </w:p>
        </w:tc>
        <w:tc>
          <w:tcPr>
            <w:tcW w:w="106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10.0000%</w:t>
            </w:r>
          </w:p>
        </w:tc>
        <w:tc>
          <w:tcPr>
            <w:tcW w:w="132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263,797.48 </w:t>
            </w:r>
          </w:p>
        </w:tc>
        <w:tc>
          <w:tcPr>
            <w:tcW w:w="1365"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198,194.95 </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65,602.53 </w:t>
            </w:r>
          </w:p>
        </w:tc>
        <w:tc>
          <w:tcPr>
            <w:tcW w:w="1260" w:type="dxa"/>
            <w:tcBorders>
              <w:top w:val="single" w:sz="6" w:space="0" w:color="auto"/>
              <w:left w:val="single" w:sz="6" w:space="0" w:color="auto"/>
              <w:bottom w:val="single" w:sz="6" w:space="0" w:color="auto"/>
              <w:right w:val="single" w:sz="12"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209,410.95 </w:t>
            </w:r>
          </w:p>
        </w:tc>
      </w:tr>
      <w:tr w:rsidR="00000000">
        <w:tblPrEx>
          <w:tblCellMar>
            <w:top w:w="0" w:type="dxa"/>
            <w:bottom w:w="0" w:type="dxa"/>
          </w:tblCellMar>
        </w:tblPrEx>
        <w:trPr>
          <w:trHeight w:val="259"/>
        </w:trPr>
        <w:tc>
          <w:tcPr>
            <w:tcW w:w="480" w:type="dxa"/>
            <w:tcBorders>
              <w:top w:val="single" w:sz="6" w:space="0" w:color="auto"/>
              <w:left w:val="single" w:sz="12"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4</w:t>
            </w:r>
          </w:p>
        </w:tc>
        <w:tc>
          <w:tcPr>
            <w:tcW w:w="140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457,830.34</w:t>
            </w:r>
            <w:r>
              <w:rPr>
                <w:rFonts w:eastAsia="黑体"/>
                <w:b/>
                <w:i/>
                <w:color w:val="000000"/>
                <w:sz w:val="18"/>
              </w:rPr>
              <w:t xml:space="preserve">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457,830.34 </w:t>
            </w:r>
          </w:p>
        </w:tc>
        <w:tc>
          <w:tcPr>
            <w:tcW w:w="106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10.0000%</w:t>
            </w:r>
          </w:p>
        </w:tc>
        <w:tc>
          <w:tcPr>
            <w:tcW w:w="132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263,797.48 </w:t>
            </w:r>
          </w:p>
        </w:tc>
        <w:tc>
          <w:tcPr>
            <w:tcW w:w="1365"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218,014.45 </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45,783.03 </w:t>
            </w:r>
          </w:p>
        </w:tc>
        <w:tc>
          <w:tcPr>
            <w:tcW w:w="1260" w:type="dxa"/>
            <w:tcBorders>
              <w:top w:val="single" w:sz="6" w:space="0" w:color="auto"/>
              <w:left w:val="single" w:sz="6" w:space="0" w:color="auto"/>
              <w:bottom w:val="single" w:sz="6" w:space="0" w:color="auto"/>
              <w:right w:val="single" w:sz="12"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193,899.02 </w:t>
            </w:r>
          </w:p>
        </w:tc>
      </w:tr>
      <w:tr w:rsidR="00000000">
        <w:tblPrEx>
          <w:tblCellMar>
            <w:top w:w="0" w:type="dxa"/>
            <w:bottom w:w="0" w:type="dxa"/>
          </w:tblCellMar>
        </w:tblPrEx>
        <w:trPr>
          <w:trHeight w:val="269"/>
        </w:trPr>
        <w:tc>
          <w:tcPr>
            <w:tcW w:w="480" w:type="dxa"/>
            <w:tcBorders>
              <w:top w:val="single" w:sz="6" w:space="0" w:color="auto"/>
              <w:left w:val="single" w:sz="12"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5</w:t>
            </w:r>
          </w:p>
        </w:tc>
        <w:tc>
          <w:tcPr>
            <w:tcW w:w="1406"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239,815.89 </w:t>
            </w:r>
          </w:p>
        </w:tc>
        <w:tc>
          <w:tcPr>
            <w:tcW w:w="1632"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239,815.89 </w:t>
            </w:r>
          </w:p>
        </w:tc>
        <w:tc>
          <w:tcPr>
            <w:tcW w:w="1066"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10.0000%</w:t>
            </w:r>
          </w:p>
        </w:tc>
        <w:tc>
          <w:tcPr>
            <w:tcW w:w="1326"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263,797.48 </w:t>
            </w:r>
          </w:p>
        </w:tc>
        <w:tc>
          <w:tcPr>
            <w:tcW w:w="1365"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239,815.89 </w:t>
            </w:r>
          </w:p>
        </w:tc>
        <w:tc>
          <w:tcPr>
            <w:tcW w:w="1155"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23,981.59 </w:t>
            </w:r>
          </w:p>
        </w:tc>
        <w:tc>
          <w:tcPr>
            <w:tcW w:w="1260" w:type="dxa"/>
            <w:tcBorders>
              <w:top w:val="single" w:sz="6"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179,536.13 </w:t>
            </w:r>
          </w:p>
        </w:tc>
      </w:tr>
      <w:tr w:rsidR="00000000">
        <w:tblPrEx>
          <w:tblCellMar>
            <w:top w:w="0" w:type="dxa"/>
            <w:bottom w:w="0" w:type="dxa"/>
          </w:tblCellMar>
        </w:tblPrEx>
        <w:trPr>
          <w:trHeight w:val="317"/>
        </w:trPr>
        <w:tc>
          <w:tcPr>
            <w:tcW w:w="480" w:type="dxa"/>
            <w:tcBorders>
              <w:top w:val="single" w:sz="12" w:space="0" w:color="auto"/>
              <w:left w:val="single" w:sz="12" w:space="0" w:color="auto"/>
              <w:bottom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合计</w:t>
            </w:r>
          </w:p>
        </w:tc>
        <w:tc>
          <w:tcPr>
            <w:tcW w:w="1406" w:type="dxa"/>
            <w:tcBorders>
              <w:top w:val="single" w:sz="12"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    3,189,874.04 </w:t>
            </w: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32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1,318,987.40 </w:t>
            </w:r>
          </w:p>
        </w:tc>
        <w:tc>
          <w:tcPr>
            <w:tcW w:w="1365"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 1,000,000.00 </w:t>
            </w:r>
          </w:p>
        </w:tc>
        <w:tc>
          <w:tcPr>
            <w:tcW w:w="1155"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 318,987.40 </w:t>
            </w:r>
          </w:p>
        </w:tc>
        <w:tc>
          <w:tcPr>
            <w:tcW w:w="1260" w:type="dxa"/>
            <w:tcBorders>
              <w:top w:val="single" w:sz="12"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1,053,266.85 </w:t>
            </w:r>
          </w:p>
        </w:tc>
      </w:tr>
      <w:tr w:rsidR="00000000">
        <w:tblPrEx>
          <w:tblCellMar>
            <w:top w:w="0" w:type="dxa"/>
            <w:bottom w:w="0" w:type="dxa"/>
          </w:tblCellMar>
        </w:tblPrEx>
        <w:trPr>
          <w:trHeight w:val="331"/>
        </w:trPr>
        <w:tc>
          <w:tcPr>
            <w:tcW w:w="1886" w:type="dxa"/>
            <w:gridSpan w:val="2"/>
            <w:tcBorders>
              <w:top w:val="single" w:sz="12" w:space="0" w:color="auto"/>
              <w:left w:val="single" w:sz="12" w:space="0" w:color="auto"/>
              <w:bottom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收益净现值</w:t>
            </w: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rPr>
            </w:pPr>
          </w:p>
        </w:tc>
        <w:tc>
          <w:tcPr>
            <w:tcW w:w="132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365"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155"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260" w:type="dxa"/>
            <w:tcBorders>
              <w:top w:val="single" w:sz="12"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   53,266.85 </w:t>
            </w:r>
          </w:p>
        </w:tc>
      </w:tr>
      <w:tr w:rsidR="00000000">
        <w:tblPrEx>
          <w:tblCellMar>
            <w:top w:w="0" w:type="dxa"/>
            <w:bottom w:w="0" w:type="dxa"/>
          </w:tblCellMar>
        </w:tblPrEx>
        <w:trPr>
          <w:trHeight w:val="331"/>
        </w:trPr>
        <w:tc>
          <w:tcPr>
            <w:tcW w:w="1886" w:type="dxa"/>
            <w:gridSpan w:val="2"/>
            <w:tcBorders>
              <w:top w:val="single" w:sz="12" w:space="0" w:color="auto"/>
              <w:left w:val="single" w:sz="12" w:space="0" w:color="auto"/>
              <w:bottom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资金年净收益率</w:t>
            </w: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rPr>
            </w:pPr>
          </w:p>
        </w:tc>
        <w:tc>
          <w:tcPr>
            <w:tcW w:w="132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365"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155"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260" w:type="dxa"/>
            <w:tcBorders>
              <w:top w:val="single" w:sz="12"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1.6699%</w:t>
            </w:r>
          </w:p>
        </w:tc>
      </w:tr>
    </w:tbl>
    <w:p w:rsidR="00000000" w:rsidRDefault="00661157">
      <w:pPr>
        <w:ind w:left="570"/>
        <w:rPr>
          <w:rFonts w:eastAsia="楷体_GB2312" w:hint="eastAsia"/>
          <w:b/>
          <w:sz w:val="24"/>
        </w:rPr>
      </w:pPr>
      <w:r>
        <w:rPr>
          <w:rFonts w:eastAsia="楷体_GB2312" w:hint="eastAsia"/>
          <w:b/>
          <w:sz w:val="24"/>
        </w:rPr>
        <w:t>例</w:t>
      </w:r>
      <w:r>
        <w:rPr>
          <w:rFonts w:eastAsia="楷体_GB2312" w:hint="eastAsia"/>
          <w:b/>
          <w:sz w:val="24"/>
        </w:rPr>
        <w:t>B</w:t>
      </w:r>
      <w:r>
        <w:rPr>
          <w:rFonts w:eastAsia="楷体_GB2312" w:hint="eastAsia"/>
          <w:b/>
          <w:sz w:val="24"/>
        </w:rPr>
        <w:t>：除了留有有担保的余值</w:t>
      </w:r>
      <w:r>
        <w:rPr>
          <w:rFonts w:eastAsia="楷体_GB2312" w:hint="eastAsia"/>
          <w:b/>
          <w:sz w:val="24"/>
        </w:rPr>
        <w:t>80,000</w:t>
      </w:r>
      <w:r>
        <w:rPr>
          <w:rFonts w:eastAsia="楷体_GB2312" w:hint="eastAsia"/>
          <w:b/>
          <w:sz w:val="24"/>
        </w:rPr>
        <w:t>元而外，其它条件同例</w:t>
      </w:r>
      <w:r>
        <w:rPr>
          <w:rFonts w:eastAsia="楷体_GB2312" w:hint="eastAsia"/>
          <w:b/>
          <w:sz w:val="24"/>
        </w:rPr>
        <w:t>A</w:t>
      </w:r>
      <w:r>
        <w:rPr>
          <w:rFonts w:eastAsia="楷体_GB2312" w:hint="eastAsia"/>
          <w:b/>
          <w:sz w:val="24"/>
        </w:rPr>
        <w:t>。则各期租金及未考虑</w:t>
      </w:r>
    </w:p>
    <w:p w:rsidR="00000000" w:rsidRDefault="00661157">
      <w:pPr>
        <w:rPr>
          <w:rFonts w:eastAsia="楷体_GB2312" w:hint="eastAsia"/>
          <w:b/>
          <w:sz w:val="24"/>
        </w:rPr>
      </w:pPr>
      <w:r>
        <w:rPr>
          <w:rFonts w:eastAsia="楷体_GB2312" w:hint="eastAsia"/>
          <w:b/>
          <w:sz w:val="24"/>
        </w:rPr>
        <w:lastRenderedPageBreak/>
        <w:t>税费的毛收益如下。其中，各期租金是</w:t>
      </w:r>
      <w:r>
        <w:rPr>
          <w:rFonts w:eastAsia="楷体_GB2312" w:hint="eastAsia"/>
          <w:b/>
          <w:sz w:val="24"/>
        </w:rPr>
        <w:t>250,693.80</w:t>
      </w:r>
      <w:r>
        <w:rPr>
          <w:rFonts w:eastAsia="楷体_GB2312" w:hint="eastAsia"/>
          <w:b/>
          <w:sz w:val="24"/>
        </w:rPr>
        <w:t>元，第</w:t>
      </w:r>
      <w:r>
        <w:rPr>
          <w:rFonts w:eastAsia="楷体_GB2312" w:hint="eastAsia"/>
          <w:b/>
          <w:sz w:val="24"/>
        </w:rPr>
        <w:t>5</w:t>
      </w:r>
      <w:r>
        <w:rPr>
          <w:rFonts w:eastAsia="楷体_GB2312" w:hint="eastAsia"/>
          <w:b/>
          <w:sz w:val="24"/>
        </w:rPr>
        <w:t>期的数额</w:t>
      </w:r>
      <w:r>
        <w:rPr>
          <w:rFonts w:eastAsia="楷体_GB2312" w:hint="eastAsia"/>
          <w:b/>
          <w:sz w:val="24"/>
        </w:rPr>
        <w:t>330,693.68</w:t>
      </w:r>
      <w:r>
        <w:rPr>
          <w:rFonts w:eastAsia="楷体_GB2312" w:hint="eastAsia"/>
          <w:b/>
          <w:sz w:val="24"/>
        </w:rPr>
        <w:t>元，是该日应付租金同应付的担保余值</w:t>
      </w:r>
      <w:r>
        <w:rPr>
          <w:rFonts w:eastAsia="楷体_GB2312" w:hint="eastAsia"/>
          <w:b/>
          <w:sz w:val="24"/>
        </w:rPr>
        <w:t>80,000</w:t>
      </w:r>
      <w:r>
        <w:rPr>
          <w:rFonts w:eastAsia="楷体_GB2312" w:hint="eastAsia"/>
          <w:b/>
          <w:sz w:val="24"/>
        </w:rPr>
        <w:t>元之和。</w:t>
      </w:r>
    </w:p>
    <w:p w:rsidR="00000000" w:rsidRDefault="00661157">
      <w:pPr>
        <w:rPr>
          <w:rFonts w:eastAsia="楷体_GB2312" w:hint="eastAsia"/>
          <w:b/>
          <w:sz w:val="24"/>
        </w:rPr>
      </w:pPr>
    </w:p>
    <w:tbl>
      <w:tblPr>
        <w:tblW w:w="0" w:type="auto"/>
        <w:tblLayout w:type="fixed"/>
        <w:tblCellMar>
          <w:left w:w="30" w:type="dxa"/>
          <w:right w:w="30" w:type="dxa"/>
        </w:tblCellMar>
        <w:tblLook w:val="0000" w:firstRow="0" w:lastRow="0" w:firstColumn="0" w:lastColumn="0" w:noHBand="0" w:noVBand="0"/>
      </w:tblPr>
      <w:tblGrid>
        <w:gridCol w:w="450"/>
        <w:gridCol w:w="1436"/>
        <w:gridCol w:w="1632"/>
        <w:gridCol w:w="1066"/>
        <w:gridCol w:w="1746"/>
        <w:gridCol w:w="1260"/>
        <w:gridCol w:w="1050"/>
        <w:gridCol w:w="1260"/>
      </w:tblGrid>
      <w:tr w:rsidR="00000000">
        <w:tblPrEx>
          <w:tblCellMar>
            <w:top w:w="0" w:type="dxa"/>
            <w:bottom w:w="0" w:type="dxa"/>
          </w:tblCellMar>
        </w:tblPrEx>
        <w:trPr>
          <w:trHeight w:val="408"/>
        </w:trPr>
        <w:tc>
          <w:tcPr>
            <w:tcW w:w="450" w:type="dxa"/>
            <w:tcBorders>
              <w:top w:val="single" w:sz="12" w:space="0" w:color="auto"/>
              <w:left w:val="single" w:sz="12"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期次</w:t>
            </w:r>
          </w:p>
        </w:tc>
        <w:tc>
          <w:tcPr>
            <w:tcW w:w="143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本期初本金余额</w:t>
            </w: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折合</w:t>
            </w:r>
            <w:r>
              <w:rPr>
                <w:rFonts w:eastAsia="黑体" w:hint="eastAsia"/>
                <w:b/>
                <w:color w:val="000000"/>
                <w:sz w:val="18"/>
              </w:rPr>
              <w:t>占用一年资金</w:t>
            </w: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本期年利率</w:t>
            </w:r>
          </w:p>
        </w:tc>
        <w:tc>
          <w:tcPr>
            <w:tcW w:w="174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本期租金及担保余额</w:t>
            </w:r>
          </w:p>
        </w:tc>
        <w:tc>
          <w:tcPr>
            <w:tcW w:w="126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其中含本金</w:t>
            </w:r>
          </w:p>
        </w:tc>
        <w:tc>
          <w:tcPr>
            <w:tcW w:w="105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其中含收益</w:t>
            </w:r>
          </w:p>
        </w:tc>
        <w:tc>
          <w:tcPr>
            <w:tcW w:w="1260" w:type="dxa"/>
            <w:tcBorders>
              <w:top w:val="single" w:sz="12"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租金折现值</w:t>
            </w:r>
          </w:p>
        </w:tc>
      </w:tr>
      <w:tr w:rsidR="00000000">
        <w:tblPrEx>
          <w:tblCellMar>
            <w:top w:w="0" w:type="dxa"/>
            <w:bottom w:w="0" w:type="dxa"/>
          </w:tblCellMar>
        </w:tblPrEx>
        <w:trPr>
          <w:trHeight w:val="259"/>
        </w:trPr>
        <w:tc>
          <w:tcPr>
            <w:tcW w:w="450" w:type="dxa"/>
            <w:tcBorders>
              <w:top w:val="single" w:sz="12" w:space="0" w:color="auto"/>
              <w:left w:val="single" w:sz="12"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w:t>
            </w:r>
          </w:p>
        </w:tc>
        <w:tc>
          <w:tcPr>
            <w:tcW w:w="1436"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1,000,000.00 </w:t>
            </w:r>
          </w:p>
        </w:tc>
        <w:tc>
          <w:tcPr>
            <w:tcW w:w="1632"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1,000,000.00 </w:t>
            </w:r>
          </w:p>
        </w:tc>
        <w:tc>
          <w:tcPr>
            <w:tcW w:w="1066"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10.0000%</w:t>
            </w:r>
          </w:p>
        </w:tc>
        <w:tc>
          <w:tcPr>
            <w:tcW w:w="1746"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250,693.68 </w:t>
            </w:r>
          </w:p>
        </w:tc>
        <w:tc>
          <w:tcPr>
            <w:tcW w:w="1260"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150,693.68 </w:t>
            </w:r>
          </w:p>
        </w:tc>
        <w:tc>
          <w:tcPr>
            <w:tcW w:w="1050"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100,000.00 </w:t>
            </w:r>
          </w:p>
        </w:tc>
        <w:tc>
          <w:tcPr>
            <w:tcW w:w="1260" w:type="dxa"/>
            <w:tcBorders>
              <w:top w:val="single" w:sz="12" w:space="0" w:color="auto"/>
              <w:left w:val="single" w:sz="6" w:space="0" w:color="auto"/>
              <w:bottom w:val="single" w:sz="6" w:space="0" w:color="auto"/>
              <w:right w:val="single" w:sz="12"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232,123.78 </w:t>
            </w:r>
          </w:p>
        </w:tc>
      </w:tr>
      <w:tr w:rsidR="00000000">
        <w:tblPrEx>
          <w:tblCellMar>
            <w:top w:w="0" w:type="dxa"/>
            <w:bottom w:w="0" w:type="dxa"/>
          </w:tblCellMar>
        </w:tblPrEx>
        <w:trPr>
          <w:trHeight w:val="259"/>
        </w:trPr>
        <w:tc>
          <w:tcPr>
            <w:tcW w:w="450" w:type="dxa"/>
            <w:tcBorders>
              <w:top w:val="single" w:sz="6" w:space="0" w:color="auto"/>
              <w:left w:val="single" w:sz="12"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2</w:t>
            </w:r>
          </w:p>
        </w:tc>
        <w:tc>
          <w:tcPr>
            <w:tcW w:w="143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849,306.32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849,306.32 </w:t>
            </w:r>
          </w:p>
        </w:tc>
        <w:tc>
          <w:tcPr>
            <w:tcW w:w="106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10.0000%</w:t>
            </w:r>
          </w:p>
        </w:tc>
        <w:tc>
          <w:tcPr>
            <w:tcW w:w="174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250,693.68 </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165,763.05 </w:t>
            </w:r>
          </w:p>
        </w:tc>
        <w:tc>
          <w:tcPr>
            <w:tcW w:w="1050"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84,930.63 </w:t>
            </w:r>
          </w:p>
        </w:tc>
        <w:tc>
          <w:tcPr>
            <w:tcW w:w="1260" w:type="dxa"/>
            <w:tcBorders>
              <w:top w:val="single" w:sz="6" w:space="0" w:color="auto"/>
              <w:left w:val="single" w:sz="6" w:space="0" w:color="auto"/>
              <w:bottom w:val="single" w:sz="6" w:space="0" w:color="auto"/>
              <w:right w:val="single" w:sz="12"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214</w:t>
            </w:r>
            <w:r>
              <w:rPr>
                <w:rFonts w:eastAsia="黑体"/>
                <w:b/>
                <w:i/>
                <w:color w:val="000000"/>
                <w:sz w:val="18"/>
              </w:rPr>
              <w:t xml:space="preserve">,929.43 </w:t>
            </w:r>
          </w:p>
        </w:tc>
      </w:tr>
      <w:tr w:rsidR="00000000">
        <w:tblPrEx>
          <w:tblCellMar>
            <w:top w:w="0" w:type="dxa"/>
            <w:bottom w:w="0" w:type="dxa"/>
          </w:tblCellMar>
        </w:tblPrEx>
        <w:trPr>
          <w:trHeight w:val="259"/>
        </w:trPr>
        <w:tc>
          <w:tcPr>
            <w:tcW w:w="450" w:type="dxa"/>
            <w:tcBorders>
              <w:top w:val="single" w:sz="6" w:space="0" w:color="auto"/>
              <w:left w:val="single" w:sz="12"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3</w:t>
            </w:r>
          </w:p>
        </w:tc>
        <w:tc>
          <w:tcPr>
            <w:tcW w:w="143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683,543.27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683,543.27 </w:t>
            </w:r>
          </w:p>
        </w:tc>
        <w:tc>
          <w:tcPr>
            <w:tcW w:w="106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10.0000%</w:t>
            </w:r>
          </w:p>
        </w:tc>
        <w:tc>
          <w:tcPr>
            <w:tcW w:w="174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250,693.68 </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182,339.36 </w:t>
            </w:r>
          </w:p>
        </w:tc>
        <w:tc>
          <w:tcPr>
            <w:tcW w:w="1050"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68,354.33 </w:t>
            </w:r>
          </w:p>
        </w:tc>
        <w:tc>
          <w:tcPr>
            <w:tcW w:w="1260" w:type="dxa"/>
            <w:tcBorders>
              <w:top w:val="single" w:sz="6" w:space="0" w:color="auto"/>
              <w:left w:val="single" w:sz="6" w:space="0" w:color="auto"/>
              <w:bottom w:val="single" w:sz="6" w:space="0" w:color="auto"/>
              <w:right w:val="single" w:sz="12"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199,008.73 </w:t>
            </w:r>
          </w:p>
        </w:tc>
      </w:tr>
      <w:tr w:rsidR="00000000">
        <w:tblPrEx>
          <w:tblCellMar>
            <w:top w:w="0" w:type="dxa"/>
            <w:bottom w:w="0" w:type="dxa"/>
          </w:tblCellMar>
        </w:tblPrEx>
        <w:trPr>
          <w:trHeight w:val="259"/>
        </w:trPr>
        <w:tc>
          <w:tcPr>
            <w:tcW w:w="450" w:type="dxa"/>
            <w:tcBorders>
              <w:top w:val="single" w:sz="6" w:space="0" w:color="auto"/>
              <w:left w:val="single" w:sz="12"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4</w:t>
            </w:r>
          </w:p>
        </w:tc>
        <w:tc>
          <w:tcPr>
            <w:tcW w:w="143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501,203.91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501,203.91 </w:t>
            </w:r>
          </w:p>
        </w:tc>
        <w:tc>
          <w:tcPr>
            <w:tcW w:w="106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10.0000%</w:t>
            </w:r>
          </w:p>
        </w:tc>
        <w:tc>
          <w:tcPr>
            <w:tcW w:w="174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250,693.68 </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200,573.29 </w:t>
            </w:r>
          </w:p>
        </w:tc>
        <w:tc>
          <w:tcPr>
            <w:tcW w:w="1050"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50,120.39 </w:t>
            </w:r>
          </w:p>
        </w:tc>
        <w:tc>
          <w:tcPr>
            <w:tcW w:w="1260" w:type="dxa"/>
            <w:tcBorders>
              <w:top w:val="single" w:sz="6" w:space="0" w:color="auto"/>
              <w:left w:val="single" w:sz="6" w:space="0" w:color="auto"/>
              <w:bottom w:val="single" w:sz="6" w:space="0" w:color="auto"/>
              <w:right w:val="single" w:sz="12"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184,267.34 </w:t>
            </w:r>
          </w:p>
        </w:tc>
      </w:tr>
      <w:tr w:rsidR="00000000">
        <w:tblPrEx>
          <w:tblCellMar>
            <w:top w:w="0" w:type="dxa"/>
            <w:bottom w:w="0" w:type="dxa"/>
          </w:tblCellMar>
        </w:tblPrEx>
        <w:trPr>
          <w:trHeight w:val="269"/>
        </w:trPr>
        <w:tc>
          <w:tcPr>
            <w:tcW w:w="450" w:type="dxa"/>
            <w:tcBorders>
              <w:top w:val="single" w:sz="6" w:space="0" w:color="auto"/>
              <w:left w:val="single" w:sz="12"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5</w:t>
            </w:r>
          </w:p>
        </w:tc>
        <w:tc>
          <w:tcPr>
            <w:tcW w:w="1436"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300,630.62 </w:t>
            </w:r>
          </w:p>
        </w:tc>
        <w:tc>
          <w:tcPr>
            <w:tcW w:w="1632"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w:t>
            </w:r>
            <w:r>
              <w:rPr>
                <w:rFonts w:eastAsia="黑体"/>
                <w:b/>
                <w:i/>
                <w:color w:val="000000"/>
                <w:sz w:val="18"/>
              </w:rPr>
              <w:t xml:space="preserve">     300,630.62 </w:t>
            </w:r>
          </w:p>
        </w:tc>
        <w:tc>
          <w:tcPr>
            <w:tcW w:w="1066"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10.0000%</w:t>
            </w:r>
          </w:p>
        </w:tc>
        <w:tc>
          <w:tcPr>
            <w:tcW w:w="1746"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330,693.68 </w:t>
            </w:r>
          </w:p>
        </w:tc>
        <w:tc>
          <w:tcPr>
            <w:tcW w:w="1260"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300,630.62 </w:t>
            </w:r>
          </w:p>
        </w:tc>
        <w:tc>
          <w:tcPr>
            <w:tcW w:w="1050"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30,063.06 </w:t>
            </w:r>
          </w:p>
        </w:tc>
        <w:tc>
          <w:tcPr>
            <w:tcW w:w="1260" w:type="dxa"/>
            <w:tcBorders>
              <w:top w:val="single" w:sz="6"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225,064.56 </w:t>
            </w:r>
          </w:p>
        </w:tc>
      </w:tr>
      <w:tr w:rsidR="00000000">
        <w:tblPrEx>
          <w:tblCellMar>
            <w:top w:w="0" w:type="dxa"/>
            <w:bottom w:w="0" w:type="dxa"/>
          </w:tblCellMar>
        </w:tblPrEx>
        <w:trPr>
          <w:trHeight w:val="317"/>
        </w:trPr>
        <w:tc>
          <w:tcPr>
            <w:tcW w:w="450" w:type="dxa"/>
            <w:tcBorders>
              <w:top w:val="single" w:sz="12" w:space="0" w:color="auto"/>
              <w:left w:val="single" w:sz="12" w:space="0" w:color="auto"/>
              <w:bottom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合计</w:t>
            </w:r>
          </w:p>
        </w:tc>
        <w:tc>
          <w:tcPr>
            <w:tcW w:w="1436" w:type="dxa"/>
            <w:tcBorders>
              <w:top w:val="single" w:sz="12"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    3,334,684.12 </w:t>
            </w: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74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   1,333,468.41 </w:t>
            </w:r>
          </w:p>
        </w:tc>
        <w:tc>
          <w:tcPr>
            <w:tcW w:w="126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r>
              <w:rPr>
                <w:rFonts w:eastAsia="黑体" w:hint="eastAsia"/>
                <w:b/>
                <w:i/>
                <w:color w:val="000000"/>
              </w:rPr>
              <w:t>1</w:t>
            </w:r>
            <w:r>
              <w:rPr>
                <w:rFonts w:eastAsia="黑体"/>
                <w:b/>
                <w:i/>
                <w:color w:val="000000"/>
              </w:rPr>
              <w:t xml:space="preserve"> ,000,000.00 </w:t>
            </w:r>
          </w:p>
        </w:tc>
        <w:tc>
          <w:tcPr>
            <w:tcW w:w="105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333,468.41 </w:t>
            </w:r>
          </w:p>
        </w:tc>
        <w:tc>
          <w:tcPr>
            <w:tcW w:w="1260" w:type="dxa"/>
            <w:tcBorders>
              <w:top w:val="single" w:sz="12"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right"/>
              <w:rPr>
                <w:rFonts w:eastAsia="黑体" w:hint="eastAsia"/>
                <w:b/>
                <w:i/>
                <w:color w:val="000000"/>
              </w:rPr>
            </w:pPr>
            <w:r>
              <w:rPr>
                <w:rFonts w:eastAsia="黑体" w:hint="eastAsia"/>
                <w:b/>
                <w:i/>
                <w:color w:val="000000"/>
              </w:rPr>
              <w:t>1,05</w:t>
            </w:r>
            <w:r>
              <w:rPr>
                <w:rFonts w:eastAsia="黑体"/>
                <w:b/>
                <w:i/>
                <w:color w:val="000000"/>
              </w:rPr>
              <w:t>5</w:t>
            </w:r>
            <w:r>
              <w:rPr>
                <w:rFonts w:eastAsia="黑体" w:hint="eastAsia"/>
                <w:b/>
                <w:i/>
                <w:color w:val="000000"/>
              </w:rPr>
              <w:t>,393.84</w:t>
            </w:r>
          </w:p>
        </w:tc>
      </w:tr>
      <w:tr w:rsidR="00000000">
        <w:tblPrEx>
          <w:tblCellMar>
            <w:top w:w="0" w:type="dxa"/>
            <w:bottom w:w="0" w:type="dxa"/>
          </w:tblCellMar>
        </w:tblPrEx>
        <w:trPr>
          <w:trHeight w:val="331"/>
        </w:trPr>
        <w:tc>
          <w:tcPr>
            <w:tcW w:w="1886" w:type="dxa"/>
            <w:gridSpan w:val="2"/>
            <w:tcBorders>
              <w:top w:val="single" w:sz="12" w:space="0" w:color="auto"/>
              <w:left w:val="single" w:sz="12" w:space="0" w:color="auto"/>
              <w:bottom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收益净现值</w:t>
            </w: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rPr>
            </w:pPr>
          </w:p>
        </w:tc>
        <w:tc>
          <w:tcPr>
            <w:tcW w:w="174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26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05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260" w:type="dxa"/>
            <w:tcBorders>
              <w:top w:val="single" w:sz="12"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  55,393.84 </w:t>
            </w:r>
          </w:p>
        </w:tc>
      </w:tr>
      <w:tr w:rsidR="00000000">
        <w:tblPrEx>
          <w:tblCellMar>
            <w:top w:w="0" w:type="dxa"/>
            <w:bottom w:w="0" w:type="dxa"/>
          </w:tblCellMar>
        </w:tblPrEx>
        <w:trPr>
          <w:trHeight w:val="331"/>
        </w:trPr>
        <w:tc>
          <w:tcPr>
            <w:tcW w:w="1886" w:type="dxa"/>
            <w:gridSpan w:val="2"/>
            <w:tcBorders>
              <w:top w:val="single" w:sz="12" w:space="0" w:color="auto"/>
              <w:left w:val="single" w:sz="12" w:space="0" w:color="auto"/>
              <w:bottom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资金年净收益率</w:t>
            </w: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rPr>
            </w:pPr>
          </w:p>
        </w:tc>
        <w:tc>
          <w:tcPr>
            <w:tcW w:w="174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26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05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260" w:type="dxa"/>
            <w:tcBorders>
              <w:top w:val="single" w:sz="12"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1.6611%</w:t>
            </w:r>
          </w:p>
        </w:tc>
      </w:tr>
    </w:tbl>
    <w:p w:rsidR="00000000" w:rsidRDefault="00661157">
      <w:pPr>
        <w:rPr>
          <w:rFonts w:eastAsia="楷体_GB2312"/>
          <w:b/>
          <w:sz w:val="24"/>
        </w:rPr>
      </w:pPr>
    </w:p>
    <w:p w:rsidR="00000000" w:rsidRDefault="00661157">
      <w:pPr>
        <w:ind w:firstLine="495"/>
        <w:rPr>
          <w:rFonts w:eastAsia="楷体_GB2312" w:hint="eastAsia"/>
          <w:b/>
          <w:sz w:val="24"/>
        </w:rPr>
      </w:pPr>
      <w:r>
        <w:rPr>
          <w:rFonts w:eastAsia="楷体_GB2312" w:hint="eastAsia"/>
          <w:b/>
          <w:sz w:val="24"/>
        </w:rPr>
        <w:t>从以上两表的例示可见，出租人所承担的租赁物购置成本</w:t>
      </w:r>
      <w:r>
        <w:rPr>
          <w:rFonts w:eastAsia="楷体_GB2312" w:hint="eastAsia"/>
          <w:b/>
          <w:sz w:val="24"/>
        </w:rPr>
        <w:t>1,000,000</w:t>
      </w:r>
      <w:r>
        <w:rPr>
          <w:rFonts w:eastAsia="楷体_GB2312" w:hint="eastAsia"/>
          <w:b/>
          <w:sz w:val="24"/>
        </w:rPr>
        <w:t>元都是全额回收了。顺便提及，表内的租金折现值是以筹资年利率</w:t>
      </w:r>
      <w:r>
        <w:rPr>
          <w:rFonts w:eastAsia="楷体_GB2312" w:hint="eastAsia"/>
          <w:b/>
          <w:sz w:val="24"/>
        </w:rPr>
        <w:t>8%</w:t>
      </w:r>
      <w:r>
        <w:rPr>
          <w:rFonts w:eastAsia="楷体_GB2312" w:hint="eastAsia"/>
          <w:b/>
          <w:sz w:val="24"/>
        </w:rPr>
        <w:t>为折现率的。例</w:t>
      </w:r>
      <w:r>
        <w:rPr>
          <w:rFonts w:eastAsia="楷体_GB2312" w:hint="eastAsia"/>
          <w:b/>
          <w:sz w:val="24"/>
        </w:rPr>
        <w:t>B</w:t>
      </w:r>
      <w:r>
        <w:rPr>
          <w:rFonts w:eastAsia="楷体_GB2312" w:hint="eastAsia"/>
          <w:b/>
          <w:sz w:val="24"/>
        </w:rPr>
        <w:t>的租金中所含的收益大于例</w:t>
      </w:r>
      <w:r>
        <w:rPr>
          <w:rFonts w:eastAsia="楷体_GB2312" w:hint="eastAsia"/>
          <w:b/>
          <w:sz w:val="24"/>
        </w:rPr>
        <w:t>A</w:t>
      </w:r>
      <w:r>
        <w:rPr>
          <w:rFonts w:eastAsia="楷体_GB2312" w:hint="eastAsia"/>
          <w:b/>
          <w:sz w:val="24"/>
        </w:rPr>
        <w:t>。这是因为，例</w:t>
      </w:r>
      <w:r>
        <w:rPr>
          <w:rFonts w:eastAsia="楷体_GB2312" w:hint="eastAsia"/>
          <w:b/>
          <w:sz w:val="24"/>
        </w:rPr>
        <w:t>B</w:t>
      </w:r>
      <w:r>
        <w:rPr>
          <w:rFonts w:eastAsia="楷体_GB2312" w:hint="eastAsia"/>
          <w:b/>
          <w:sz w:val="24"/>
        </w:rPr>
        <w:t>前</w:t>
      </w:r>
      <w:r>
        <w:rPr>
          <w:rFonts w:eastAsia="楷体_GB2312" w:hint="eastAsia"/>
          <w:b/>
          <w:sz w:val="24"/>
        </w:rPr>
        <w:t>4</w:t>
      </w:r>
      <w:r>
        <w:rPr>
          <w:rFonts w:eastAsia="楷体_GB2312" w:hint="eastAsia"/>
          <w:b/>
          <w:sz w:val="24"/>
        </w:rPr>
        <w:t>期回收的本金是</w:t>
      </w:r>
      <w:r>
        <w:rPr>
          <w:rFonts w:eastAsia="楷体_GB2312" w:hint="eastAsia"/>
          <w:b/>
          <w:sz w:val="24"/>
        </w:rPr>
        <w:t>699,369.38</w:t>
      </w:r>
      <w:r>
        <w:rPr>
          <w:rFonts w:eastAsia="楷体_GB2312" w:hint="eastAsia"/>
          <w:b/>
          <w:sz w:val="24"/>
        </w:rPr>
        <w:t>元，小于例</w:t>
      </w:r>
      <w:r>
        <w:rPr>
          <w:rFonts w:eastAsia="楷体_GB2312" w:hint="eastAsia"/>
          <w:b/>
          <w:sz w:val="24"/>
        </w:rPr>
        <w:t>A</w:t>
      </w:r>
      <w:r>
        <w:rPr>
          <w:rFonts w:eastAsia="楷体_GB2312" w:hint="eastAsia"/>
          <w:b/>
          <w:sz w:val="24"/>
        </w:rPr>
        <w:t>前</w:t>
      </w:r>
      <w:r>
        <w:rPr>
          <w:rFonts w:eastAsia="楷体_GB2312" w:hint="eastAsia"/>
          <w:b/>
          <w:sz w:val="24"/>
        </w:rPr>
        <w:t>4</w:t>
      </w:r>
      <w:r>
        <w:rPr>
          <w:rFonts w:eastAsia="楷体_GB2312" w:hint="eastAsia"/>
          <w:b/>
          <w:sz w:val="24"/>
        </w:rPr>
        <w:t>期回收的本金</w:t>
      </w:r>
      <w:r>
        <w:rPr>
          <w:rFonts w:eastAsia="楷体_GB2312" w:hint="eastAsia"/>
          <w:b/>
          <w:sz w:val="24"/>
        </w:rPr>
        <w:t>760,184.11</w:t>
      </w:r>
      <w:r>
        <w:rPr>
          <w:rFonts w:eastAsia="楷体_GB2312" w:hint="eastAsia"/>
          <w:b/>
          <w:sz w:val="24"/>
        </w:rPr>
        <w:t>，使得至第</w:t>
      </w:r>
      <w:r>
        <w:rPr>
          <w:rFonts w:eastAsia="楷体_GB2312" w:hint="eastAsia"/>
          <w:b/>
          <w:sz w:val="24"/>
        </w:rPr>
        <w:t>5</w:t>
      </w:r>
      <w:r>
        <w:rPr>
          <w:rFonts w:eastAsia="楷体_GB2312" w:hint="eastAsia"/>
          <w:b/>
          <w:sz w:val="24"/>
        </w:rPr>
        <w:t>期初所占用的资金大于例</w:t>
      </w:r>
      <w:r>
        <w:rPr>
          <w:rFonts w:eastAsia="楷体_GB2312" w:hint="eastAsia"/>
          <w:b/>
          <w:sz w:val="24"/>
        </w:rPr>
        <w:t>A</w:t>
      </w:r>
      <w:r>
        <w:rPr>
          <w:rFonts w:eastAsia="楷体_GB2312" w:hint="eastAsia"/>
          <w:b/>
          <w:sz w:val="24"/>
        </w:rPr>
        <w:t>。</w:t>
      </w:r>
    </w:p>
    <w:p w:rsidR="00000000" w:rsidRDefault="00661157">
      <w:pPr>
        <w:ind w:firstLine="495"/>
        <w:rPr>
          <w:rFonts w:eastAsia="楷体_GB2312" w:hint="eastAsia"/>
          <w:b/>
          <w:sz w:val="24"/>
        </w:rPr>
      </w:pPr>
      <w:r>
        <w:rPr>
          <w:rFonts w:eastAsia="楷体_GB2312" w:hint="eastAsia"/>
          <w:b/>
          <w:sz w:val="24"/>
        </w:rPr>
        <w:t>正因为融资租赁出租人是以不同的方式收回所承担的全部成本的，因此，对于它来说，不存在涉及租赁物的资产风险，即，是否能够再处置，而只存在承租人是否能按时足额支付租金或其它费用的信用风险。</w:t>
      </w:r>
    </w:p>
    <w:p w:rsidR="00000000" w:rsidRDefault="00661157">
      <w:pPr>
        <w:ind w:firstLine="495"/>
        <w:rPr>
          <w:rFonts w:eastAsia="楷体_GB2312" w:hint="eastAsia"/>
          <w:b/>
          <w:sz w:val="24"/>
        </w:rPr>
      </w:pPr>
      <w:r>
        <w:rPr>
          <w:rFonts w:eastAsia="楷体_GB2312" w:hint="eastAsia"/>
          <w:b/>
          <w:sz w:val="24"/>
        </w:rPr>
        <w:t>经营租赁则不同。在经营租赁中，不可能有在一个合同项下租赁物购置成本的全额回收。否则就是融资租赁了。因此，在经营租赁中，必定就会有由出租人自己承担风险的租赁物余值。下面列表说明。</w:t>
      </w:r>
    </w:p>
    <w:p w:rsidR="00000000" w:rsidRDefault="00661157">
      <w:pPr>
        <w:ind w:firstLine="495"/>
        <w:rPr>
          <w:rFonts w:eastAsia="楷体_GB2312" w:hint="eastAsia"/>
          <w:b/>
          <w:sz w:val="24"/>
        </w:rPr>
      </w:pPr>
      <w:r>
        <w:rPr>
          <w:rFonts w:eastAsia="楷体_GB2312" w:hint="eastAsia"/>
          <w:b/>
          <w:sz w:val="24"/>
        </w:rPr>
        <w:t>例</w:t>
      </w:r>
      <w:r>
        <w:rPr>
          <w:rFonts w:eastAsia="楷体_GB2312" w:hint="eastAsia"/>
          <w:b/>
          <w:sz w:val="24"/>
        </w:rPr>
        <w:t>C</w:t>
      </w:r>
      <w:r>
        <w:rPr>
          <w:rFonts w:eastAsia="楷体_GB2312" w:hint="eastAsia"/>
          <w:b/>
          <w:sz w:val="24"/>
        </w:rPr>
        <w:t>：某经营租赁合同，出租人承担的购置成本是</w:t>
      </w:r>
      <w:r>
        <w:rPr>
          <w:rFonts w:eastAsia="楷体_GB2312" w:hint="eastAsia"/>
          <w:b/>
          <w:sz w:val="24"/>
        </w:rPr>
        <w:t>1,000,000</w:t>
      </w:r>
      <w:r>
        <w:rPr>
          <w:rFonts w:eastAsia="楷体_GB2312" w:hint="eastAsia"/>
          <w:b/>
          <w:sz w:val="24"/>
        </w:rPr>
        <w:t>元，租赁期是</w:t>
      </w:r>
      <w:r>
        <w:rPr>
          <w:rFonts w:eastAsia="楷体_GB2312" w:hint="eastAsia"/>
          <w:b/>
          <w:sz w:val="24"/>
        </w:rPr>
        <w:t>3</w:t>
      </w:r>
      <w:r>
        <w:rPr>
          <w:rFonts w:eastAsia="楷体_GB2312" w:hint="eastAsia"/>
          <w:b/>
          <w:sz w:val="24"/>
        </w:rPr>
        <w:t>年，每年末付租</w:t>
      </w:r>
      <w:r>
        <w:rPr>
          <w:rFonts w:eastAsia="楷体_GB2312" w:hint="eastAsia"/>
          <w:b/>
          <w:sz w:val="24"/>
        </w:rPr>
        <w:t>1</w:t>
      </w:r>
      <w:r>
        <w:rPr>
          <w:rFonts w:eastAsia="楷体_GB2312" w:hint="eastAsia"/>
          <w:b/>
          <w:sz w:val="24"/>
        </w:rPr>
        <w:t>次。假如每期收租金</w:t>
      </w:r>
      <w:r>
        <w:rPr>
          <w:rFonts w:eastAsia="楷体_GB2312" w:hint="eastAsia"/>
          <w:b/>
          <w:sz w:val="24"/>
        </w:rPr>
        <w:t>241,268.88</w:t>
      </w:r>
      <w:r>
        <w:rPr>
          <w:rFonts w:eastAsia="楷体_GB2312" w:hint="eastAsia"/>
          <w:b/>
          <w:sz w:val="24"/>
        </w:rPr>
        <w:t>元，则相当于本金为</w:t>
      </w:r>
      <w:r>
        <w:rPr>
          <w:rFonts w:eastAsia="楷体_GB2312" w:hint="eastAsia"/>
          <w:b/>
          <w:sz w:val="24"/>
        </w:rPr>
        <w:t>600,000</w:t>
      </w:r>
      <w:r>
        <w:rPr>
          <w:rFonts w:eastAsia="楷体_GB2312" w:hint="eastAsia"/>
          <w:b/>
          <w:sz w:val="24"/>
        </w:rPr>
        <w:t>元和租赁年利率</w:t>
      </w:r>
      <w:r>
        <w:rPr>
          <w:rFonts w:eastAsia="楷体_GB2312" w:hint="eastAsia"/>
          <w:b/>
          <w:sz w:val="24"/>
        </w:rPr>
        <w:t>10%</w:t>
      </w:r>
      <w:r>
        <w:rPr>
          <w:rFonts w:eastAsia="楷体_GB2312" w:hint="eastAsia"/>
          <w:b/>
          <w:sz w:val="24"/>
        </w:rPr>
        <w:t>。如果筹资年利率是</w:t>
      </w:r>
      <w:r>
        <w:rPr>
          <w:rFonts w:eastAsia="楷体_GB2312" w:hint="eastAsia"/>
          <w:b/>
          <w:sz w:val="24"/>
        </w:rPr>
        <w:t>8%</w:t>
      </w:r>
      <w:r>
        <w:rPr>
          <w:rFonts w:eastAsia="楷体_GB2312" w:hint="eastAsia"/>
          <w:b/>
          <w:sz w:val="24"/>
        </w:rPr>
        <w:t>。则所回收的本金以及未考虑税费的毛收益如下：</w:t>
      </w:r>
    </w:p>
    <w:p w:rsidR="00000000" w:rsidRDefault="00661157">
      <w:pPr>
        <w:rPr>
          <w:rFonts w:eastAsia="楷体_GB2312"/>
          <w:b/>
          <w:sz w:val="24"/>
        </w:rPr>
      </w:pPr>
    </w:p>
    <w:tbl>
      <w:tblPr>
        <w:tblW w:w="0" w:type="auto"/>
        <w:tblInd w:w="135" w:type="dxa"/>
        <w:tblLayout w:type="fixed"/>
        <w:tblCellMar>
          <w:left w:w="30" w:type="dxa"/>
          <w:right w:w="30" w:type="dxa"/>
        </w:tblCellMar>
        <w:tblLook w:val="0000" w:firstRow="0" w:lastRow="0" w:firstColumn="0" w:lastColumn="0" w:noHBand="0" w:noVBand="0"/>
      </w:tblPr>
      <w:tblGrid>
        <w:gridCol w:w="420"/>
        <w:gridCol w:w="1331"/>
        <w:gridCol w:w="1632"/>
        <w:gridCol w:w="1066"/>
        <w:gridCol w:w="1116"/>
        <w:gridCol w:w="1155"/>
        <w:gridCol w:w="1260"/>
        <w:gridCol w:w="1260"/>
      </w:tblGrid>
      <w:tr w:rsidR="00000000">
        <w:tblPrEx>
          <w:tblCellMar>
            <w:top w:w="0" w:type="dxa"/>
            <w:bottom w:w="0" w:type="dxa"/>
          </w:tblCellMar>
        </w:tblPrEx>
        <w:trPr>
          <w:trHeight w:val="297"/>
        </w:trPr>
        <w:tc>
          <w:tcPr>
            <w:tcW w:w="420" w:type="dxa"/>
            <w:tcBorders>
              <w:top w:val="single" w:sz="12" w:space="0" w:color="auto"/>
              <w:left w:val="single" w:sz="12"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期次</w:t>
            </w:r>
          </w:p>
        </w:tc>
        <w:tc>
          <w:tcPr>
            <w:tcW w:w="1331"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本期初本金余额</w:t>
            </w: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折合占用一年资金</w:t>
            </w: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本期年利率</w:t>
            </w:r>
          </w:p>
        </w:tc>
        <w:tc>
          <w:tcPr>
            <w:tcW w:w="111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本期租金</w:t>
            </w:r>
          </w:p>
        </w:tc>
        <w:tc>
          <w:tcPr>
            <w:tcW w:w="1155"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其中含本金</w:t>
            </w:r>
          </w:p>
        </w:tc>
        <w:tc>
          <w:tcPr>
            <w:tcW w:w="126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其中含收益</w:t>
            </w:r>
          </w:p>
        </w:tc>
        <w:tc>
          <w:tcPr>
            <w:tcW w:w="1260" w:type="dxa"/>
            <w:tcBorders>
              <w:top w:val="single" w:sz="12"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租金折现值</w:t>
            </w:r>
          </w:p>
        </w:tc>
      </w:tr>
      <w:tr w:rsidR="00000000">
        <w:tblPrEx>
          <w:tblCellMar>
            <w:top w:w="0" w:type="dxa"/>
            <w:bottom w:w="0" w:type="dxa"/>
          </w:tblCellMar>
        </w:tblPrEx>
        <w:trPr>
          <w:trHeight w:val="259"/>
        </w:trPr>
        <w:tc>
          <w:tcPr>
            <w:tcW w:w="420" w:type="dxa"/>
            <w:tcBorders>
              <w:top w:val="single" w:sz="12" w:space="0" w:color="auto"/>
              <w:left w:val="single" w:sz="12"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w:t>
            </w:r>
          </w:p>
        </w:tc>
        <w:tc>
          <w:tcPr>
            <w:tcW w:w="1331"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600,000.00 </w:t>
            </w:r>
          </w:p>
        </w:tc>
        <w:tc>
          <w:tcPr>
            <w:tcW w:w="1632"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600,000.00 </w:t>
            </w:r>
          </w:p>
        </w:tc>
        <w:tc>
          <w:tcPr>
            <w:tcW w:w="1066"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10.0000%</w:t>
            </w:r>
          </w:p>
        </w:tc>
        <w:tc>
          <w:tcPr>
            <w:tcW w:w="1116"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241,268.88 </w:t>
            </w:r>
          </w:p>
        </w:tc>
        <w:tc>
          <w:tcPr>
            <w:tcW w:w="1155"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181,268.88 </w:t>
            </w:r>
          </w:p>
        </w:tc>
        <w:tc>
          <w:tcPr>
            <w:tcW w:w="1260"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60,000.00 </w:t>
            </w:r>
          </w:p>
        </w:tc>
        <w:tc>
          <w:tcPr>
            <w:tcW w:w="1260" w:type="dxa"/>
            <w:tcBorders>
              <w:top w:val="single" w:sz="12" w:space="0" w:color="auto"/>
              <w:left w:val="single" w:sz="6" w:space="0" w:color="auto"/>
              <w:bottom w:val="single" w:sz="6" w:space="0" w:color="auto"/>
              <w:right w:val="single" w:sz="12"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223,397.11 </w:t>
            </w:r>
          </w:p>
        </w:tc>
      </w:tr>
      <w:tr w:rsidR="00000000">
        <w:tblPrEx>
          <w:tblCellMar>
            <w:top w:w="0" w:type="dxa"/>
            <w:bottom w:w="0" w:type="dxa"/>
          </w:tblCellMar>
        </w:tblPrEx>
        <w:trPr>
          <w:trHeight w:val="259"/>
        </w:trPr>
        <w:tc>
          <w:tcPr>
            <w:tcW w:w="420" w:type="dxa"/>
            <w:tcBorders>
              <w:top w:val="single" w:sz="6" w:space="0" w:color="auto"/>
              <w:left w:val="single" w:sz="12"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2</w:t>
            </w:r>
          </w:p>
        </w:tc>
        <w:tc>
          <w:tcPr>
            <w:tcW w:w="1331"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418,731.</w:t>
            </w:r>
            <w:r>
              <w:rPr>
                <w:rFonts w:eastAsia="黑体"/>
                <w:b/>
                <w:i/>
                <w:color w:val="000000"/>
                <w:sz w:val="18"/>
              </w:rPr>
              <w:t xml:space="preserve">12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418,731.12 </w:t>
            </w:r>
          </w:p>
        </w:tc>
        <w:tc>
          <w:tcPr>
            <w:tcW w:w="106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10.0000%</w:t>
            </w:r>
          </w:p>
        </w:tc>
        <w:tc>
          <w:tcPr>
            <w:tcW w:w="111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241,268.88 </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199,395.77 </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41,873.11 </w:t>
            </w:r>
          </w:p>
        </w:tc>
        <w:tc>
          <w:tcPr>
            <w:tcW w:w="1260" w:type="dxa"/>
            <w:tcBorders>
              <w:top w:val="single" w:sz="6" w:space="0" w:color="auto"/>
              <w:left w:val="single" w:sz="6" w:space="0" w:color="auto"/>
              <w:bottom w:val="single" w:sz="6" w:space="0" w:color="auto"/>
              <w:right w:val="single" w:sz="12"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206,849.18 </w:t>
            </w:r>
          </w:p>
        </w:tc>
      </w:tr>
      <w:tr w:rsidR="00000000">
        <w:tblPrEx>
          <w:tblCellMar>
            <w:top w:w="0" w:type="dxa"/>
            <w:bottom w:w="0" w:type="dxa"/>
          </w:tblCellMar>
        </w:tblPrEx>
        <w:trPr>
          <w:trHeight w:val="269"/>
        </w:trPr>
        <w:tc>
          <w:tcPr>
            <w:tcW w:w="420" w:type="dxa"/>
            <w:tcBorders>
              <w:top w:val="single" w:sz="6" w:space="0" w:color="auto"/>
              <w:left w:val="single" w:sz="12"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3</w:t>
            </w:r>
          </w:p>
        </w:tc>
        <w:tc>
          <w:tcPr>
            <w:tcW w:w="1331"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219,335.35 </w:t>
            </w:r>
          </w:p>
        </w:tc>
        <w:tc>
          <w:tcPr>
            <w:tcW w:w="1632"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219,335.35 </w:t>
            </w:r>
          </w:p>
        </w:tc>
        <w:tc>
          <w:tcPr>
            <w:tcW w:w="1066"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10.0000%</w:t>
            </w:r>
          </w:p>
        </w:tc>
        <w:tc>
          <w:tcPr>
            <w:tcW w:w="1116"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241,268.88 </w:t>
            </w:r>
          </w:p>
        </w:tc>
        <w:tc>
          <w:tcPr>
            <w:tcW w:w="1155"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219,335.35 </w:t>
            </w:r>
          </w:p>
        </w:tc>
        <w:tc>
          <w:tcPr>
            <w:tcW w:w="1260"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21,933.53 </w:t>
            </w:r>
          </w:p>
        </w:tc>
        <w:tc>
          <w:tcPr>
            <w:tcW w:w="1260" w:type="dxa"/>
            <w:tcBorders>
              <w:top w:val="single" w:sz="6"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191,527.02 </w:t>
            </w:r>
          </w:p>
        </w:tc>
      </w:tr>
      <w:tr w:rsidR="00000000">
        <w:tblPrEx>
          <w:tblCellMar>
            <w:top w:w="0" w:type="dxa"/>
            <w:bottom w:w="0" w:type="dxa"/>
          </w:tblCellMar>
        </w:tblPrEx>
        <w:trPr>
          <w:trHeight w:val="331"/>
        </w:trPr>
        <w:tc>
          <w:tcPr>
            <w:tcW w:w="1751" w:type="dxa"/>
            <w:gridSpan w:val="2"/>
            <w:tcBorders>
              <w:top w:val="single" w:sz="12" w:space="0" w:color="auto"/>
              <w:left w:val="single" w:sz="12" w:space="0" w:color="auto"/>
              <w:bottom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合</w:t>
            </w:r>
            <w:r>
              <w:rPr>
                <w:rFonts w:eastAsia="黑体"/>
                <w:b/>
                <w:color w:val="000000"/>
                <w:sz w:val="18"/>
              </w:rPr>
              <w:t xml:space="preserve">    </w:t>
            </w:r>
            <w:r>
              <w:rPr>
                <w:rFonts w:eastAsia="黑体" w:hint="eastAsia"/>
                <w:b/>
                <w:color w:val="000000"/>
                <w:sz w:val="18"/>
              </w:rPr>
              <w:t>计</w:t>
            </w: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    1,238,066.47 </w:t>
            </w: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11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 723,806.65 </w:t>
            </w:r>
          </w:p>
        </w:tc>
        <w:tc>
          <w:tcPr>
            <w:tcW w:w="1155"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 600,000.00 </w:t>
            </w:r>
          </w:p>
        </w:tc>
        <w:tc>
          <w:tcPr>
            <w:tcW w:w="126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  123,806.65 </w:t>
            </w:r>
          </w:p>
        </w:tc>
        <w:tc>
          <w:tcPr>
            <w:tcW w:w="1260" w:type="dxa"/>
            <w:tcBorders>
              <w:top w:val="single" w:sz="12"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  621,773.31 </w:t>
            </w:r>
          </w:p>
        </w:tc>
      </w:tr>
      <w:tr w:rsidR="00000000">
        <w:tblPrEx>
          <w:tblCellMar>
            <w:top w:w="0" w:type="dxa"/>
            <w:bottom w:w="0" w:type="dxa"/>
          </w:tblCellMar>
        </w:tblPrEx>
        <w:trPr>
          <w:trHeight w:val="331"/>
        </w:trPr>
        <w:tc>
          <w:tcPr>
            <w:tcW w:w="1751" w:type="dxa"/>
            <w:gridSpan w:val="2"/>
            <w:tcBorders>
              <w:top w:val="single" w:sz="12" w:space="0" w:color="auto"/>
              <w:left w:val="single" w:sz="12" w:space="0" w:color="auto"/>
              <w:bottom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收益净现值</w:t>
            </w: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rPr>
            </w:pPr>
          </w:p>
        </w:tc>
        <w:tc>
          <w:tcPr>
            <w:tcW w:w="111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155"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26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260" w:type="dxa"/>
            <w:tcBorders>
              <w:top w:val="single" w:sz="12"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   21,773.31 </w:t>
            </w:r>
          </w:p>
        </w:tc>
      </w:tr>
      <w:tr w:rsidR="00000000">
        <w:tblPrEx>
          <w:tblCellMar>
            <w:top w:w="0" w:type="dxa"/>
            <w:bottom w:w="0" w:type="dxa"/>
          </w:tblCellMar>
        </w:tblPrEx>
        <w:trPr>
          <w:trHeight w:val="331"/>
        </w:trPr>
        <w:tc>
          <w:tcPr>
            <w:tcW w:w="1751" w:type="dxa"/>
            <w:gridSpan w:val="2"/>
            <w:tcBorders>
              <w:top w:val="single" w:sz="12" w:space="0" w:color="auto"/>
              <w:left w:val="single" w:sz="12" w:space="0" w:color="auto"/>
              <w:bottom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资金年净收益率</w:t>
            </w: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rPr>
            </w:pPr>
          </w:p>
        </w:tc>
        <w:tc>
          <w:tcPr>
            <w:tcW w:w="111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155"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26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260" w:type="dxa"/>
            <w:tcBorders>
              <w:top w:val="single" w:sz="12"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1.7587%</w:t>
            </w:r>
          </w:p>
        </w:tc>
      </w:tr>
    </w:tbl>
    <w:p w:rsidR="00000000" w:rsidRDefault="00661157">
      <w:pPr>
        <w:rPr>
          <w:rFonts w:eastAsia="楷体_GB2312" w:hint="eastAsia"/>
          <w:b/>
          <w:sz w:val="24"/>
        </w:rPr>
      </w:pPr>
    </w:p>
    <w:p w:rsidR="00000000" w:rsidRDefault="00661157">
      <w:pPr>
        <w:rPr>
          <w:rFonts w:eastAsia="楷体_GB2312" w:hint="eastAsia"/>
          <w:b/>
          <w:sz w:val="24"/>
        </w:rPr>
      </w:pPr>
      <w:r>
        <w:rPr>
          <w:rFonts w:eastAsia="楷体_GB2312"/>
          <w:b/>
          <w:sz w:val="24"/>
        </w:rPr>
        <w:t xml:space="preserve">    </w:t>
      </w:r>
      <w:r>
        <w:rPr>
          <w:rFonts w:eastAsia="楷体_GB2312" w:hint="eastAsia"/>
          <w:b/>
          <w:sz w:val="24"/>
        </w:rPr>
        <w:t>从上例可见，租金合计是</w:t>
      </w:r>
      <w:r>
        <w:rPr>
          <w:rFonts w:eastAsia="楷体_GB2312" w:hint="eastAsia"/>
          <w:b/>
          <w:sz w:val="24"/>
        </w:rPr>
        <w:t>723,806.65</w:t>
      </w:r>
      <w:r>
        <w:rPr>
          <w:rFonts w:eastAsia="楷体_GB2312" w:hint="eastAsia"/>
          <w:b/>
          <w:sz w:val="24"/>
        </w:rPr>
        <w:t>元，其中含本金是</w:t>
      </w:r>
      <w:r>
        <w:rPr>
          <w:rFonts w:eastAsia="楷体_GB2312" w:hint="eastAsia"/>
          <w:b/>
          <w:sz w:val="24"/>
        </w:rPr>
        <w:t>600,000</w:t>
      </w:r>
      <w:r>
        <w:rPr>
          <w:rFonts w:eastAsia="楷体_GB2312" w:hint="eastAsia"/>
          <w:b/>
          <w:sz w:val="24"/>
        </w:rPr>
        <w:t>元，含收益</w:t>
      </w:r>
      <w:r>
        <w:rPr>
          <w:rFonts w:eastAsia="楷体_GB2312" w:hint="eastAsia"/>
          <w:b/>
          <w:sz w:val="24"/>
        </w:rPr>
        <w:t>123,806.65</w:t>
      </w:r>
      <w:r>
        <w:rPr>
          <w:rFonts w:eastAsia="楷体_GB2312" w:hint="eastAsia"/>
          <w:b/>
          <w:sz w:val="24"/>
        </w:rPr>
        <w:t>元。收益净现值是</w:t>
      </w:r>
      <w:r>
        <w:rPr>
          <w:rFonts w:eastAsia="楷体_GB2312" w:hint="eastAsia"/>
          <w:b/>
          <w:sz w:val="24"/>
        </w:rPr>
        <w:t>21,773.31</w:t>
      </w:r>
      <w:r>
        <w:rPr>
          <w:rFonts w:eastAsia="楷体_GB2312" w:hint="eastAsia"/>
          <w:b/>
          <w:sz w:val="24"/>
        </w:rPr>
        <w:t>元，资金年净收益率是</w:t>
      </w:r>
      <w:r>
        <w:rPr>
          <w:rFonts w:eastAsia="楷体_GB2312" w:hint="eastAsia"/>
          <w:b/>
          <w:sz w:val="24"/>
        </w:rPr>
        <w:t>1.7587%</w:t>
      </w:r>
      <w:r>
        <w:rPr>
          <w:rFonts w:eastAsia="楷体_GB2312" w:hint="eastAsia"/>
          <w:b/>
          <w:sz w:val="24"/>
        </w:rPr>
        <w:t>。但是，还有</w:t>
      </w:r>
      <w:r>
        <w:rPr>
          <w:rFonts w:eastAsia="楷体_GB2312" w:hint="eastAsia"/>
          <w:b/>
          <w:sz w:val="24"/>
        </w:rPr>
        <w:t>400,000</w:t>
      </w:r>
      <w:r>
        <w:rPr>
          <w:rFonts w:eastAsia="楷体_GB2312" w:hint="eastAsia"/>
          <w:b/>
          <w:sz w:val="24"/>
        </w:rPr>
        <w:t>元的成本有待收回，这个未收回成本的以筹资年利率计的至该合同期末的本利和是</w:t>
      </w:r>
      <w:r>
        <w:rPr>
          <w:rFonts w:eastAsia="楷体_GB2312" w:hint="eastAsia"/>
          <w:b/>
          <w:sz w:val="24"/>
        </w:rPr>
        <w:t>503,884.80</w:t>
      </w:r>
      <w:r>
        <w:rPr>
          <w:rFonts w:eastAsia="楷体_GB2312" w:hint="eastAsia"/>
          <w:b/>
          <w:sz w:val="24"/>
        </w:rPr>
        <w:t>元。也就是说，如果该租赁物届时的市值低于此数，出租人就要受到</w:t>
      </w:r>
      <w:r>
        <w:rPr>
          <w:rFonts w:eastAsia="楷体_GB2312" w:hint="eastAsia"/>
          <w:b/>
          <w:sz w:val="24"/>
        </w:rPr>
        <w:t>损失。即使以租金全额的折现值</w:t>
      </w:r>
      <w:r>
        <w:rPr>
          <w:rFonts w:eastAsia="楷体_GB2312" w:hint="eastAsia"/>
          <w:b/>
          <w:sz w:val="24"/>
        </w:rPr>
        <w:t>621,773.31</w:t>
      </w:r>
      <w:r>
        <w:rPr>
          <w:rFonts w:eastAsia="楷体_GB2312" w:hint="eastAsia"/>
          <w:b/>
          <w:sz w:val="24"/>
        </w:rPr>
        <w:t>元考虑，也至少有还</w:t>
      </w:r>
      <w:r>
        <w:rPr>
          <w:rFonts w:eastAsia="楷体_GB2312" w:hint="eastAsia"/>
          <w:b/>
          <w:sz w:val="24"/>
        </w:rPr>
        <w:t>378,226.69</w:t>
      </w:r>
      <w:r>
        <w:rPr>
          <w:rFonts w:eastAsia="楷体_GB2312" w:hint="eastAsia"/>
          <w:b/>
          <w:sz w:val="24"/>
        </w:rPr>
        <w:t>元的购置成本是在该合同项下未能收回的。换句话说，仅仅是为了保本，该租赁物在该合同期限届满时的市值也不得低于</w:t>
      </w:r>
      <w:r>
        <w:rPr>
          <w:rFonts w:eastAsia="楷体_GB2312" w:hint="eastAsia"/>
          <w:b/>
          <w:sz w:val="24"/>
        </w:rPr>
        <w:t>476,456.70</w:t>
      </w:r>
      <w:r>
        <w:rPr>
          <w:rFonts w:eastAsia="楷体_GB2312" w:hint="eastAsia"/>
          <w:b/>
          <w:sz w:val="24"/>
        </w:rPr>
        <w:t>元。这就是经营租赁中出租人的资产风险。当然，本例中的具体指标并无多少实际意义。因为，如下所述，经营租赁中租金的报价，绝对不会用本例的方法。</w:t>
      </w:r>
    </w:p>
    <w:p w:rsidR="00000000" w:rsidRDefault="00661157">
      <w:pPr>
        <w:rPr>
          <w:rFonts w:eastAsia="楷体_GB2312" w:hint="eastAsia"/>
          <w:b/>
          <w:sz w:val="24"/>
        </w:rPr>
      </w:pPr>
    </w:p>
    <w:p w:rsidR="00000000" w:rsidRDefault="00661157">
      <w:pPr>
        <w:rPr>
          <w:rFonts w:eastAsia="楷体_GB2312" w:hint="eastAsia"/>
          <w:b/>
          <w:sz w:val="24"/>
        </w:rPr>
      </w:pPr>
    </w:p>
    <w:p w:rsidR="00000000" w:rsidRDefault="00661157">
      <w:pPr>
        <w:numPr>
          <w:ilvl w:val="0"/>
          <w:numId w:val="12"/>
        </w:numPr>
        <w:rPr>
          <w:rFonts w:eastAsia="黑体" w:hint="eastAsia"/>
          <w:b/>
          <w:sz w:val="24"/>
        </w:rPr>
      </w:pPr>
      <w:r>
        <w:rPr>
          <w:rFonts w:eastAsia="黑体" w:hint="eastAsia"/>
          <w:b/>
          <w:sz w:val="24"/>
        </w:rPr>
        <w:t>期末对租赁物的处置</w:t>
      </w:r>
    </w:p>
    <w:p w:rsidR="00000000" w:rsidRDefault="00661157">
      <w:pPr>
        <w:ind w:left="570"/>
        <w:rPr>
          <w:rFonts w:eastAsia="楷体_GB2312" w:hint="eastAsia"/>
          <w:b/>
          <w:sz w:val="24"/>
        </w:rPr>
      </w:pPr>
      <w:r>
        <w:rPr>
          <w:rFonts w:eastAsia="楷体_GB2312" w:hint="eastAsia"/>
          <w:b/>
          <w:sz w:val="24"/>
        </w:rPr>
        <w:t>在经营租赁中，期末对租赁物的处置多半是返还出租人。当然，也有由该承租人留购</w:t>
      </w:r>
    </w:p>
    <w:p w:rsidR="00000000" w:rsidRDefault="00661157">
      <w:pPr>
        <w:rPr>
          <w:rFonts w:eastAsia="楷体_GB2312" w:hint="eastAsia"/>
          <w:b/>
          <w:sz w:val="24"/>
        </w:rPr>
      </w:pPr>
      <w:r>
        <w:rPr>
          <w:rFonts w:eastAsia="楷体_GB2312" w:hint="eastAsia"/>
          <w:b/>
          <w:sz w:val="24"/>
        </w:rPr>
        <w:t>的作法。但是，这时的买价可能是届时该租赁物的市值，或是双方商</w:t>
      </w:r>
      <w:r>
        <w:rPr>
          <w:rFonts w:eastAsia="楷体_GB2312" w:hint="eastAsia"/>
          <w:b/>
          <w:sz w:val="24"/>
        </w:rPr>
        <w:t>定的价格，包括合同中约定承租人届时有购买任择权的某个价格，但一定不是名义价格。</w:t>
      </w:r>
    </w:p>
    <w:p w:rsidR="00000000" w:rsidRDefault="00661157">
      <w:pPr>
        <w:rPr>
          <w:rFonts w:eastAsia="楷体_GB2312" w:hint="eastAsia"/>
          <w:b/>
          <w:sz w:val="24"/>
        </w:rPr>
      </w:pPr>
      <w:r>
        <w:rPr>
          <w:rFonts w:eastAsia="楷体_GB2312" w:hint="eastAsia"/>
          <w:b/>
          <w:sz w:val="24"/>
        </w:rPr>
        <w:t xml:space="preserve">    </w:t>
      </w:r>
      <w:r>
        <w:rPr>
          <w:rFonts w:eastAsia="楷体_GB2312" w:hint="eastAsia"/>
          <w:b/>
          <w:sz w:val="24"/>
        </w:rPr>
        <w:t>在经营租赁中，由于种种原因，承租人往往会希望提前结束合同。这在一定条件下对出租人未必不是好事。现在让我们来观察经营租赁在不同条件下的财务效果。</w:t>
      </w:r>
    </w:p>
    <w:p w:rsidR="00000000" w:rsidRDefault="00661157">
      <w:pPr>
        <w:ind w:firstLine="495"/>
        <w:rPr>
          <w:rFonts w:eastAsia="楷体_GB2312" w:hint="eastAsia"/>
          <w:b/>
          <w:sz w:val="24"/>
        </w:rPr>
      </w:pPr>
      <w:r>
        <w:rPr>
          <w:rFonts w:eastAsia="楷体_GB2312" w:hint="eastAsia"/>
          <w:b/>
          <w:sz w:val="24"/>
        </w:rPr>
        <w:t>假设：某设备，购置成本是</w:t>
      </w:r>
      <w:r>
        <w:rPr>
          <w:rFonts w:eastAsia="楷体_GB2312" w:hint="eastAsia"/>
          <w:b/>
          <w:sz w:val="24"/>
        </w:rPr>
        <w:t>1,000,000.00</w:t>
      </w:r>
      <w:r>
        <w:rPr>
          <w:rFonts w:eastAsia="楷体_GB2312" w:hint="eastAsia"/>
          <w:b/>
          <w:sz w:val="24"/>
        </w:rPr>
        <w:t>元，可使用年限是</w:t>
      </w:r>
      <w:r>
        <w:rPr>
          <w:rFonts w:eastAsia="楷体_GB2312" w:hint="eastAsia"/>
          <w:b/>
          <w:sz w:val="24"/>
        </w:rPr>
        <w:t>5</w:t>
      </w:r>
      <w:r>
        <w:rPr>
          <w:rFonts w:eastAsia="楷体_GB2312" w:hint="eastAsia"/>
          <w:b/>
          <w:sz w:val="24"/>
        </w:rPr>
        <w:t>年。某用户希望租用</w:t>
      </w:r>
      <w:r>
        <w:rPr>
          <w:rFonts w:eastAsia="楷体_GB2312" w:hint="eastAsia"/>
          <w:b/>
          <w:sz w:val="24"/>
        </w:rPr>
        <w:t>3</w:t>
      </w:r>
      <w:r>
        <w:rPr>
          <w:rFonts w:eastAsia="楷体_GB2312" w:hint="eastAsia"/>
          <w:b/>
          <w:sz w:val="24"/>
        </w:rPr>
        <w:t>年。经营租赁合同约定每年末付租金</w:t>
      </w:r>
      <w:r>
        <w:rPr>
          <w:rFonts w:eastAsia="楷体_GB2312" w:hint="eastAsia"/>
          <w:b/>
          <w:sz w:val="24"/>
        </w:rPr>
        <w:t>311,480.36</w:t>
      </w:r>
      <w:r>
        <w:rPr>
          <w:rFonts w:eastAsia="楷体_GB2312" w:hint="eastAsia"/>
          <w:b/>
          <w:sz w:val="24"/>
        </w:rPr>
        <w:t>元。又假设出租人的筹资年利率是</w:t>
      </w:r>
      <w:r>
        <w:rPr>
          <w:rFonts w:eastAsia="楷体_GB2312" w:hint="eastAsia"/>
          <w:b/>
          <w:sz w:val="24"/>
        </w:rPr>
        <w:t>8%</w:t>
      </w:r>
      <w:r>
        <w:rPr>
          <w:rFonts w:eastAsia="楷体_GB2312" w:hint="eastAsia"/>
          <w:b/>
          <w:sz w:val="24"/>
        </w:rPr>
        <w:t>。则，出租人的财务效果可以用例</w:t>
      </w:r>
      <w:r>
        <w:rPr>
          <w:rFonts w:eastAsia="楷体_GB2312" w:hint="eastAsia"/>
          <w:b/>
          <w:sz w:val="24"/>
        </w:rPr>
        <w:t>D</w:t>
      </w:r>
      <w:r>
        <w:rPr>
          <w:rFonts w:eastAsia="楷体_GB2312" w:hint="eastAsia"/>
          <w:b/>
          <w:sz w:val="24"/>
        </w:rPr>
        <w:t>和例</w:t>
      </w:r>
      <w:r>
        <w:rPr>
          <w:rFonts w:eastAsia="楷体_GB2312" w:hint="eastAsia"/>
          <w:b/>
          <w:sz w:val="24"/>
        </w:rPr>
        <w:t>E</w:t>
      </w:r>
      <w:r>
        <w:rPr>
          <w:rFonts w:eastAsia="楷体_GB2312" w:hint="eastAsia"/>
          <w:b/>
          <w:sz w:val="24"/>
        </w:rPr>
        <w:t>两种方式表示：</w:t>
      </w:r>
    </w:p>
    <w:p w:rsidR="00000000" w:rsidRDefault="00661157">
      <w:pPr>
        <w:ind w:firstLine="495"/>
        <w:rPr>
          <w:rFonts w:eastAsia="楷体_GB2312" w:hint="eastAsia"/>
          <w:b/>
          <w:sz w:val="24"/>
        </w:rPr>
      </w:pPr>
      <w:r>
        <w:rPr>
          <w:rFonts w:eastAsia="楷体_GB2312" w:hint="eastAsia"/>
          <w:b/>
          <w:sz w:val="24"/>
        </w:rPr>
        <w:t>例</w:t>
      </w:r>
      <w:r>
        <w:rPr>
          <w:rFonts w:eastAsia="楷体_GB2312" w:hint="eastAsia"/>
          <w:b/>
          <w:sz w:val="24"/>
        </w:rPr>
        <w:t>D</w:t>
      </w:r>
      <w:r>
        <w:rPr>
          <w:rFonts w:eastAsia="楷体_GB2312" w:hint="eastAsia"/>
          <w:b/>
          <w:sz w:val="24"/>
        </w:rPr>
        <w:t>：以</w:t>
      </w:r>
      <w:r>
        <w:rPr>
          <w:rFonts w:eastAsia="楷体_GB2312" w:hint="eastAsia"/>
          <w:b/>
          <w:sz w:val="24"/>
        </w:rPr>
        <w:t>1,000,000.00</w:t>
      </w:r>
      <w:r>
        <w:rPr>
          <w:rFonts w:eastAsia="楷体_GB2312" w:hint="eastAsia"/>
          <w:b/>
          <w:sz w:val="24"/>
        </w:rPr>
        <w:t>元为本金，以</w:t>
      </w:r>
      <w:r>
        <w:rPr>
          <w:rFonts w:eastAsia="楷体_GB2312" w:hint="eastAsia"/>
          <w:b/>
          <w:sz w:val="24"/>
        </w:rPr>
        <w:t>300,0</w:t>
      </w:r>
      <w:r>
        <w:rPr>
          <w:rFonts w:eastAsia="楷体_GB2312" w:hint="eastAsia"/>
          <w:b/>
          <w:sz w:val="24"/>
        </w:rPr>
        <w:t>00.00</w:t>
      </w:r>
      <w:r>
        <w:rPr>
          <w:rFonts w:eastAsia="楷体_GB2312" w:hint="eastAsia"/>
          <w:b/>
          <w:sz w:val="24"/>
        </w:rPr>
        <w:t>元为余值，以</w:t>
      </w:r>
      <w:r>
        <w:rPr>
          <w:rFonts w:eastAsia="楷体_GB2312" w:hint="eastAsia"/>
          <w:b/>
          <w:sz w:val="24"/>
        </w:rPr>
        <w:t>10%</w:t>
      </w:r>
      <w:r>
        <w:rPr>
          <w:rFonts w:eastAsia="楷体_GB2312" w:hint="eastAsia"/>
          <w:b/>
          <w:sz w:val="24"/>
        </w:rPr>
        <w:t>为租赁年利率。</w:t>
      </w:r>
    </w:p>
    <w:p w:rsidR="00000000" w:rsidRDefault="00661157">
      <w:pPr>
        <w:rPr>
          <w:rFonts w:eastAsia="楷体_GB2312" w:hint="eastAsia"/>
          <w:b/>
          <w:sz w:val="24"/>
        </w:rPr>
      </w:pPr>
    </w:p>
    <w:tbl>
      <w:tblPr>
        <w:tblW w:w="0" w:type="auto"/>
        <w:tblLayout w:type="fixed"/>
        <w:tblCellMar>
          <w:left w:w="30" w:type="dxa"/>
          <w:right w:w="30" w:type="dxa"/>
        </w:tblCellMar>
        <w:tblLook w:val="0000" w:firstRow="0" w:lastRow="0" w:firstColumn="0" w:lastColumn="0" w:noHBand="0" w:noVBand="0"/>
      </w:tblPr>
      <w:tblGrid>
        <w:gridCol w:w="480"/>
        <w:gridCol w:w="1406"/>
        <w:gridCol w:w="1632"/>
        <w:gridCol w:w="1066"/>
        <w:gridCol w:w="1116"/>
        <w:gridCol w:w="1155"/>
        <w:gridCol w:w="1155"/>
        <w:gridCol w:w="1575"/>
      </w:tblGrid>
      <w:tr w:rsidR="00000000">
        <w:tblPrEx>
          <w:tblCellMar>
            <w:top w:w="0" w:type="dxa"/>
            <w:bottom w:w="0" w:type="dxa"/>
          </w:tblCellMar>
        </w:tblPrEx>
        <w:trPr>
          <w:trHeight w:val="271"/>
        </w:trPr>
        <w:tc>
          <w:tcPr>
            <w:tcW w:w="480" w:type="dxa"/>
            <w:tcBorders>
              <w:top w:val="single" w:sz="12" w:space="0" w:color="auto"/>
              <w:left w:val="single" w:sz="12"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期次</w:t>
            </w:r>
          </w:p>
        </w:tc>
        <w:tc>
          <w:tcPr>
            <w:tcW w:w="140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本期初本金余额</w:t>
            </w: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折合占用一年资金</w:t>
            </w: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本期年利率</w:t>
            </w:r>
          </w:p>
        </w:tc>
        <w:tc>
          <w:tcPr>
            <w:tcW w:w="111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本期租金</w:t>
            </w:r>
          </w:p>
        </w:tc>
        <w:tc>
          <w:tcPr>
            <w:tcW w:w="1155"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其中含本金</w:t>
            </w:r>
          </w:p>
        </w:tc>
        <w:tc>
          <w:tcPr>
            <w:tcW w:w="1155"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其中含收益</w:t>
            </w:r>
          </w:p>
        </w:tc>
        <w:tc>
          <w:tcPr>
            <w:tcW w:w="1575" w:type="dxa"/>
            <w:tcBorders>
              <w:top w:val="single" w:sz="12"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租金折现值</w:t>
            </w:r>
          </w:p>
        </w:tc>
      </w:tr>
      <w:tr w:rsidR="00000000">
        <w:tblPrEx>
          <w:tblCellMar>
            <w:top w:w="0" w:type="dxa"/>
            <w:bottom w:w="0" w:type="dxa"/>
          </w:tblCellMar>
        </w:tblPrEx>
        <w:trPr>
          <w:trHeight w:val="259"/>
        </w:trPr>
        <w:tc>
          <w:tcPr>
            <w:tcW w:w="480" w:type="dxa"/>
            <w:tcBorders>
              <w:top w:val="single" w:sz="12" w:space="0" w:color="auto"/>
              <w:left w:val="single" w:sz="12"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w:t>
            </w:r>
          </w:p>
        </w:tc>
        <w:tc>
          <w:tcPr>
            <w:tcW w:w="1406"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1,000,000.00 </w:t>
            </w:r>
          </w:p>
        </w:tc>
        <w:tc>
          <w:tcPr>
            <w:tcW w:w="1632"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1,000,000.00 </w:t>
            </w:r>
          </w:p>
        </w:tc>
        <w:tc>
          <w:tcPr>
            <w:tcW w:w="1066"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10.0000%</w:t>
            </w:r>
          </w:p>
        </w:tc>
        <w:tc>
          <w:tcPr>
            <w:tcW w:w="1116"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311,480.36 </w:t>
            </w:r>
          </w:p>
        </w:tc>
        <w:tc>
          <w:tcPr>
            <w:tcW w:w="1155"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211,480.36 </w:t>
            </w:r>
          </w:p>
        </w:tc>
        <w:tc>
          <w:tcPr>
            <w:tcW w:w="1155"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100,000.00 </w:t>
            </w:r>
          </w:p>
        </w:tc>
        <w:tc>
          <w:tcPr>
            <w:tcW w:w="1575" w:type="dxa"/>
            <w:tcBorders>
              <w:top w:val="single" w:sz="12" w:space="0" w:color="auto"/>
              <w:left w:val="single" w:sz="6" w:space="0" w:color="auto"/>
              <w:bottom w:val="single" w:sz="6" w:space="0" w:color="auto"/>
              <w:right w:val="single" w:sz="12"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288,407.74 </w:t>
            </w:r>
          </w:p>
        </w:tc>
      </w:tr>
      <w:tr w:rsidR="00000000">
        <w:tblPrEx>
          <w:tblCellMar>
            <w:top w:w="0" w:type="dxa"/>
            <w:bottom w:w="0" w:type="dxa"/>
          </w:tblCellMar>
        </w:tblPrEx>
        <w:trPr>
          <w:trHeight w:val="259"/>
        </w:trPr>
        <w:tc>
          <w:tcPr>
            <w:tcW w:w="480" w:type="dxa"/>
            <w:tcBorders>
              <w:top w:val="single" w:sz="6" w:space="0" w:color="auto"/>
              <w:left w:val="single" w:sz="12"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2</w:t>
            </w:r>
          </w:p>
        </w:tc>
        <w:tc>
          <w:tcPr>
            <w:tcW w:w="140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788,519.64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788,519.64 </w:t>
            </w:r>
          </w:p>
        </w:tc>
        <w:tc>
          <w:tcPr>
            <w:tcW w:w="106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10.0000%</w:t>
            </w:r>
          </w:p>
        </w:tc>
        <w:tc>
          <w:tcPr>
            <w:tcW w:w="111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311,480.36 </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232,62</w:t>
            </w:r>
            <w:r>
              <w:rPr>
                <w:rFonts w:eastAsia="黑体"/>
                <w:b/>
                <w:i/>
                <w:color w:val="000000"/>
                <w:sz w:val="18"/>
              </w:rPr>
              <w:t xml:space="preserve">8.40 </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78,851.96 </w:t>
            </w:r>
          </w:p>
        </w:tc>
        <w:tc>
          <w:tcPr>
            <w:tcW w:w="1575" w:type="dxa"/>
            <w:tcBorders>
              <w:top w:val="single" w:sz="6" w:space="0" w:color="auto"/>
              <w:left w:val="single" w:sz="6" w:space="0" w:color="auto"/>
              <w:bottom w:val="single" w:sz="6" w:space="0" w:color="auto"/>
              <w:right w:val="single" w:sz="12"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267,044.21 </w:t>
            </w:r>
          </w:p>
        </w:tc>
      </w:tr>
      <w:tr w:rsidR="00000000">
        <w:tblPrEx>
          <w:tblCellMar>
            <w:top w:w="0" w:type="dxa"/>
            <w:bottom w:w="0" w:type="dxa"/>
          </w:tblCellMar>
        </w:tblPrEx>
        <w:trPr>
          <w:trHeight w:val="269"/>
        </w:trPr>
        <w:tc>
          <w:tcPr>
            <w:tcW w:w="480" w:type="dxa"/>
            <w:tcBorders>
              <w:top w:val="single" w:sz="6" w:space="0" w:color="auto"/>
              <w:left w:val="single" w:sz="12"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3</w:t>
            </w:r>
          </w:p>
        </w:tc>
        <w:tc>
          <w:tcPr>
            <w:tcW w:w="1406"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555,891.24 </w:t>
            </w:r>
          </w:p>
        </w:tc>
        <w:tc>
          <w:tcPr>
            <w:tcW w:w="1632"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555,891.24 </w:t>
            </w:r>
          </w:p>
        </w:tc>
        <w:tc>
          <w:tcPr>
            <w:tcW w:w="1066"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10.0000%</w:t>
            </w:r>
          </w:p>
        </w:tc>
        <w:tc>
          <w:tcPr>
            <w:tcW w:w="1116"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311,480.36 </w:t>
            </w:r>
          </w:p>
        </w:tc>
        <w:tc>
          <w:tcPr>
            <w:tcW w:w="1155"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255,891.24 </w:t>
            </w:r>
          </w:p>
        </w:tc>
        <w:tc>
          <w:tcPr>
            <w:tcW w:w="1155"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55,589.12 </w:t>
            </w:r>
          </w:p>
        </w:tc>
        <w:tc>
          <w:tcPr>
            <w:tcW w:w="1575" w:type="dxa"/>
            <w:tcBorders>
              <w:top w:val="single" w:sz="6"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247,263.15 </w:t>
            </w:r>
          </w:p>
        </w:tc>
      </w:tr>
      <w:tr w:rsidR="00000000">
        <w:tblPrEx>
          <w:tblCellMar>
            <w:top w:w="0" w:type="dxa"/>
            <w:bottom w:w="0" w:type="dxa"/>
          </w:tblCellMar>
        </w:tblPrEx>
        <w:trPr>
          <w:trHeight w:val="317"/>
        </w:trPr>
        <w:tc>
          <w:tcPr>
            <w:tcW w:w="480" w:type="dxa"/>
            <w:tcBorders>
              <w:top w:val="single" w:sz="12" w:space="0" w:color="auto"/>
              <w:left w:val="single" w:sz="12" w:space="0" w:color="auto"/>
              <w:bottom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合计</w:t>
            </w:r>
          </w:p>
        </w:tc>
        <w:tc>
          <w:tcPr>
            <w:tcW w:w="1406" w:type="dxa"/>
            <w:tcBorders>
              <w:top w:val="single" w:sz="12"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    2,344,410.88 </w:t>
            </w: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11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 934,441.09 </w:t>
            </w:r>
          </w:p>
        </w:tc>
        <w:tc>
          <w:tcPr>
            <w:tcW w:w="1155"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 700,000.00 </w:t>
            </w:r>
          </w:p>
        </w:tc>
        <w:tc>
          <w:tcPr>
            <w:tcW w:w="1155"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 234,441.09 </w:t>
            </w:r>
          </w:p>
        </w:tc>
        <w:tc>
          <w:tcPr>
            <w:tcW w:w="1575" w:type="dxa"/>
            <w:tcBorders>
              <w:top w:val="single" w:sz="12"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     802,715.10 </w:t>
            </w:r>
          </w:p>
        </w:tc>
      </w:tr>
      <w:tr w:rsidR="00000000">
        <w:tblPrEx>
          <w:tblCellMar>
            <w:top w:w="0" w:type="dxa"/>
            <w:bottom w:w="0" w:type="dxa"/>
          </w:tblCellMar>
        </w:tblPrEx>
        <w:trPr>
          <w:trHeight w:val="331"/>
        </w:trPr>
        <w:tc>
          <w:tcPr>
            <w:tcW w:w="1886" w:type="dxa"/>
            <w:gridSpan w:val="2"/>
            <w:tcBorders>
              <w:top w:val="single" w:sz="12" w:space="0" w:color="auto"/>
              <w:left w:val="single" w:sz="12" w:space="0" w:color="auto"/>
              <w:bottom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收益净现值</w:t>
            </w: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rPr>
            </w:pPr>
          </w:p>
        </w:tc>
        <w:tc>
          <w:tcPr>
            <w:tcW w:w="111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155"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155"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575" w:type="dxa"/>
            <w:tcBorders>
              <w:top w:val="single" w:sz="12"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   102,715.10</w:t>
            </w:r>
            <w:r>
              <w:rPr>
                <w:rFonts w:eastAsia="黑体"/>
                <w:b/>
                <w:i/>
                <w:color w:val="000000"/>
              </w:rPr>
              <w:t xml:space="preserve"> </w:t>
            </w:r>
          </w:p>
        </w:tc>
      </w:tr>
      <w:tr w:rsidR="00000000">
        <w:tblPrEx>
          <w:tblCellMar>
            <w:top w:w="0" w:type="dxa"/>
            <w:bottom w:w="0" w:type="dxa"/>
          </w:tblCellMar>
        </w:tblPrEx>
        <w:trPr>
          <w:trHeight w:val="331"/>
        </w:trPr>
        <w:tc>
          <w:tcPr>
            <w:tcW w:w="1886" w:type="dxa"/>
            <w:gridSpan w:val="2"/>
            <w:tcBorders>
              <w:top w:val="single" w:sz="12" w:space="0" w:color="auto"/>
              <w:left w:val="single" w:sz="12" w:space="0" w:color="auto"/>
              <w:bottom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资金年净收益率</w:t>
            </w: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rPr>
            </w:pPr>
          </w:p>
        </w:tc>
        <w:tc>
          <w:tcPr>
            <w:tcW w:w="111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155"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155"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575" w:type="dxa"/>
            <w:tcBorders>
              <w:top w:val="single" w:sz="12"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4.3813%</w:t>
            </w:r>
          </w:p>
        </w:tc>
      </w:tr>
    </w:tbl>
    <w:p w:rsidR="00000000" w:rsidRDefault="00661157">
      <w:pPr>
        <w:rPr>
          <w:rFonts w:eastAsia="楷体_GB2312" w:hint="eastAsia"/>
          <w:b/>
          <w:sz w:val="24"/>
        </w:rPr>
      </w:pPr>
    </w:p>
    <w:p w:rsidR="00000000" w:rsidRDefault="00661157">
      <w:pPr>
        <w:ind w:firstLine="495"/>
        <w:rPr>
          <w:rFonts w:eastAsia="楷体_GB2312" w:hint="eastAsia"/>
          <w:b/>
          <w:sz w:val="24"/>
        </w:rPr>
      </w:pPr>
      <w:r>
        <w:rPr>
          <w:rFonts w:eastAsia="楷体_GB2312" w:hint="eastAsia"/>
          <w:b/>
          <w:sz w:val="24"/>
        </w:rPr>
        <w:t>在本合同中，出租人除了有</w:t>
      </w:r>
      <w:r>
        <w:rPr>
          <w:rFonts w:eastAsia="楷体_GB2312" w:hint="eastAsia"/>
          <w:b/>
          <w:sz w:val="24"/>
        </w:rPr>
        <w:t>102,715.09</w:t>
      </w:r>
      <w:r>
        <w:rPr>
          <w:rFonts w:eastAsia="楷体_GB2312" w:hint="eastAsia"/>
          <w:b/>
          <w:sz w:val="24"/>
        </w:rPr>
        <w:t>元的净现值收益，使得资金年净收益率为</w:t>
      </w:r>
      <w:r>
        <w:rPr>
          <w:rFonts w:eastAsia="楷体_GB2312" w:hint="eastAsia"/>
          <w:b/>
          <w:sz w:val="24"/>
        </w:rPr>
        <w:t>4.3813%</w:t>
      </w:r>
      <w:r>
        <w:rPr>
          <w:rFonts w:eastAsia="楷体_GB2312" w:hint="eastAsia"/>
          <w:b/>
          <w:sz w:val="24"/>
        </w:rPr>
        <w:t>外，还回收了折现的</w:t>
      </w:r>
      <w:r>
        <w:rPr>
          <w:rFonts w:eastAsia="楷体_GB2312" w:hint="eastAsia"/>
          <w:b/>
          <w:sz w:val="24"/>
        </w:rPr>
        <w:t>700,000</w:t>
      </w:r>
      <w:r>
        <w:rPr>
          <w:rFonts w:eastAsia="楷体_GB2312" w:hint="eastAsia"/>
          <w:b/>
          <w:sz w:val="24"/>
        </w:rPr>
        <w:t>元的成本。未收回的成本是</w:t>
      </w:r>
      <w:r>
        <w:rPr>
          <w:rFonts w:eastAsia="楷体_GB2312" w:hint="eastAsia"/>
          <w:b/>
          <w:sz w:val="24"/>
        </w:rPr>
        <w:t>300,000.00</w:t>
      </w:r>
      <w:r>
        <w:rPr>
          <w:rFonts w:eastAsia="楷体_GB2312" w:hint="eastAsia"/>
          <w:b/>
          <w:sz w:val="24"/>
        </w:rPr>
        <w:t>元。在正常情况下，在</w:t>
      </w:r>
      <w:r>
        <w:rPr>
          <w:rFonts w:eastAsia="楷体_GB2312" w:hint="eastAsia"/>
          <w:b/>
          <w:sz w:val="24"/>
        </w:rPr>
        <w:t>3</w:t>
      </w:r>
      <w:r>
        <w:rPr>
          <w:rFonts w:eastAsia="楷体_GB2312" w:hint="eastAsia"/>
          <w:b/>
          <w:sz w:val="24"/>
        </w:rPr>
        <w:t>年末时，以</w:t>
      </w:r>
      <w:r>
        <w:rPr>
          <w:rFonts w:eastAsia="楷体_GB2312" w:hint="eastAsia"/>
          <w:b/>
          <w:sz w:val="24"/>
        </w:rPr>
        <w:t>400,000.00</w:t>
      </w:r>
      <w:r>
        <w:rPr>
          <w:rFonts w:eastAsia="楷体_GB2312" w:hint="eastAsia"/>
          <w:b/>
          <w:sz w:val="24"/>
        </w:rPr>
        <w:t>元的价格再处置该设备，应该是做得到的。又由于出租人这时只需再收回</w:t>
      </w:r>
      <w:r>
        <w:rPr>
          <w:rFonts w:eastAsia="楷体_GB2312" w:hint="eastAsia"/>
          <w:b/>
          <w:sz w:val="24"/>
        </w:rPr>
        <w:t>300,000.00</w:t>
      </w:r>
      <w:r>
        <w:rPr>
          <w:rFonts w:eastAsia="楷体_GB2312" w:hint="eastAsia"/>
          <w:b/>
          <w:sz w:val="24"/>
        </w:rPr>
        <w:t>元即无余值损失。因此，在这样的条件下，出租人的余值风险就减少了。</w:t>
      </w:r>
    </w:p>
    <w:p w:rsidR="00000000" w:rsidRDefault="00661157">
      <w:pPr>
        <w:ind w:firstLine="495"/>
        <w:rPr>
          <w:rFonts w:eastAsia="楷体_GB2312" w:hint="eastAsia"/>
          <w:b/>
          <w:sz w:val="24"/>
        </w:rPr>
      </w:pPr>
      <w:r>
        <w:rPr>
          <w:rFonts w:eastAsia="楷体_GB2312" w:hint="eastAsia"/>
          <w:b/>
          <w:sz w:val="24"/>
        </w:rPr>
        <w:t>顺便说明，上述要价，其实等于以</w:t>
      </w:r>
      <w:r>
        <w:rPr>
          <w:rFonts w:eastAsia="楷体_GB2312" w:hint="eastAsia"/>
          <w:b/>
          <w:sz w:val="24"/>
        </w:rPr>
        <w:t>700,000.00</w:t>
      </w:r>
      <w:r>
        <w:rPr>
          <w:rFonts w:eastAsia="楷体_GB2312" w:hint="eastAsia"/>
          <w:b/>
          <w:sz w:val="24"/>
        </w:rPr>
        <w:t>元为本金，不考虑余值和以</w:t>
      </w:r>
      <w:r>
        <w:rPr>
          <w:rFonts w:eastAsia="楷体_GB2312" w:hint="eastAsia"/>
          <w:b/>
          <w:sz w:val="24"/>
        </w:rPr>
        <w:t>15.9608</w:t>
      </w:r>
      <w:r>
        <w:rPr>
          <w:rFonts w:eastAsia="楷体_GB2312" w:hint="eastAsia"/>
          <w:b/>
          <w:sz w:val="24"/>
        </w:rPr>
        <w:t>194704%</w:t>
      </w:r>
      <w:r>
        <w:rPr>
          <w:rFonts w:eastAsia="楷体_GB2312" w:hint="eastAsia"/>
          <w:b/>
          <w:sz w:val="24"/>
        </w:rPr>
        <w:t>为租赁年利率。请看例</w:t>
      </w:r>
      <w:r>
        <w:rPr>
          <w:rFonts w:eastAsia="楷体_GB2312" w:hint="eastAsia"/>
          <w:b/>
          <w:sz w:val="24"/>
        </w:rPr>
        <w:t>E</w:t>
      </w:r>
      <w:r>
        <w:rPr>
          <w:rFonts w:eastAsia="楷体_GB2312" w:hint="eastAsia"/>
          <w:b/>
          <w:sz w:val="24"/>
        </w:rPr>
        <w:t>：</w:t>
      </w:r>
    </w:p>
    <w:p w:rsidR="00000000" w:rsidRDefault="00661157">
      <w:pPr>
        <w:rPr>
          <w:rFonts w:eastAsia="楷体_GB2312"/>
          <w:b/>
          <w:sz w:val="24"/>
        </w:rPr>
      </w:pPr>
    </w:p>
    <w:tbl>
      <w:tblPr>
        <w:tblW w:w="0" w:type="auto"/>
        <w:tblLayout w:type="fixed"/>
        <w:tblCellMar>
          <w:left w:w="30" w:type="dxa"/>
          <w:right w:w="30" w:type="dxa"/>
        </w:tblCellMar>
        <w:tblLook w:val="0000" w:firstRow="0" w:lastRow="0" w:firstColumn="0" w:lastColumn="0" w:noHBand="0" w:noVBand="0"/>
      </w:tblPr>
      <w:tblGrid>
        <w:gridCol w:w="480"/>
        <w:gridCol w:w="1406"/>
        <w:gridCol w:w="1632"/>
        <w:gridCol w:w="1066"/>
        <w:gridCol w:w="1116"/>
        <w:gridCol w:w="1260"/>
        <w:gridCol w:w="1260"/>
        <w:gridCol w:w="1470"/>
      </w:tblGrid>
      <w:tr w:rsidR="00000000">
        <w:tblPrEx>
          <w:tblCellMar>
            <w:top w:w="0" w:type="dxa"/>
            <w:bottom w:w="0" w:type="dxa"/>
          </w:tblCellMar>
        </w:tblPrEx>
        <w:trPr>
          <w:trHeight w:val="356"/>
        </w:trPr>
        <w:tc>
          <w:tcPr>
            <w:tcW w:w="480" w:type="dxa"/>
            <w:tcBorders>
              <w:top w:val="single" w:sz="12" w:space="0" w:color="auto"/>
              <w:left w:val="single" w:sz="12"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期次</w:t>
            </w:r>
          </w:p>
        </w:tc>
        <w:tc>
          <w:tcPr>
            <w:tcW w:w="140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本期初本金余额</w:t>
            </w: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折合占用一年资金</w:t>
            </w: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本期年利率</w:t>
            </w:r>
          </w:p>
        </w:tc>
        <w:tc>
          <w:tcPr>
            <w:tcW w:w="111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本期租金</w:t>
            </w:r>
          </w:p>
        </w:tc>
        <w:tc>
          <w:tcPr>
            <w:tcW w:w="126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其中含本金</w:t>
            </w:r>
          </w:p>
        </w:tc>
        <w:tc>
          <w:tcPr>
            <w:tcW w:w="126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其中含收益</w:t>
            </w:r>
          </w:p>
        </w:tc>
        <w:tc>
          <w:tcPr>
            <w:tcW w:w="1470" w:type="dxa"/>
            <w:tcBorders>
              <w:top w:val="single" w:sz="12"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租金折现值</w:t>
            </w:r>
          </w:p>
        </w:tc>
      </w:tr>
      <w:tr w:rsidR="00000000">
        <w:tblPrEx>
          <w:tblCellMar>
            <w:top w:w="0" w:type="dxa"/>
            <w:bottom w:w="0" w:type="dxa"/>
          </w:tblCellMar>
        </w:tblPrEx>
        <w:trPr>
          <w:trHeight w:val="259"/>
        </w:trPr>
        <w:tc>
          <w:tcPr>
            <w:tcW w:w="480" w:type="dxa"/>
            <w:tcBorders>
              <w:top w:val="single" w:sz="12" w:space="0" w:color="auto"/>
              <w:left w:val="single" w:sz="12"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w:t>
            </w:r>
          </w:p>
        </w:tc>
        <w:tc>
          <w:tcPr>
            <w:tcW w:w="1406"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700,000.00 </w:t>
            </w:r>
          </w:p>
        </w:tc>
        <w:tc>
          <w:tcPr>
            <w:tcW w:w="1632"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700,000.00 </w:t>
            </w:r>
          </w:p>
        </w:tc>
        <w:tc>
          <w:tcPr>
            <w:tcW w:w="1066"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15.9608%</w:t>
            </w:r>
          </w:p>
        </w:tc>
        <w:tc>
          <w:tcPr>
            <w:tcW w:w="1116"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311,480.36 </w:t>
            </w:r>
          </w:p>
        </w:tc>
        <w:tc>
          <w:tcPr>
            <w:tcW w:w="1260"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199,754.62 </w:t>
            </w:r>
          </w:p>
        </w:tc>
        <w:tc>
          <w:tcPr>
            <w:tcW w:w="1260"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111,725.74 </w:t>
            </w:r>
          </w:p>
        </w:tc>
        <w:tc>
          <w:tcPr>
            <w:tcW w:w="1470" w:type="dxa"/>
            <w:tcBorders>
              <w:top w:val="single" w:sz="12" w:space="0" w:color="auto"/>
              <w:left w:val="single" w:sz="6" w:space="0" w:color="auto"/>
              <w:bottom w:val="single" w:sz="6" w:space="0" w:color="auto"/>
              <w:right w:val="single" w:sz="12"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288,407.74 </w:t>
            </w:r>
          </w:p>
        </w:tc>
      </w:tr>
      <w:tr w:rsidR="00000000">
        <w:tblPrEx>
          <w:tblCellMar>
            <w:top w:w="0" w:type="dxa"/>
            <w:bottom w:w="0" w:type="dxa"/>
          </w:tblCellMar>
        </w:tblPrEx>
        <w:trPr>
          <w:trHeight w:val="259"/>
        </w:trPr>
        <w:tc>
          <w:tcPr>
            <w:tcW w:w="480" w:type="dxa"/>
            <w:tcBorders>
              <w:top w:val="single" w:sz="6" w:space="0" w:color="auto"/>
              <w:left w:val="single" w:sz="12"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2</w:t>
            </w:r>
          </w:p>
        </w:tc>
        <w:tc>
          <w:tcPr>
            <w:tcW w:w="140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500,245.38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500,245.38 </w:t>
            </w:r>
          </w:p>
        </w:tc>
        <w:tc>
          <w:tcPr>
            <w:tcW w:w="106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15.9608%</w:t>
            </w:r>
          </w:p>
        </w:tc>
        <w:tc>
          <w:tcPr>
            <w:tcW w:w="111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311,480.36 </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231,637</w:t>
            </w:r>
            <w:r>
              <w:rPr>
                <w:rFonts w:eastAsia="黑体"/>
                <w:b/>
                <w:i/>
                <w:color w:val="000000"/>
                <w:sz w:val="18"/>
              </w:rPr>
              <w:t xml:space="preserve">.10 </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79,843.26 </w:t>
            </w:r>
          </w:p>
        </w:tc>
        <w:tc>
          <w:tcPr>
            <w:tcW w:w="1470" w:type="dxa"/>
            <w:tcBorders>
              <w:top w:val="single" w:sz="6" w:space="0" w:color="auto"/>
              <w:left w:val="single" w:sz="6" w:space="0" w:color="auto"/>
              <w:bottom w:val="single" w:sz="6" w:space="0" w:color="auto"/>
              <w:right w:val="single" w:sz="12"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267,044.20 </w:t>
            </w:r>
          </w:p>
        </w:tc>
      </w:tr>
      <w:tr w:rsidR="00000000">
        <w:tblPrEx>
          <w:tblCellMar>
            <w:top w:w="0" w:type="dxa"/>
            <w:bottom w:w="0" w:type="dxa"/>
          </w:tblCellMar>
        </w:tblPrEx>
        <w:trPr>
          <w:trHeight w:val="269"/>
        </w:trPr>
        <w:tc>
          <w:tcPr>
            <w:tcW w:w="480" w:type="dxa"/>
            <w:tcBorders>
              <w:top w:val="single" w:sz="6" w:space="0" w:color="auto"/>
              <w:left w:val="single" w:sz="12"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3</w:t>
            </w:r>
          </w:p>
        </w:tc>
        <w:tc>
          <w:tcPr>
            <w:tcW w:w="1406"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268,608.28 </w:t>
            </w:r>
          </w:p>
        </w:tc>
        <w:tc>
          <w:tcPr>
            <w:tcW w:w="1632"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268,608.28 </w:t>
            </w:r>
          </w:p>
        </w:tc>
        <w:tc>
          <w:tcPr>
            <w:tcW w:w="1066"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15.9608%</w:t>
            </w:r>
          </w:p>
        </w:tc>
        <w:tc>
          <w:tcPr>
            <w:tcW w:w="1116"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311,480.36 </w:t>
            </w:r>
          </w:p>
        </w:tc>
        <w:tc>
          <w:tcPr>
            <w:tcW w:w="1260"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268,608.28 </w:t>
            </w:r>
          </w:p>
        </w:tc>
        <w:tc>
          <w:tcPr>
            <w:tcW w:w="1260"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42,872.08 </w:t>
            </w:r>
          </w:p>
        </w:tc>
        <w:tc>
          <w:tcPr>
            <w:tcW w:w="1470" w:type="dxa"/>
            <w:tcBorders>
              <w:top w:val="single" w:sz="6"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247,263.15 </w:t>
            </w:r>
          </w:p>
        </w:tc>
      </w:tr>
      <w:tr w:rsidR="00000000">
        <w:tblPrEx>
          <w:tblCellMar>
            <w:top w:w="0" w:type="dxa"/>
            <w:bottom w:w="0" w:type="dxa"/>
          </w:tblCellMar>
        </w:tblPrEx>
        <w:trPr>
          <w:trHeight w:val="331"/>
        </w:trPr>
        <w:tc>
          <w:tcPr>
            <w:tcW w:w="1886" w:type="dxa"/>
            <w:gridSpan w:val="2"/>
            <w:tcBorders>
              <w:top w:val="single" w:sz="12" w:space="0" w:color="auto"/>
              <w:left w:val="single" w:sz="12" w:space="0" w:color="auto"/>
              <w:bottom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合</w:t>
            </w:r>
            <w:r>
              <w:rPr>
                <w:rFonts w:eastAsia="黑体"/>
                <w:b/>
                <w:color w:val="000000"/>
                <w:sz w:val="18"/>
              </w:rPr>
              <w:t xml:space="preserve">    </w:t>
            </w:r>
            <w:r>
              <w:rPr>
                <w:rFonts w:eastAsia="黑体" w:hint="eastAsia"/>
                <w:b/>
                <w:color w:val="000000"/>
                <w:sz w:val="18"/>
              </w:rPr>
              <w:t>计</w:t>
            </w: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b/>
                <w:i/>
                <w:color w:val="000000"/>
              </w:rPr>
            </w:pPr>
            <w:r>
              <w:rPr>
                <w:b/>
                <w:i/>
                <w:color w:val="000000"/>
              </w:rPr>
              <w:t xml:space="preserve">    1,468,853.65 </w:t>
            </w: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b/>
                <w:i/>
                <w:color w:val="000000"/>
              </w:rPr>
            </w:pPr>
          </w:p>
        </w:tc>
        <w:tc>
          <w:tcPr>
            <w:tcW w:w="111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b/>
                <w:i/>
                <w:color w:val="000000"/>
              </w:rPr>
            </w:pPr>
            <w:r>
              <w:rPr>
                <w:b/>
                <w:i/>
                <w:color w:val="000000"/>
              </w:rPr>
              <w:t xml:space="preserve"> 934,441.08 </w:t>
            </w:r>
          </w:p>
        </w:tc>
        <w:tc>
          <w:tcPr>
            <w:tcW w:w="126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b/>
                <w:i/>
                <w:color w:val="000000"/>
              </w:rPr>
            </w:pPr>
            <w:r>
              <w:rPr>
                <w:b/>
                <w:i/>
                <w:color w:val="000000"/>
              </w:rPr>
              <w:t xml:space="preserve">  700,000.00 </w:t>
            </w:r>
          </w:p>
        </w:tc>
        <w:tc>
          <w:tcPr>
            <w:tcW w:w="126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b/>
                <w:i/>
                <w:color w:val="000000"/>
              </w:rPr>
            </w:pPr>
            <w:r>
              <w:rPr>
                <w:b/>
                <w:i/>
                <w:color w:val="000000"/>
              </w:rPr>
              <w:t xml:space="preserve">  234,441.08 </w:t>
            </w:r>
          </w:p>
        </w:tc>
        <w:tc>
          <w:tcPr>
            <w:tcW w:w="147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b/>
                <w:i/>
                <w:color w:val="000000"/>
              </w:rPr>
            </w:pPr>
            <w:r>
              <w:rPr>
                <w:b/>
                <w:i/>
                <w:color w:val="000000"/>
              </w:rPr>
              <w:t xml:space="preserve">   802,715.10 </w:t>
            </w:r>
          </w:p>
        </w:tc>
      </w:tr>
      <w:tr w:rsidR="00000000">
        <w:tblPrEx>
          <w:tblCellMar>
            <w:top w:w="0" w:type="dxa"/>
            <w:bottom w:w="0" w:type="dxa"/>
          </w:tblCellMar>
        </w:tblPrEx>
        <w:trPr>
          <w:trHeight w:val="331"/>
        </w:trPr>
        <w:tc>
          <w:tcPr>
            <w:tcW w:w="1886" w:type="dxa"/>
            <w:gridSpan w:val="2"/>
            <w:tcBorders>
              <w:top w:val="single" w:sz="12" w:space="0" w:color="auto"/>
              <w:left w:val="single" w:sz="12" w:space="0" w:color="auto"/>
              <w:bottom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收益净现值</w:t>
            </w: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b/>
                <w:i/>
                <w:color w:val="000000"/>
              </w:rPr>
            </w:pP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b/>
                <w:color w:val="000000"/>
              </w:rPr>
            </w:pPr>
          </w:p>
        </w:tc>
        <w:tc>
          <w:tcPr>
            <w:tcW w:w="111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b/>
                <w:i/>
                <w:color w:val="000000"/>
              </w:rPr>
            </w:pPr>
          </w:p>
        </w:tc>
        <w:tc>
          <w:tcPr>
            <w:tcW w:w="126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b/>
                <w:i/>
                <w:color w:val="000000"/>
              </w:rPr>
            </w:pPr>
          </w:p>
        </w:tc>
        <w:tc>
          <w:tcPr>
            <w:tcW w:w="126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b/>
                <w:i/>
                <w:color w:val="000000"/>
              </w:rPr>
            </w:pPr>
          </w:p>
        </w:tc>
        <w:tc>
          <w:tcPr>
            <w:tcW w:w="1470" w:type="dxa"/>
            <w:tcBorders>
              <w:top w:val="single" w:sz="12"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right"/>
              <w:rPr>
                <w:b/>
                <w:i/>
                <w:color w:val="000000"/>
              </w:rPr>
            </w:pPr>
            <w:r>
              <w:rPr>
                <w:b/>
                <w:i/>
                <w:color w:val="000000"/>
              </w:rPr>
              <w:t xml:space="preserve">   102,715.</w:t>
            </w:r>
            <w:r>
              <w:rPr>
                <w:b/>
                <w:i/>
                <w:color w:val="000000"/>
              </w:rPr>
              <w:t xml:space="preserve">10 </w:t>
            </w:r>
          </w:p>
        </w:tc>
      </w:tr>
      <w:tr w:rsidR="00000000">
        <w:tblPrEx>
          <w:tblCellMar>
            <w:top w:w="0" w:type="dxa"/>
            <w:bottom w:w="0" w:type="dxa"/>
          </w:tblCellMar>
        </w:tblPrEx>
        <w:trPr>
          <w:trHeight w:val="331"/>
        </w:trPr>
        <w:tc>
          <w:tcPr>
            <w:tcW w:w="1886" w:type="dxa"/>
            <w:gridSpan w:val="2"/>
            <w:tcBorders>
              <w:top w:val="single" w:sz="12" w:space="0" w:color="auto"/>
              <w:left w:val="single" w:sz="12" w:space="0" w:color="auto"/>
              <w:bottom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资金年净收益率</w:t>
            </w: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b/>
                <w:i/>
                <w:color w:val="000000"/>
              </w:rPr>
            </w:pP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b/>
                <w:color w:val="000000"/>
              </w:rPr>
            </w:pPr>
          </w:p>
        </w:tc>
        <w:tc>
          <w:tcPr>
            <w:tcW w:w="111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b/>
                <w:i/>
                <w:color w:val="000000"/>
              </w:rPr>
            </w:pPr>
          </w:p>
        </w:tc>
        <w:tc>
          <w:tcPr>
            <w:tcW w:w="126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b/>
                <w:i/>
                <w:color w:val="000000"/>
              </w:rPr>
            </w:pPr>
          </w:p>
        </w:tc>
        <w:tc>
          <w:tcPr>
            <w:tcW w:w="126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b/>
                <w:i/>
                <w:color w:val="000000"/>
              </w:rPr>
            </w:pPr>
          </w:p>
        </w:tc>
        <w:tc>
          <w:tcPr>
            <w:tcW w:w="1470" w:type="dxa"/>
            <w:tcBorders>
              <w:top w:val="single" w:sz="12"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right"/>
              <w:rPr>
                <w:b/>
                <w:i/>
                <w:color w:val="000000"/>
              </w:rPr>
            </w:pPr>
            <w:r>
              <w:rPr>
                <w:b/>
                <w:i/>
                <w:color w:val="000000"/>
              </w:rPr>
              <w:t>6.9929%</w:t>
            </w:r>
          </w:p>
        </w:tc>
      </w:tr>
    </w:tbl>
    <w:p w:rsidR="00000000" w:rsidRDefault="00661157">
      <w:pPr>
        <w:rPr>
          <w:rFonts w:eastAsia="楷体_GB2312" w:hint="eastAsia"/>
          <w:b/>
          <w:sz w:val="24"/>
        </w:rPr>
      </w:pPr>
      <w:r>
        <w:rPr>
          <w:rFonts w:eastAsia="楷体_GB2312" w:hint="eastAsia"/>
          <w:b/>
          <w:sz w:val="24"/>
        </w:rPr>
        <w:t xml:space="preserve">    </w:t>
      </w:r>
    </w:p>
    <w:p w:rsidR="00000000" w:rsidRDefault="00661157">
      <w:pPr>
        <w:rPr>
          <w:rFonts w:eastAsia="楷体_GB2312" w:hint="eastAsia"/>
          <w:b/>
          <w:sz w:val="24"/>
        </w:rPr>
      </w:pPr>
      <w:r>
        <w:rPr>
          <w:rFonts w:eastAsia="楷体_GB2312" w:hint="eastAsia"/>
          <w:b/>
          <w:sz w:val="24"/>
        </w:rPr>
        <w:t xml:space="preserve">    </w:t>
      </w:r>
      <w:r>
        <w:rPr>
          <w:rFonts w:eastAsia="楷体_GB2312" w:hint="eastAsia"/>
          <w:b/>
          <w:sz w:val="24"/>
        </w:rPr>
        <w:t>现在假设，在例</w:t>
      </w:r>
      <w:r>
        <w:rPr>
          <w:rFonts w:eastAsia="楷体_GB2312" w:hint="eastAsia"/>
          <w:b/>
          <w:sz w:val="24"/>
        </w:rPr>
        <w:t>D</w:t>
      </w:r>
      <w:r>
        <w:rPr>
          <w:rFonts w:eastAsia="楷体_GB2312" w:hint="eastAsia"/>
          <w:b/>
          <w:sz w:val="24"/>
        </w:rPr>
        <w:t>中，承租人在第</w:t>
      </w:r>
      <w:r>
        <w:rPr>
          <w:rFonts w:eastAsia="楷体_GB2312" w:hint="eastAsia"/>
          <w:b/>
          <w:sz w:val="24"/>
        </w:rPr>
        <w:t>2</w:t>
      </w:r>
      <w:r>
        <w:rPr>
          <w:rFonts w:eastAsia="楷体_GB2312" w:hint="eastAsia"/>
          <w:b/>
          <w:sz w:val="24"/>
        </w:rPr>
        <w:t>年末要求提前结束合同，则对于出租人来说的财务效果见例</w:t>
      </w:r>
      <w:r>
        <w:rPr>
          <w:rFonts w:eastAsia="楷体_GB2312" w:hint="eastAsia"/>
          <w:b/>
          <w:sz w:val="24"/>
        </w:rPr>
        <w:t>F</w:t>
      </w:r>
      <w:r>
        <w:rPr>
          <w:rFonts w:eastAsia="楷体_GB2312" w:hint="eastAsia"/>
          <w:b/>
          <w:sz w:val="24"/>
        </w:rPr>
        <w:t>：</w:t>
      </w:r>
    </w:p>
    <w:p w:rsidR="00000000" w:rsidRDefault="00661157">
      <w:pPr>
        <w:rPr>
          <w:rFonts w:eastAsia="楷体_GB2312" w:hint="eastAsia"/>
          <w:b/>
          <w:sz w:val="24"/>
        </w:rPr>
      </w:pPr>
    </w:p>
    <w:tbl>
      <w:tblPr>
        <w:tblW w:w="0" w:type="auto"/>
        <w:tblLayout w:type="fixed"/>
        <w:tblCellMar>
          <w:left w:w="30" w:type="dxa"/>
          <w:right w:w="30" w:type="dxa"/>
        </w:tblCellMar>
        <w:tblLook w:val="0000" w:firstRow="0" w:lastRow="0" w:firstColumn="0" w:lastColumn="0" w:noHBand="0" w:noVBand="0"/>
      </w:tblPr>
      <w:tblGrid>
        <w:gridCol w:w="480"/>
        <w:gridCol w:w="1406"/>
        <w:gridCol w:w="1632"/>
        <w:gridCol w:w="1066"/>
        <w:gridCol w:w="1116"/>
        <w:gridCol w:w="1155"/>
        <w:gridCol w:w="1365"/>
        <w:gridCol w:w="1575"/>
      </w:tblGrid>
      <w:tr w:rsidR="00000000">
        <w:tblPrEx>
          <w:tblCellMar>
            <w:top w:w="0" w:type="dxa"/>
            <w:bottom w:w="0" w:type="dxa"/>
          </w:tblCellMar>
        </w:tblPrEx>
        <w:trPr>
          <w:trHeight w:val="211"/>
        </w:trPr>
        <w:tc>
          <w:tcPr>
            <w:tcW w:w="480" w:type="dxa"/>
            <w:tcBorders>
              <w:top w:val="single" w:sz="12" w:space="0" w:color="auto"/>
              <w:left w:val="single" w:sz="12"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期次</w:t>
            </w:r>
          </w:p>
        </w:tc>
        <w:tc>
          <w:tcPr>
            <w:tcW w:w="140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本期初本金余额</w:t>
            </w: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折合占用一年资金</w:t>
            </w: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本期年利率</w:t>
            </w:r>
          </w:p>
        </w:tc>
        <w:tc>
          <w:tcPr>
            <w:tcW w:w="111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本期租金</w:t>
            </w:r>
          </w:p>
        </w:tc>
        <w:tc>
          <w:tcPr>
            <w:tcW w:w="1155"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其中含本金</w:t>
            </w:r>
          </w:p>
        </w:tc>
        <w:tc>
          <w:tcPr>
            <w:tcW w:w="1365"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其中含收益</w:t>
            </w:r>
          </w:p>
        </w:tc>
        <w:tc>
          <w:tcPr>
            <w:tcW w:w="1575" w:type="dxa"/>
            <w:tcBorders>
              <w:top w:val="single" w:sz="12"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租金折现值</w:t>
            </w:r>
          </w:p>
        </w:tc>
      </w:tr>
      <w:tr w:rsidR="00000000">
        <w:tblPrEx>
          <w:tblCellMar>
            <w:top w:w="0" w:type="dxa"/>
            <w:bottom w:w="0" w:type="dxa"/>
          </w:tblCellMar>
        </w:tblPrEx>
        <w:trPr>
          <w:trHeight w:val="259"/>
        </w:trPr>
        <w:tc>
          <w:tcPr>
            <w:tcW w:w="480" w:type="dxa"/>
            <w:tcBorders>
              <w:top w:val="single" w:sz="12" w:space="0" w:color="auto"/>
              <w:left w:val="single" w:sz="12"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w:t>
            </w:r>
          </w:p>
        </w:tc>
        <w:tc>
          <w:tcPr>
            <w:tcW w:w="1406"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1,000,000.00 </w:t>
            </w:r>
          </w:p>
        </w:tc>
        <w:tc>
          <w:tcPr>
            <w:tcW w:w="1632"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1,000,000.00 </w:t>
            </w:r>
          </w:p>
        </w:tc>
        <w:tc>
          <w:tcPr>
            <w:tcW w:w="1066"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10.0000%</w:t>
            </w:r>
          </w:p>
        </w:tc>
        <w:tc>
          <w:tcPr>
            <w:tcW w:w="1116"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311,480.36 </w:t>
            </w:r>
          </w:p>
        </w:tc>
        <w:tc>
          <w:tcPr>
            <w:tcW w:w="1155"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211,480.36 </w:t>
            </w:r>
          </w:p>
        </w:tc>
        <w:tc>
          <w:tcPr>
            <w:tcW w:w="1365"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100,000.00 </w:t>
            </w:r>
          </w:p>
        </w:tc>
        <w:tc>
          <w:tcPr>
            <w:tcW w:w="1575" w:type="dxa"/>
            <w:tcBorders>
              <w:top w:val="single" w:sz="12" w:space="0" w:color="auto"/>
              <w:left w:val="single" w:sz="6" w:space="0" w:color="auto"/>
              <w:bottom w:val="single" w:sz="6" w:space="0" w:color="auto"/>
              <w:right w:val="single" w:sz="12"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288,407.74 </w:t>
            </w:r>
          </w:p>
        </w:tc>
      </w:tr>
      <w:tr w:rsidR="00000000">
        <w:tblPrEx>
          <w:tblCellMar>
            <w:top w:w="0" w:type="dxa"/>
            <w:bottom w:w="0" w:type="dxa"/>
          </w:tblCellMar>
        </w:tblPrEx>
        <w:trPr>
          <w:trHeight w:val="269"/>
        </w:trPr>
        <w:tc>
          <w:tcPr>
            <w:tcW w:w="480" w:type="dxa"/>
            <w:tcBorders>
              <w:top w:val="single" w:sz="6" w:space="0" w:color="auto"/>
              <w:left w:val="single" w:sz="12"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2</w:t>
            </w:r>
          </w:p>
        </w:tc>
        <w:tc>
          <w:tcPr>
            <w:tcW w:w="1406"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78</w:t>
            </w:r>
            <w:r>
              <w:rPr>
                <w:rFonts w:eastAsia="黑体"/>
                <w:b/>
                <w:i/>
                <w:color w:val="000000"/>
                <w:sz w:val="18"/>
              </w:rPr>
              <w:t xml:space="preserve">8,519.64 </w:t>
            </w:r>
          </w:p>
        </w:tc>
        <w:tc>
          <w:tcPr>
            <w:tcW w:w="1632"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788,519.64 </w:t>
            </w:r>
          </w:p>
        </w:tc>
        <w:tc>
          <w:tcPr>
            <w:tcW w:w="1066"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10.0000%</w:t>
            </w:r>
          </w:p>
        </w:tc>
        <w:tc>
          <w:tcPr>
            <w:tcW w:w="1116"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311,480.36 </w:t>
            </w:r>
          </w:p>
        </w:tc>
        <w:tc>
          <w:tcPr>
            <w:tcW w:w="1155"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232,628.40 </w:t>
            </w:r>
          </w:p>
        </w:tc>
        <w:tc>
          <w:tcPr>
            <w:tcW w:w="1365"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78,851.96 </w:t>
            </w:r>
          </w:p>
        </w:tc>
        <w:tc>
          <w:tcPr>
            <w:tcW w:w="1575" w:type="dxa"/>
            <w:tcBorders>
              <w:top w:val="single" w:sz="6"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267,044.21 </w:t>
            </w:r>
          </w:p>
        </w:tc>
      </w:tr>
      <w:tr w:rsidR="00000000">
        <w:tblPrEx>
          <w:tblCellMar>
            <w:top w:w="0" w:type="dxa"/>
            <w:bottom w:w="0" w:type="dxa"/>
          </w:tblCellMar>
        </w:tblPrEx>
        <w:trPr>
          <w:trHeight w:val="317"/>
        </w:trPr>
        <w:tc>
          <w:tcPr>
            <w:tcW w:w="480" w:type="dxa"/>
            <w:tcBorders>
              <w:top w:val="single" w:sz="12" w:space="0" w:color="auto"/>
              <w:left w:val="single" w:sz="12" w:space="0" w:color="auto"/>
              <w:bottom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合计</w:t>
            </w:r>
          </w:p>
        </w:tc>
        <w:tc>
          <w:tcPr>
            <w:tcW w:w="1406" w:type="dxa"/>
            <w:tcBorders>
              <w:top w:val="single" w:sz="12"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    1,788,519.64 </w:t>
            </w: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11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 622,960.73 </w:t>
            </w:r>
          </w:p>
        </w:tc>
        <w:tc>
          <w:tcPr>
            <w:tcW w:w="1155"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 444,108.76 </w:t>
            </w:r>
          </w:p>
        </w:tc>
        <w:tc>
          <w:tcPr>
            <w:tcW w:w="1365"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   178,851.96 </w:t>
            </w:r>
          </w:p>
        </w:tc>
        <w:tc>
          <w:tcPr>
            <w:tcW w:w="1575" w:type="dxa"/>
            <w:tcBorders>
              <w:top w:val="single" w:sz="12"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     555,451.95 </w:t>
            </w:r>
          </w:p>
        </w:tc>
      </w:tr>
      <w:tr w:rsidR="00000000">
        <w:tblPrEx>
          <w:tblCellMar>
            <w:top w:w="0" w:type="dxa"/>
            <w:bottom w:w="0" w:type="dxa"/>
          </w:tblCellMar>
        </w:tblPrEx>
        <w:trPr>
          <w:trHeight w:val="331"/>
        </w:trPr>
        <w:tc>
          <w:tcPr>
            <w:tcW w:w="1886" w:type="dxa"/>
            <w:gridSpan w:val="2"/>
            <w:tcBorders>
              <w:top w:val="single" w:sz="12" w:space="0" w:color="auto"/>
              <w:left w:val="single" w:sz="12" w:space="0" w:color="auto"/>
              <w:bottom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收益净现值</w:t>
            </w: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rPr>
            </w:pPr>
          </w:p>
        </w:tc>
        <w:tc>
          <w:tcPr>
            <w:tcW w:w="111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155"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365"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575" w:type="dxa"/>
            <w:tcBorders>
              <w:top w:val="single" w:sz="12"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   111,343.19 </w:t>
            </w:r>
          </w:p>
        </w:tc>
      </w:tr>
      <w:tr w:rsidR="00000000">
        <w:tblPrEx>
          <w:tblCellMar>
            <w:top w:w="0" w:type="dxa"/>
            <w:bottom w:w="0" w:type="dxa"/>
          </w:tblCellMar>
        </w:tblPrEx>
        <w:trPr>
          <w:trHeight w:val="331"/>
        </w:trPr>
        <w:tc>
          <w:tcPr>
            <w:tcW w:w="1886" w:type="dxa"/>
            <w:gridSpan w:val="2"/>
            <w:tcBorders>
              <w:top w:val="single" w:sz="12" w:space="0" w:color="auto"/>
              <w:left w:val="single" w:sz="12" w:space="0" w:color="auto"/>
              <w:bottom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资金年净收益率</w:t>
            </w: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p>
        </w:tc>
        <w:tc>
          <w:tcPr>
            <w:tcW w:w="111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p>
        </w:tc>
        <w:tc>
          <w:tcPr>
            <w:tcW w:w="1155"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p>
        </w:tc>
        <w:tc>
          <w:tcPr>
            <w:tcW w:w="1365"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p>
        </w:tc>
        <w:tc>
          <w:tcPr>
            <w:tcW w:w="1575" w:type="dxa"/>
            <w:tcBorders>
              <w:top w:val="single" w:sz="12"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6.2254%</w:t>
            </w:r>
          </w:p>
        </w:tc>
      </w:tr>
    </w:tbl>
    <w:p w:rsidR="00000000" w:rsidRDefault="00661157">
      <w:pPr>
        <w:ind w:firstLine="495"/>
        <w:rPr>
          <w:rFonts w:eastAsia="楷体_GB2312" w:hint="eastAsia"/>
          <w:b/>
          <w:sz w:val="24"/>
        </w:rPr>
      </w:pPr>
    </w:p>
    <w:p w:rsidR="00000000" w:rsidRDefault="00661157">
      <w:pPr>
        <w:ind w:firstLine="495"/>
        <w:rPr>
          <w:rFonts w:eastAsia="楷体_GB2312"/>
          <w:b/>
          <w:sz w:val="24"/>
        </w:rPr>
      </w:pPr>
      <w:r>
        <w:rPr>
          <w:rFonts w:eastAsia="楷体_GB2312" w:hint="eastAsia"/>
          <w:b/>
          <w:sz w:val="24"/>
        </w:rPr>
        <w:lastRenderedPageBreak/>
        <w:t>就本合同而言，出租人不仅在</w:t>
      </w:r>
      <w:r>
        <w:rPr>
          <w:rFonts w:eastAsia="楷体_GB2312" w:hint="eastAsia"/>
          <w:b/>
          <w:sz w:val="24"/>
        </w:rPr>
        <w:t>40%</w:t>
      </w:r>
      <w:r>
        <w:rPr>
          <w:rFonts w:eastAsia="楷体_GB2312" w:hint="eastAsia"/>
          <w:b/>
          <w:sz w:val="24"/>
        </w:rPr>
        <w:t>的可用</w:t>
      </w:r>
      <w:r>
        <w:rPr>
          <w:rFonts w:eastAsia="楷体_GB2312" w:hint="eastAsia"/>
          <w:b/>
          <w:sz w:val="24"/>
        </w:rPr>
        <w:t>年限内收回了</w:t>
      </w:r>
      <w:r>
        <w:rPr>
          <w:rFonts w:eastAsia="楷体_GB2312" w:hint="eastAsia"/>
          <w:b/>
          <w:sz w:val="24"/>
        </w:rPr>
        <w:t>44.41%</w:t>
      </w:r>
      <w:r>
        <w:rPr>
          <w:rFonts w:eastAsia="楷体_GB2312" w:hint="eastAsia"/>
          <w:b/>
          <w:sz w:val="24"/>
        </w:rPr>
        <w:t>的购置成本，而且还有</w:t>
      </w:r>
      <w:r>
        <w:rPr>
          <w:rFonts w:eastAsia="楷体_GB2312" w:hint="eastAsia"/>
          <w:b/>
          <w:sz w:val="24"/>
        </w:rPr>
        <w:t>111,343.19</w:t>
      </w:r>
      <w:r>
        <w:rPr>
          <w:rFonts w:eastAsia="楷体_GB2312" w:hint="eastAsia"/>
          <w:b/>
          <w:sz w:val="24"/>
        </w:rPr>
        <w:t>元的净现值收益，资金年净收益率高达</w:t>
      </w:r>
      <w:r>
        <w:rPr>
          <w:rFonts w:eastAsia="楷体_GB2312" w:hint="eastAsia"/>
          <w:b/>
          <w:sz w:val="24"/>
        </w:rPr>
        <w:t>6.2254%</w:t>
      </w:r>
      <w:r>
        <w:rPr>
          <w:rFonts w:eastAsia="楷体_GB2312" w:hint="eastAsia"/>
          <w:b/>
          <w:sz w:val="24"/>
        </w:rPr>
        <w:t>。现在，还有</w:t>
      </w:r>
      <w:r>
        <w:rPr>
          <w:rFonts w:eastAsia="楷体_GB2312" w:hint="eastAsia"/>
          <w:b/>
          <w:sz w:val="24"/>
        </w:rPr>
        <w:t>555,891.24</w:t>
      </w:r>
      <w:r>
        <w:rPr>
          <w:rFonts w:eastAsia="楷体_GB2312" w:hint="eastAsia"/>
          <w:b/>
          <w:sz w:val="24"/>
        </w:rPr>
        <w:t>元的成本未收回。如果以此为本金，仍以</w:t>
      </w:r>
      <w:r>
        <w:rPr>
          <w:rFonts w:eastAsia="楷体_GB2312" w:hint="eastAsia"/>
          <w:b/>
          <w:sz w:val="24"/>
        </w:rPr>
        <w:t>10%</w:t>
      </w:r>
      <w:r>
        <w:rPr>
          <w:rFonts w:eastAsia="楷体_GB2312" w:hint="eastAsia"/>
          <w:b/>
          <w:sz w:val="24"/>
        </w:rPr>
        <w:t>为租赁年利率，再出租</w:t>
      </w:r>
      <w:r>
        <w:rPr>
          <w:rFonts w:eastAsia="楷体_GB2312" w:hint="eastAsia"/>
          <w:b/>
          <w:sz w:val="24"/>
        </w:rPr>
        <w:t>3</w:t>
      </w:r>
      <w:r>
        <w:rPr>
          <w:rFonts w:eastAsia="楷体_GB2312" w:hint="eastAsia"/>
          <w:b/>
          <w:sz w:val="24"/>
        </w:rPr>
        <w:t>年，则财务效果见例</w:t>
      </w:r>
      <w:r>
        <w:rPr>
          <w:rFonts w:eastAsia="楷体_GB2312" w:hint="eastAsia"/>
          <w:b/>
          <w:sz w:val="24"/>
        </w:rPr>
        <w:t>G</w:t>
      </w:r>
      <w:r>
        <w:rPr>
          <w:rFonts w:eastAsia="楷体_GB2312" w:hint="eastAsia"/>
          <w:b/>
          <w:sz w:val="24"/>
        </w:rPr>
        <w:t>：</w:t>
      </w:r>
    </w:p>
    <w:p w:rsidR="00000000" w:rsidRDefault="00661157">
      <w:pPr>
        <w:rPr>
          <w:rFonts w:eastAsia="楷体_GB2312"/>
          <w:b/>
          <w:sz w:val="24"/>
        </w:rPr>
      </w:pPr>
    </w:p>
    <w:tbl>
      <w:tblPr>
        <w:tblW w:w="0" w:type="auto"/>
        <w:tblLayout w:type="fixed"/>
        <w:tblCellMar>
          <w:left w:w="30" w:type="dxa"/>
          <w:right w:w="30" w:type="dxa"/>
        </w:tblCellMar>
        <w:tblLook w:val="0000" w:firstRow="0" w:lastRow="0" w:firstColumn="0" w:lastColumn="0" w:noHBand="0" w:noVBand="0"/>
      </w:tblPr>
      <w:tblGrid>
        <w:gridCol w:w="480"/>
        <w:gridCol w:w="1406"/>
        <w:gridCol w:w="1632"/>
        <w:gridCol w:w="1066"/>
        <w:gridCol w:w="1116"/>
        <w:gridCol w:w="1260"/>
        <w:gridCol w:w="1260"/>
        <w:gridCol w:w="1470"/>
      </w:tblGrid>
      <w:tr w:rsidR="00000000">
        <w:tblPrEx>
          <w:tblCellMar>
            <w:top w:w="0" w:type="dxa"/>
            <w:bottom w:w="0" w:type="dxa"/>
          </w:tblCellMar>
        </w:tblPrEx>
        <w:trPr>
          <w:trHeight w:val="282"/>
        </w:trPr>
        <w:tc>
          <w:tcPr>
            <w:tcW w:w="480" w:type="dxa"/>
            <w:tcBorders>
              <w:top w:val="single" w:sz="12" w:space="0" w:color="auto"/>
              <w:left w:val="single" w:sz="12"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期次</w:t>
            </w:r>
          </w:p>
        </w:tc>
        <w:tc>
          <w:tcPr>
            <w:tcW w:w="140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本期初本金余额</w:t>
            </w: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折合占用一年资金</w:t>
            </w: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本期年利率</w:t>
            </w:r>
          </w:p>
        </w:tc>
        <w:tc>
          <w:tcPr>
            <w:tcW w:w="111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本期租金</w:t>
            </w:r>
          </w:p>
        </w:tc>
        <w:tc>
          <w:tcPr>
            <w:tcW w:w="126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其中含本金</w:t>
            </w:r>
          </w:p>
        </w:tc>
        <w:tc>
          <w:tcPr>
            <w:tcW w:w="126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其中含收益</w:t>
            </w:r>
          </w:p>
        </w:tc>
        <w:tc>
          <w:tcPr>
            <w:tcW w:w="1470" w:type="dxa"/>
            <w:tcBorders>
              <w:top w:val="single" w:sz="12"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租金折现值</w:t>
            </w:r>
          </w:p>
        </w:tc>
      </w:tr>
      <w:tr w:rsidR="00000000">
        <w:tblPrEx>
          <w:tblCellMar>
            <w:top w:w="0" w:type="dxa"/>
            <w:bottom w:w="0" w:type="dxa"/>
          </w:tblCellMar>
        </w:tblPrEx>
        <w:trPr>
          <w:trHeight w:val="259"/>
        </w:trPr>
        <w:tc>
          <w:tcPr>
            <w:tcW w:w="480" w:type="dxa"/>
            <w:tcBorders>
              <w:top w:val="single" w:sz="12" w:space="0" w:color="auto"/>
              <w:left w:val="single" w:sz="12"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w:t>
            </w:r>
          </w:p>
        </w:tc>
        <w:tc>
          <w:tcPr>
            <w:tcW w:w="1406"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555,891.24 </w:t>
            </w:r>
          </w:p>
        </w:tc>
        <w:tc>
          <w:tcPr>
            <w:tcW w:w="1632"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555,891.24 </w:t>
            </w:r>
          </w:p>
        </w:tc>
        <w:tc>
          <w:tcPr>
            <w:tcW w:w="1066"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10.0000%</w:t>
            </w:r>
          </w:p>
        </w:tc>
        <w:tc>
          <w:tcPr>
            <w:tcW w:w="1116"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223,532.10 </w:t>
            </w:r>
          </w:p>
        </w:tc>
        <w:tc>
          <w:tcPr>
            <w:tcW w:w="1260"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167,942.97 </w:t>
            </w:r>
          </w:p>
        </w:tc>
        <w:tc>
          <w:tcPr>
            <w:tcW w:w="1260"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55,589</w:t>
            </w:r>
            <w:r>
              <w:rPr>
                <w:rFonts w:eastAsia="黑体"/>
                <w:b/>
                <w:i/>
                <w:color w:val="000000"/>
                <w:sz w:val="18"/>
              </w:rPr>
              <w:t xml:space="preserve">.12 </w:t>
            </w:r>
          </w:p>
        </w:tc>
        <w:tc>
          <w:tcPr>
            <w:tcW w:w="1470" w:type="dxa"/>
            <w:tcBorders>
              <w:top w:val="single" w:sz="12" w:space="0" w:color="auto"/>
              <w:left w:val="single" w:sz="6" w:space="0" w:color="auto"/>
              <w:bottom w:val="single" w:sz="6" w:space="0" w:color="auto"/>
              <w:right w:val="single" w:sz="12"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206,974.16 </w:t>
            </w:r>
          </w:p>
        </w:tc>
      </w:tr>
      <w:tr w:rsidR="00000000">
        <w:tblPrEx>
          <w:tblCellMar>
            <w:top w:w="0" w:type="dxa"/>
            <w:bottom w:w="0" w:type="dxa"/>
          </w:tblCellMar>
        </w:tblPrEx>
        <w:trPr>
          <w:trHeight w:val="259"/>
        </w:trPr>
        <w:tc>
          <w:tcPr>
            <w:tcW w:w="480" w:type="dxa"/>
            <w:tcBorders>
              <w:top w:val="single" w:sz="6" w:space="0" w:color="auto"/>
              <w:left w:val="single" w:sz="12"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2</w:t>
            </w:r>
          </w:p>
        </w:tc>
        <w:tc>
          <w:tcPr>
            <w:tcW w:w="140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387,948.27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387,948.27 </w:t>
            </w:r>
          </w:p>
        </w:tc>
        <w:tc>
          <w:tcPr>
            <w:tcW w:w="106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10.0000%</w:t>
            </w:r>
          </w:p>
        </w:tc>
        <w:tc>
          <w:tcPr>
            <w:tcW w:w="111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223,532.10 </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184,737.27 </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38,794.83 </w:t>
            </w:r>
          </w:p>
        </w:tc>
        <w:tc>
          <w:tcPr>
            <w:tcW w:w="1470" w:type="dxa"/>
            <w:tcBorders>
              <w:top w:val="single" w:sz="6" w:space="0" w:color="auto"/>
              <w:left w:val="single" w:sz="6" w:space="0" w:color="auto"/>
              <w:bottom w:val="single" w:sz="6" w:space="0" w:color="auto"/>
              <w:right w:val="single" w:sz="12"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191,642.74 </w:t>
            </w:r>
          </w:p>
        </w:tc>
      </w:tr>
      <w:tr w:rsidR="00000000">
        <w:tblPrEx>
          <w:tblCellMar>
            <w:top w:w="0" w:type="dxa"/>
            <w:bottom w:w="0" w:type="dxa"/>
          </w:tblCellMar>
        </w:tblPrEx>
        <w:trPr>
          <w:trHeight w:val="269"/>
        </w:trPr>
        <w:tc>
          <w:tcPr>
            <w:tcW w:w="480" w:type="dxa"/>
            <w:tcBorders>
              <w:top w:val="single" w:sz="6" w:space="0" w:color="auto"/>
              <w:left w:val="single" w:sz="12"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3</w:t>
            </w:r>
          </w:p>
        </w:tc>
        <w:tc>
          <w:tcPr>
            <w:tcW w:w="1406"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203,211.00 </w:t>
            </w:r>
          </w:p>
        </w:tc>
        <w:tc>
          <w:tcPr>
            <w:tcW w:w="1632"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203,211.00 </w:t>
            </w:r>
          </w:p>
        </w:tc>
        <w:tc>
          <w:tcPr>
            <w:tcW w:w="1066"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10.0000%</w:t>
            </w:r>
          </w:p>
        </w:tc>
        <w:tc>
          <w:tcPr>
            <w:tcW w:w="1116"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223,532.10 </w:t>
            </w:r>
          </w:p>
        </w:tc>
        <w:tc>
          <w:tcPr>
            <w:tcW w:w="1260"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203,211.00 </w:t>
            </w:r>
          </w:p>
        </w:tc>
        <w:tc>
          <w:tcPr>
            <w:tcW w:w="1260"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20,321.10 </w:t>
            </w:r>
          </w:p>
        </w:tc>
        <w:tc>
          <w:tcPr>
            <w:tcW w:w="1470" w:type="dxa"/>
            <w:tcBorders>
              <w:top w:val="single" w:sz="6"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177,446.99 </w:t>
            </w:r>
          </w:p>
        </w:tc>
      </w:tr>
      <w:tr w:rsidR="00000000">
        <w:tblPrEx>
          <w:tblCellMar>
            <w:top w:w="0" w:type="dxa"/>
            <w:bottom w:w="0" w:type="dxa"/>
          </w:tblCellMar>
        </w:tblPrEx>
        <w:trPr>
          <w:trHeight w:val="331"/>
        </w:trPr>
        <w:tc>
          <w:tcPr>
            <w:tcW w:w="1886" w:type="dxa"/>
            <w:gridSpan w:val="2"/>
            <w:tcBorders>
              <w:top w:val="single" w:sz="12" w:space="0" w:color="auto"/>
              <w:left w:val="single" w:sz="12" w:space="0" w:color="auto"/>
              <w:bottom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合</w:t>
            </w:r>
            <w:r>
              <w:rPr>
                <w:rFonts w:eastAsia="黑体"/>
                <w:b/>
                <w:color w:val="000000"/>
                <w:sz w:val="18"/>
              </w:rPr>
              <w:t xml:space="preserve">    </w:t>
            </w:r>
            <w:r>
              <w:rPr>
                <w:rFonts w:eastAsia="黑体" w:hint="eastAsia"/>
                <w:b/>
                <w:color w:val="000000"/>
                <w:sz w:val="18"/>
              </w:rPr>
              <w:t>计</w:t>
            </w: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b/>
                <w:i/>
                <w:color w:val="000000"/>
              </w:rPr>
            </w:pPr>
            <w:r>
              <w:rPr>
                <w:b/>
                <w:i/>
                <w:color w:val="000000"/>
              </w:rPr>
              <w:t xml:space="preserve">    1,147,050.50 </w:t>
            </w: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b/>
                <w:i/>
                <w:color w:val="000000"/>
              </w:rPr>
            </w:pPr>
          </w:p>
        </w:tc>
        <w:tc>
          <w:tcPr>
            <w:tcW w:w="111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b/>
                <w:i/>
                <w:color w:val="000000"/>
              </w:rPr>
            </w:pPr>
            <w:r>
              <w:rPr>
                <w:b/>
                <w:i/>
                <w:color w:val="000000"/>
              </w:rPr>
              <w:t xml:space="preserve"> 670,596.29 </w:t>
            </w:r>
          </w:p>
        </w:tc>
        <w:tc>
          <w:tcPr>
            <w:tcW w:w="126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b/>
                <w:i/>
                <w:color w:val="000000"/>
              </w:rPr>
            </w:pPr>
            <w:r>
              <w:rPr>
                <w:b/>
                <w:i/>
                <w:color w:val="000000"/>
              </w:rPr>
              <w:t xml:space="preserve">  555,891.24 </w:t>
            </w:r>
          </w:p>
        </w:tc>
        <w:tc>
          <w:tcPr>
            <w:tcW w:w="126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b/>
                <w:i/>
                <w:color w:val="000000"/>
              </w:rPr>
            </w:pPr>
            <w:r>
              <w:rPr>
                <w:b/>
                <w:i/>
                <w:color w:val="000000"/>
              </w:rPr>
              <w:t xml:space="preserve">  114,705.05 </w:t>
            </w:r>
          </w:p>
        </w:tc>
        <w:tc>
          <w:tcPr>
            <w:tcW w:w="147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b/>
                <w:i/>
                <w:color w:val="000000"/>
              </w:rPr>
            </w:pPr>
            <w:r>
              <w:rPr>
                <w:b/>
                <w:i/>
                <w:color w:val="000000"/>
              </w:rPr>
              <w:t xml:space="preserve">   576,063.89 </w:t>
            </w:r>
          </w:p>
        </w:tc>
      </w:tr>
      <w:tr w:rsidR="00000000">
        <w:tblPrEx>
          <w:tblCellMar>
            <w:top w:w="0" w:type="dxa"/>
            <w:bottom w:w="0" w:type="dxa"/>
          </w:tblCellMar>
        </w:tblPrEx>
        <w:trPr>
          <w:trHeight w:val="331"/>
        </w:trPr>
        <w:tc>
          <w:tcPr>
            <w:tcW w:w="1886" w:type="dxa"/>
            <w:gridSpan w:val="2"/>
            <w:tcBorders>
              <w:top w:val="single" w:sz="12" w:space="0" w:color="auto"/>
              <w:left w:val="single" w:sz="12" w:space="0" w:color="auto"/>
              <w:bottom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收益净现值</w:t>
            </w: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b/>
                <w:i/>
                <w:color w:val="000000"/>
              </w:rPr>
            </w:pP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b/>
                <w:color w:val="000000"/>
              </w:rPr>
            </w:pPr>
          </w:p>
        </w:tc>
        <w:tc>
          <w:tcPr>
            <w:tcW w:w="111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b/>
                <w:i/>
                <w:color w:val="000000"/>
              </w:rPr>
            </w:pPr>
          </w:p>
        </w:tc>
        <w:tc>
          <w:tcPr>
            <w:tcW w:w="126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b/>
                <w:i/>
                <w:color w:val="000000"/>
              </w:rPr>
            </w:pPr>
          </w:p>
        </w:tc>
        <w:tc>
          <w:tcPr>
            <w:tcW w:w="126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b/>
                <w:i/>
                <w:color w:val="000000"/>
              </w:rPr>
            </w:pPr>
          </w:p>
        </w:tc>
        <w:tc>
          <w:tcPr>
            <w:tcW w:w="1470" w:type="dxa"/>
            <w:tcBorders>
              <w:top w:val="single" w:sz="12"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right"/>
              <w:rPr>
                <w:b/>
                <w:i/>
                <w:color w:val="000000"/>
              </w:rPr>
            </w:pPr>
            <w:r>
              <w:rPr>
                <w:b/>
                <w:i/>
                <w:color w:val="000000"/>
              </w:rPr>
              <w:t xml:space="preserve">     20,172.65 </w:t>
            </w:r>
          </w:p>
        </w:tc>
      </w:tr>
      <w:tr w:rsidR="00000000">
        <w:tblPrEx>
          <w:tblCellMar>
            <w:top w:w="0" w:type="dxa"/>
            <w:bottom w:w="0" w:type="dxa"/>
          </w:tblCellMar>
        </w:tblPrEx>
        <w:trPr>
          <w:trHeight w:val="331"/>
        </w:trPr>
        <w:tc>
          <w:tcPr>
            <w:tcW w:w="1886" w:type="dxa"/>
            <w:gridSpan w:val="2"/>
            <w:tcBorders>
              <w:top w:val="single" w:sz="12" w:space="0" w:color="auto"/>
              <w:left w:val="single" w:sz="12" w:space="0" w:color="auto"/>
              <w:bottom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资金年净收益率</w:t>
            </w: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b/>
                <w:i/>
                <w:color w:val="000000"/>
              </w:rPr>
            </w:pP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b/>
                <w:color w:val="000000"/>
              </w:rPr>
            </w:pPr>
          </w:p>
        </w:tc>
        <w:tc>
          <w:tcPr>
            <w:tcW w:w="111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b/>
                <w:i/>
                <w:color w:val="000000"/>
              </w:rPr>
            </w:pPr>
          </w:p>
        </w:tc>
        <w:tc>
          <w:tcPr>
            <w:tcW w:w="126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b/>
                <w:i/>
                <w:color w:val="000000"/>
              </w:rPr>
            </w:pPr>
          </w:p>
        </w:tc>
        <w:tc>
          <w:tcPr>
            <w:tcW w:w="126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b/>
                <w:i/>
                <w:color w:val="000000"/>
              </w:rPr>
            </w:pPr>
          </w:p>
        </w:tc>
        <w:tc>
          <w:tcPr>
            <w:tcW w:w="1470" w:type="dxa"/>
            <w:tcBorders>
              <w:top w:val="single" w:sz="12"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right"/>
              <w:rPr>
                <w:b/>
                <w:i/>
                <w:color w:val="000000"/>
              </w:rPr>
            </w:pPr>
            <w:r>
              <w:rPr>
                <w:b/>
                <w:i/>
                <w:color w:val="000000"/>
              </w:rPr>
              <w:t>1.7587%</w:t>
            </w:r>
          </w:p>
        </w:tc>
      </w:tr>
    </w:tbl>
    <w:p w:rsidR="00000000" w:rsidRDefault="00661157">
      <w:pPr>
        <w:rPr>
          <w:rFonts w:eastAsia="楷体_GB2312"/>
          <w:b/>
          <w:sz w:val="24"/>
        </w:rPr>
      </w:pPr>
    </w:p>
    <w:p w:rsidR="00000000" w:rsidRDefault="00661157">
      <w:pPr>
        <w:ind w:firstLine="495"/>
        <w:rPr>
          <w:rFonts w:eastAsia="楷体_GB2312" w:hint="eastAsia"/>
          <w:b/>
          <w:sz w:val="24"/>
        </w:rPr>
      </w:pPr>
      <w:r>
        <w:rPr>
          <w:rFonts w:eastAsia="楷体_GB2312" w:hint="eastAsia"/>
          <w:b/>
          <w:sz w:val="24"/>
        </w:rPr>
        <w:t>在该合同中，出租人不仅全部收回了余值</w:t>
      </w:r>
      <w:r>
        <w:rPr>
          <w:rFonts w:eastAsia="楷体_GB2312"/>
          <w:b/>
          <w:sz w:val="24"/>
        </w:rPr>
        <w:t>555,891.24</w:t>
      </w:r>
      <w:r>
        <w:rPr>
          <w:rFonts w:eastAsia="楷体_GB2312" w:hint="eastAsia"/>
          <w:b/>
          <w:sz w:val="24"/>
        </w:rPr>
        <w:t>元，而且有</w:t>
      </w:r>
      <w:r>
        <w:rPr>
          <w:rFonts w:eastAsia="楷体_GB2312" w:hint="eastAsia"/>
          <w:b/>
          <w:sz w:val="24"/>
        </w:rPr>
        <w:t>2</w:t>
      </w:r>
      <w:r>
        <w:rPr>
          <w:rFonts w:eastAsia="楷体_GB2312"/>
          <w:b/>
          <w:sz w:val="24"/>
        </w:rPr>
        <w:t>0,172.65</w:t>
      </w:r>
      <w:r>
        <w:rPr>
          <w:rFonts w:eastAsia="楷体_GB2312" w:hint="eastAsia"/>
          <w:b/>
          <w:sz w:val="24"/>
        </w:rPr>
        <w:t>元的净现值收益。毫无损失。</w:t>
      </w:r>
    </w:p>
    <w:p w:rsidR="00000000" w:rsidRDefault="00661157">
      <w:pPr>
        <w:ind w:firstLine="495"/>
        <w:rPr>
          <w:rFonts w:eastAsia="楷体_GB2312" w:hint="eastAsia"/>
          <w:b/>
          <w:sz w:val="24"/>
        </w:rPr>
      </w:pPr>
      <w:r>
        <w:rPr>
          <w:rFonts w:eastAsia="楷体_GB2312" w:hint="eastAsia"/>
          <w:b/>
          <w:sz w:val="24"/>
        </w:rPr>
        <w:t>把两次出租合并起来考虑，出租人在折合占用一年的资金</w:t>
      </w:r>
      <w:r>
        <w:rPr>
          <w:rFonts w:eastAsia="楷体_GB2312"/>
          <w:b/>
          <w:sz w:val="24"/>
        </w:rPr>
        <w:t>2,935,570.14</w:t>
      </w:r>
      <w:r>
        <w:rPr>
          <w:rFonts w:eastAsia="楷体_GB2312" w:hint="eastAsia"/>
          <w:b/>
          <w:sz w:val="24"/>
        </w:rPr>
        <w:t>元的情况下，收益净现值合计为</w:t>
      </w:r>
      <w:r>
        <w:rPr>
          <w:rFonts w:eastAsia="楷体_GB2312"/>
          <w:b/>
          <w:sz w:val="24"/>
        </w:rPr>
        <w:t>131,515.84</w:t>
      </w:r>
      <w:r>
        <w:rPr>
          <w:rFonts w:eastAsia="楷体_GB2312" w:hint="eastAsia"/>
          <w:b/>
          <w:sz w:val="24"/>
        </w:rPr>
        <w:t>元，资金年净收益率为</w:t>
      </w:r>
      <w:r>
        <w:rPr>
          <w:rFonts w:eastAsia="楷体_GB2312" w:hint="eastAsia"/>
          <w:b/>
          <w:sz w:val="24"/>
        </w:rPr>
        <w:t>4.</w:t>
      </w:r>
      <w:r>
        <w:rPr>
          <w:rFonts w:eastAsia="楷体_GB2312"/>
          <w:b/>
          <w:sz w:val="24"/>
        </w:rPr>
        <w:t>4801</w:t>
      </w:r>
      <w:r>
        <w:rPr>
          <w:rFonts w:eastAsia="楷体_GB2312" w:hint="eastAsia"/>
          <w:b/>
          <w:sz w:val="24"/>
        </w:rPr>
        <w:t>%</w:t>
      </w:r>
      <w:r>
        <w:rPr>
          <w:rFonts w:eastAsia="楷体_GB2312" w:hint="eastAsia"/>
          <w:b/>
          <w:sz w:val="24"/>
        </w:rPr>
        <w:t>。相当于下表（例</w:t>
      </w:r>
      <w:r>
        <w:rPr>
          <w:rFonts w:eastAsia="楷体_GB2312" w:hint="eastAsia"/>
          <w:b/>
          <w:sz w:val="24"/>
        </w:rPr>
        <w:t>H</w:t>
      </w:r>
      <w:r>
        <w:rPr>
          <w:rFonts w:eastAsia="楷体_GB2312" w:hint="eastAsia"/>
          <w:b/>
          <w:sz w:val="24"/>
        </w:rPr>
        <w:t>）所示的在筹资年利率仍为</w:t>
      </w:r>
      <w:r>
        <w:rPr>
          <w:rFonts w:eastAsia="楷体_GB2312" w:hint="eastAsia"/>
          <w:b/>
          <w:sz w:val="24"/>
        </w:rPr>
        <w:t>8%</w:t>
      </w:r>
      <w:r>
        <w:rPr>
          <w:rFonts w:eastAsia="楷体_GB2312" w:hint="eastAsia"/>
          <w:b/>
          <w:sz w:val="24"/>
        </w:rPr>
        <w:t>的条件下，</w:t>
      </w:r>
      <w:r>
        <w:rPr>
          <w:rFonts w:eastAsia="楷体_GB2312" w:hint="eastAsia"/>
          <w:b/>
          <w:sz w:val="24"/>
        </w:rPr>
        <w:t>5</w:t>
      </w:r>
      <w:r>
        <w:rPr>
          <w:rFonts w:eastAsia="楷体_GB2312" w:hint="eastAsia"/>
          <w:b/>
          <w:sz w:val="24"/>
        </w:rPr>
        <w:t>年期的租赁年利率为</w:t>
      </w:r>
      <w:r>
        <w:rPr>
          <w:rFonts w:eastAsia="楷体_GB2312" w:hint="eastAsia"/>
          <w:b/>
          <w:sz w:val="24"/>
        </w:rPr>
        <w:t>12.</w:t>
      </w:r>
      <w:r>
        <w:rPr>
          <w:rFonts w:eastAsia="楷体_GB2312"/>
          <w:b/>
          <w:sz w:val="24"/>
        </w:rPr>
        <w:t>8674285</w:t>
      </w:r>
      <w:r>
        <w:rPr>
          <w:rFonts w:eastAsia="楷体_GB2312" w:hint="eastAsia"/>
          <w:b/>
          <w:sz w:val="24"/>
        </w:rPr>
        <w:t>%</w:t>
      </w:r>
      <w:r>
        <w:rPr>
          <w:rFonts w:eastAsia="楷体_GB2312" w:hint="eastAsia"/>
          <w:b/>
          <w:sz w:val="24"/>
        </w:rPr>
        <w:t>。</w:t>
      </w:r>
    </w:p>
    <w:p w:rsidR="00000000" w:rsidRDefault="00661157">
      <w:pPr>
        <w:rPr>
          <w:rFonts w:eastAsia="楷体_GB2312"/>
          <w:b/>
          <w:sz w:val="24"/>
        </w:rPr>
      </w:pPr>
    </w:p>
    <w:tbl>
      <w:tblPr>
        <w:tblW w:w="0" w:type="auto"/>
        <w:tblLayout w:type="fixed"/>
        <w:tblCellMar>
          <w:left w:w="30" w:type="dxa"/>
          <w:right w:w="30" w:type="dxa"/>
        </w:tblCellMar>
        <w:tblLook w:val="0000" w:firstRow="0" w:lastRow="0" w:firstColumn="0" w:lastColumn="0" w:noHBand="0" w:noVBand="0"/>
      </w:tblPr>
      <w:tblGrid>
        <w:gridCol w:w="480"/>
        <w:gridCol w:w="1406"/>
        <w:gridCol w:w="1632"/>
        <w:gridCol w:w="1066"/>
        <w:gridCol w:w="1221"/>
        <w:gridCol w:w="1260"/>
        <w:gridCol w:w="1260"/>
        <w:gridCol w:w="1365"/>
      </w:tblGrid>
      <w:tr w:rsidR="00000000">
        <w:tblPrEx>
          <w:tblCellMar>
            <w:top w:w="0" w:type="dxa"/>
            <w:bottom w:w="0" w:type="dxa"/>
          </w:tblCellMar>
        </w:tblPrEx>
        <w:trPr>
          <w:trHeight w:val="184"/>
        </w:trPr>
        <w:tc>
          <w:tcPr>
            <w:tcW w:w="480" w:type="dxa"/>
            <w:tcBorders>
              <w:top w:val="single" w:sz="12" w:space="0" w:color="auto"/>
              <w:left w:val="single" w:sz="12"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期次</w:t>
            </w:r>
          </w:p>
        </w:tc>
        <w:tc>
          <w:tcPr>
            <w:tcW w:w="140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本期初本金余额</w:t>
            </w: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折合占用一年资金</w:t>
            </w: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本期年利率</w:t>
            </w:r>
          </w:p>
        </w:tc>
        <w:tc>
          <w:tcPr>
            <w:tcW w:w="1221"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本期租金</w:t>
            </w:r>
          </w:p>
        </w:tc>
        <w:tc>
          <w:tcPr>
            <w:tcW w:w="126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其中含本金</w:t>
            </w:r>
          </w:p>
        </w:tc>
        <w:tc>
          <w:tcPr>
            <w:tcW w:w="126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其中含收益</w:t>
            </w:r>
          </w:p>
        </w:tc>
        <w:tc>
          <w:tcPr>
            <w:tcW w:w="1365" w:type="dxa"/>
            <w:tcBorders>
              <w:top w:val="single" w:sz="12"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租金折现值</w:t>
            </w:r>
          </w:p>
        </w:tc>
      </w:tr>
      <w:tr w:rsidR="00000000">
        <w:tblPrEx>
          <w:tblCellMar>
            <w:top w:w="0" w:type="dxa"/>
            <w:bottom w:w="0" w:type="dxa"/>
          </w:tblCellMar>
        </w:tblPrEx>
        <w:trPr>
          <w:trHeight w:val="259"/>
        </w:trPr>
        <w:tc>
          <w:tcPr>
            <w:tcW w:w="480" w:type="dxa"/>
            <w:tcBorders>
              <w:top w:val="single" w:sz="12" w:space="0" w:color="auto"/>
              <w:left w:val="single" w:sz="12"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w:t>
            </w:r>
          </w:p>
        </w:tc>
        <w:tc>
          <w:tcPr>
            <w:tcW w:w="1406"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1,000,000.00 </w:t>
            </w:r>
          </w:p>
        </w:tc>
        <w:tc>
          <w:tcPr>
            <w:tcW w:w="1632"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1,000,000.00 </w:t>
            </w:r>
          </w:p>
        </w:tc>
        <w:tc>
          <w:tcPr>
            <w:tcW w:w="1066"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12.8674%</w:t>
            </w:r>
          </w:p>
        </w:tc>
        <w:tc>
          <w:tcPr>
            <w:tcW w:w="1221"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283,395.45 </w:t>
            </w:r>
          </w:p>
        </w:tc>
        <w:tc>
          <w:tcPr>
            <w:tcW w:w="1260"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154,721.16 </w:t>
            </w:r>
          </w:p>
        </w:tc>
        <w:tc>
          <w:tcPr>
            <w:tcW w:w="1260" w:type="dxa"/>
            <w:tcBorders>
              <w:top w:val="single" w:sz="12"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128,674.29 </w:t>
            </w:r>
          </w:p>
        </w:tc>
        <w:tc>
          <w:tcPr>
            <w:tcW w:w="1365" w:type="dxa"/>
            <w:tcBorders>
              <w:top w:val="single" w:sz="12" w:space="0" w:color="auto"/>
              <w:left w:val="single" w:sz="6" w:space="0" w:color="auto"/>
              <w:bottom w:val="single" w:sz="6" w:space="0" w:color="auto"/>
              <w:right w:val="single" w:sz="12"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262,403.19 </w:t>
            </w:r>
          </w:p>
        </w:tc>
      </w:tr>
      <w:tr w:rsidR="00000000">
        <w:tblPrEx>
          <w:tblCellMar>
            <w:top w:w="0" w:type="dxa"/>
            <w:bottom w:w="0" w:type="dxa"/>
          </w:tblCellMar>
        </w:tblPrEx>
        <w:trPr>
          <w:trHeight w:val="259"/>
        </w:trPr>
        <w:tc>
          <w:tcPr>
            <w:tcW w:w="480" w:type="dxa"/>
            <w:tcBorders>
              <w:top w:val="single" w:sz="6" w:space="0" w:color="auto"/>
              <w:left w:val="single" w:sz="12"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2</w:t>
            </w:r>
          </w:p>
        </w:tc>
        <w:tc>
          <w:tcPr>
            <w:tcW w:w="140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845,278.84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845,27</w:t>
            </w:r>
            <w:r>
              <w:rPr>
                <w:rFonts w:eastAsia="黑体"/>
                <w:b/>
                <w:i/>
                <w:color w:val="000000"/>
                <w:sz w:val="18"/>
              </w:rPr>
              <w:t xml:space="preserve">8.84 </w:t>
            </w:r>
          </w:p>
        </w:tc>
        <w:tc>
          <w:tcPr>
            <w:tcW w:w="106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12.8674%</w:t>
            </w:r>
          </w:p>
        </w:tc>
        <w:tc>
          <w:tcPr>
            <w:tcW w:w="1221"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283,395.45 </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174,629.80 </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108,765.65 </w:t>
            </w:r>
          </w:p>
        </w:tc>
        <w:tc>
          <w:tcPr>
            <w:tcW w:w="1365" w:type="dxa"/>
            <w:tcBorders>
              <w:top w:val="single" w:sz="6" w:space="0" w:color="auto"/>
              <w:left w:val="single" w:sz="6" w:space="0" w:color="auto"/>
              <w:bottom w:val="single" w:sz="6" w:space="0" w:color="auto"/>
              <w:right w:val="single" w:sz="12"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242,965.92 </w:t>
            </w:r>
          </w:p>
        </w:tc>
      </w:tr>
      <w:tr w:rsidR="00000000">
        <w:tblPrEx>
          <w:tblCellMar>
            <w:top w:w="0" w:type="dxa"/>
            <w:bottom w:w="0" w:type="dxa"/>
          </w:tblCellMar>
        </w:tblPrEx>
        <w:trPr>
          <w:trHeight w:val="259"/>
        </w:trPr>
        <w:tc>
          <w:tcPr>
            <w:tcW w:w="480" w:type="dxa"/>
            <w:tcBorders>
              <w:top w:val="single" w:sz="6" w:space="0" w:color="auto"/>
              <w:left w:val="single" w:sz="12"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3</w:t>
            </w:r>
          </w:p>
        </w:tc>
        <w:tc>
          <w:tcPr>
            <w:tcW w:w="140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670,649.04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670,649.04 </w:t>
            </w:r>
          </w:p>
        </w:tc>
        <w:tc>
          <w:tcPr>
            <w:tcW w:w="106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12.8674%</w:t>
            </w:r>
          </w:p>
        </w:tc>
        <w:tc>
          <w:tcPr>
            <w:tcW w:w="1221"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283,395.45 </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197,100.16 </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86,295.29 </w:t>
            </w:r>
          </w:p>
        </w:tc>
        <w:tc>
          <w:tcPr>
            <w:tcW w:w="1365" w:type="dxa"/>
            <w:tcBorders>
              <w:top w:val="single" w:sz="6" w:space="0" w:color="auto"/>
              <w:left w:val="single" w:sz="6" w:space="0" w:color="auto"/>
              <w:bottom w:val="single" w:sz="6" w:space="0" w:color="auto"/>
              <w:right w:val="single" w:sz="12"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224,968.44 </w:t>
            </w:r>
          </w:p>
        </w:tc>
      </w:tr>
      <w:tr w:rsidR="00000000">
        <w:tblPrEx>
          <w:tblCellMar>
            <w:top w:w="0" w:type="dxa"/>
            <w:bottom w:w="0" w:type="dxa"/>
          </w:tblCellMar>
        </w:tblPrEx>
        <w:trPr>
          <w:trHeight w:val="259"/>
        </w:trPr>
        <w:tc>
          <w:tcPr>
            <w:tcW w:w="480" w:type="dxa"/>
            <w:tcBorders>
              <w:top w:val="single" w:sz="6" w:space="0" w:color="auto"/>
              <w:left w:val="single" w:sz="12"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4</w:t>
            </w:r>
          </w:p>
        </w:tc>
        <w:tc>
          <w:tcPr>
            <w:tcW w:w="140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473,548.89 </w:t>
            </w:r>
          </w:p>
        </w:tc>
        <w:tc>
          <w:tcPr>
            <w:tcW w:w="1632"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473,548.89 </w:t>
            </w:r>
          </w:p>
        </w:tc>
        <w:tc>
          <w:tcPr>
            <w:tcW w:w="1066"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12.8674%</w:t>
            </w:r>
          </w:p>
        </w:tc>
        <w:tc>
          <w:tcPr>
            <w:tcW w:w="1221"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283,395.45 </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222,461.88 </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60,933.56 </w:t>
            </w:r>
          </w:p>
        </w:tc>
        <w:tc>
          <w:tcPr>
            <w:tcW w:w="1365" w:type="dxa"/>
            <w:tcBorders>
              <w:top w:val="single" w:sz="6" w:space="0" w:color="auto"/>
              <w:left w:val="single" w:sz="6" w:space="0" w:color="auto"/>
              <w:bottom w:val="single" w:sz="6" w:space="0" w:color="auto"/>
              <w:right w:val="single" w:sz="12"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208,304.11 </w:t>
            </w:r>
          </w:p>
        </w:tc>
      </w:tr>
      <w:tr w:rsidR="00000000">
        <w:tblPrEx>
          <w:tblCellMar>
            <w:top w:w="0" w:type="dxa"/>
            <w:bottom w:w="0" w:type="dxa"/>
          </w:tblCellMar>
        </w:tblPrEx>
        <w:trPr>
          <w:trHeight w:val="269"/>
        </w:trPr>
        <w:tc>
          <w:tcPr>
            <w:tcW w:w="480" w:type="dxa"/>
            <w:tcBorders>
              <w:top w:val="single" w:sz="6" w:space="0" w:color="auto"/>
              <w:left w:val="single" w:sz="12"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5</w:t>
            </w:r>
          </w:p>
        </w:tc>
        <w:tc>
          <w:tcPr>
            <w:tcW w:w="1406"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251,087.00 </w:t>
            </w:r>
          </w:p>
        </w:tc>
        <w:tc>
          <w:tcPr>
            <w:tcW w:w="1632"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251,087.00 </w:t>
            </w:r>
          </w:p>
        </w:tc>
        <w:tc>
          <w:tcPr>
            <w:tcW w:w="1066"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b/>
                <w:color w:val="000000"/>
                <w:sz w:val="18"/>
              </w:rPr>
              <w:t>12.8674%</w:t>
            </w:r>
          </w:p>
        </w:tc>
        <w:tc>
          <w:tcPr>
            <w:tcW w:w="1221"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283,395.45 </w:t>
            </w:r>
          </w:p>
        </w:tc>
        <w:tc>
          <w:tcPr>
            <w:tcW w:w="1260"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251,087.00 </w:t>
            </w:r>
          </w:p>
        </w:tc>
        <w:tc>
          <w:tcPr>
            <w:tcW w:w="1260" w:type="dxa"/>
            <w:tcBorders>
              <w:top w:val="single" w:sz="6"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32,308.44 </w:t>
            </w:r>
          </w:p>
        </w:tc>
        <w:tc>
          <w:tcPr>
            <w:tcW w:w="1365" w:type="dxa"/>
            <w:tcBorders>
              <w:top w:val="single" w:sz="6"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right"/>
              <w:rPr>
                <w:rFonts w:eastAsia="黑体"/>
                <w:b/>
                <w:i/>
                <w:color w:val="000000"/>
                <w:sz w:val="18"/>
              </w:rPr>
            </w:pPr>
            <w:r>
              <w:rPr>
                <w:rFonts w:eastAsia="黑体"/>
                <w:b/>
                <w:i/>
                <w:color w:val="000000"/>
                <w:sz w:val="18"/>
              </w:rPr>
              <w:t xml:space="preserve">     192,874.18 </w:t>
            </w:r>
          </w:p>
        </w:tc>
      </w:tr>
      <w:tr w:rsidR="00000000">
        <w:tblPrEx>
          <w:tblCellMar>
            <w:top w:w="0" w:type="dxa"/>
            <w:bottom w:w="0" w:type="dxa"/>
          </w:tblCellMar>
        </w:tblPrEx>
        <w:trPr>
          <w:trHeight w:val="331"/>
        </w:trPr>
        <w:tc>
          <w:tcPr>
            <w:tcW w:w="1886" w:type="dxa"/>
            <w:gridSpan w:val="2"/>
            <w:tcBorders>
              <w:top w:val="single" w:sz="12" w:space="0" w:color="auto"/>
              <w:left w:val="single" w:sz="12" w:space="0" w:color="auto"/>
              <w:bottom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合</w:t>
            </w:r>
            <w:r>
              <w:rPr>
                <w:rFonts w:eastAsia="黑体"/>
                <w:b/>
                <w:color w:val="000000"/>
                <w:sz w:val="18"/>
              </w:rPr>
              <w:t xml:space="preserve">    </w:t>
            </w:r>
            <w:r>
              <w:rPr>
                <w:rFonts w:eastAsia="黑体" w:hint="eastAsia"/>
                <w:b/>
                <w:color w:val="000000"/>
                <w:sz w:val="18"/>
              </w:rPr>
              <w:t>计</w:t>
            </w:r>
          </w:p>
        </w:tc>
        <w:tc>
          <w:tcPr>
            <w:tcW w:w="1632"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    3,240,563.77 </w:t>
            </w:r>
          </w:p>
        </w:tc>
        <w:tc>
          <w:tcPr>
            <w:tcW w:w="1066"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p>
        </w:tc>
        <w:tc>
          <w:tcPr>
            <w:tcW w:w="1221"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1,416,977.23 </w:t>
            </w:r>
          </w:p>
        </w:tc>
        <w:tc>
          <w:tcPr>
            <w:tcW w:w="126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1,000,000.00 </w:t>
            </w:r>
          </w:p>
        </w:tc>
        <w:tc>
          <w:tcPr>
            <w:tcW w:w="1260" w:type="dxa"/>
            <w:tcBorders>
              <w:top w:val="single" w:sz="12" w:space="0" w:color="auto"/>
              <w:left w:val="single" w:sz="6" w:space="0" w:color="auto"/>
              <w:bottom w:val="single" w:sz="12" w:space="0" w:color="auto"/>
              <w:right w:val="single" w:sz="6"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  416,977.23 </w:t>
            </w:r>
          </w:p>
        </w:tc>
        <w:tc>
          <w:tcPr>
            <w:tcW w:w="1365" w:type="dxa"/>
            <w:tcBorders>
              <w:top w:val="single" w:sz="12" w:space="0" w:color="auto"/>
              <w:left w:val="single" w:sz="6" w:space="0" w:color="auto"/>
              <w:bottom w:val="single" w:sz="12" w:space="0" w:color="auto"/>
              <w:right w:val="single" w:sz="12"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 1,131,515.84 </w:t>
            </w:r>
          </w:p>
        </w:tc>
      </w:tr>
      <w:tr w:rsidR="00000000">
        <w:tblPrEx>
          <w:tblCellMar>
            <w:top w:w="0" w:type="dxa"/>
            <w:bottom w:w="0" w:type="dxa"/>
          </w:tblCellMar>
        </w:tblPrEx>
        <w:trPr>
          <w:trHeight w:val="331"/>
        </w:trPr>
        <w:tc>
          <w:tcPr>
            <w:tcW w:w="1886" w:type="dxa"/>
            <w:gridSpan w:val="2"/>
            <w:tcBorders>
              <w:top w:val="single" w:sz="12" w:space="0" w:color="auto"/>
              <w:left w:val="single" w:sz="12" w:space="0" w:color="auto"/>
              <w:bottom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收益净现值</w:t>
            </w:r>
          </w:p>
        </w:tc>
        <w:tc>
          <w:tcPr>
            <w:tcW w:w="1632" w:type="dxa"/>
            <w:tcBorders>
              <w:top w:val="single" w:sz="12" w:space="0" w:color="auto"/>
              <w:left w:val="single" w:sz="12" w:space="0" w:color="auto"/>
              <w:bottom w:val="single" w:sz="12" w:space="0" w:color="auto"/>
              <w:right w:val="single" w:sz="2" w:space="0" w:color="000000"/>
            </w:tcBorders>
            <w:vAlign w:val="center"/>
          </w:tcPr>
          <w:p w:rsidR="00000000" w:rsidRDefault="00661157">
            <w:pPr>
              <w:autoSpaceDE w:val="0"/>
              <w:autoSpaceDN w:val="0"/>
              <w:adjustRightInd w:val="0"/>
              <w:jc w:val="right"/>
              <w:rPr>
                <w:rFonts w:eastAsia="黑体"/>
                <w:b/>
                <w:i/>
                <w:color w:val="000000"/>
              </w:rPr>
            </w:pPr>
          </w:p>
        </w:tc>
        <w:tc>
          <w:tcPr>
            <w:tcW w:w="1066" w:type="dxa"/>
            <w:tcBorders>
              <w:top w:val="single" w:sz="12" w:space="0" w:color="auto"/>
              <w:left w:val="single" w:sz="2" w:space="0" w:color="000000"/>
              <w:bottom w:val="single" w:sz="12" w:space="0" w:color="auto"/>
              <w:right w:val="single" w:sz="2" w:space="0" w:color="000000"/>
            </w:tcBorders>
            <w:vAlign w:val="center"/>
          </w:tcPr>
          <w:p w:rsidR="00000000" w:rsidRDefault="00661157">
            <w:pPr>
              <w:autoSpaceDE w:val="0"/>
              <w:autoSpaceDN w:val="0"/>
              <w:adjustRightInd w:val="0"/>
              <w:jc w:val="right"/>
              <w:rPr>
                <w:rFonts w:eastAsia="黑体"/>
                <w:b/>
                <w:i/>
                <w:color w:val="000000"/>
              </w:rPr>
            </w:pPr>
          </w:p>
        </w:tc>
        <w:tc>
          <w:tcPr>
            <w:tcW w:w="1221" w:type="dxa"/>
            <w:tcBorders>
              <w:top w:val="single" w:sz="12" w:space="0" w:color="auto"/>
              <w:left w:val="single" w:sz="2" w:space="0" w:color="000000"/>
              <w:bottom w:val="single" w:sz="12" w:space="0" w:color="auto"/>
              <w:right w:val="single" w:sz="2" w:space="0" w:color="000000"/>
            </w:tcBorders>
            <w:vAlign w:val="center"/>
          </w:tcPr>
          <w:p w:rsidR="00000000" w:rsidRDefault="00661157">
            <w:pPr>
              <w:autoSpaceDE w:val="0"/>
              <w:autoSpaceDN w:val="0"/>
              <w:adjustRightInd w:val="0"/>
              <w:jc w:val="right"/>
              <w:rPr>
                <w:rFonts w:eastAsia="黑体"/>
                <w:b/>
                <w:i/>
                <w:color w:val="000000"/>
              </w:rPr>
            </w:pPr>
          </w:p>
        </w:tc>
        <w:tc>
          <w:tcPr>
            <w:tcW w:w="1260" w:type="dxa"/>
            <w:tcBorders>
              <w:top w:val="single" w:sz="12" w:space="0" w:color="auto"/>
              <w:left w:val="single" w:sz="2" w:space="0" w:color="000000"/>
              <w:bottom w:val="single" w:sz="12" w:space="0" w:color="auto"/>
              <w:right w:val="single" w:sz="2" w:space="0" w:color="000000"/>
            </w:tcBorders>
            <w:vAlign w:val="center"/>
          </w:tcPr>
          <w:p w:rsidR="00000000" w:rsidRDefault="00661157">
            <w:pPr>
              <w:autoSpaceDE w:val="0"/>
              <w:autoSpaceDN w:val="0"/>
              <w:adjustRightInd w:val="0"/>
              <w:jc w:val="right"/>
              <w:rPr>
                <w:rFonts w:eastAsia="黑体"/>
                <w:b/>
                <w:i/>
                <w:color w:val="000000"/>
              </w:rPr>
            </w:pPr>
          </w:p>
        </w:tc>
        <w:tc>
          <w:tcPr>
            <w:tcW w:w="1260" w:type="dxa"/>
            <w:tcBorders>
              <w:top w:val="single" w:sz="12" w:space="0" w:color="auto"/>
              <w:left w:val="single" w:sz="2" w:space="0" w:color="000000"/>
              <w:bottom w:val="single" w:sz="12" w:space="0" w:color="auto"/>
              <w:right w:val="single" w:sz="12" w:space="0" w:color="auto"/>
            </w:tcBorders>
            <w:vAlign w:val="center"/>
          </w:tcPr>
          <w:p w:rsidR="00000000" w:rsidRDefault="00661157">
            <w:pPr>
              <w:autoSpaceDE w:val="0"/>
              <w:autoSpaceDN w:val="0"/>
              <w:adjustRightInd w:val="0"/>
              <w:jc w:val="right"/>
              <w:rPr>
                <w:rFonts w:eastAsia="黑体"/>
                <w:b/>
                <w:i/>
                <w:color w:val="000000"/>
              </w:rPr>
            </w:pPr>
          </w:p>
        </w:tc>
        <w:tc>
          <w:tcPr>
            <w:tcW w:w="1365" w:type="dxa"/>
            <w:tcBorders>
              <w:top w:val="single" w:sz="12" w:space="0" w:color="auto"/>
              <w:left w:val="single" w:sz="12" w:space="0" w:color="auto"/>
              <w:bottom w:val="single" w:sz="12" w:space="0" w:color="auto"/>
              <w:right w:val="single" w:sz="12"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 xml:space="preserve">   131,515.84 </w:t>
            </w:r>
          </w:p>
        </w:tc>
      </w:tr>
      <w:tr w:rsidR="00000000">
        <w:tblPrEx>
          <w:tblCellMar>
            <w:top w:w="0" w:type="dxa"/>
            <w:bottom w:w="0" w:type="dxa"/>
          </w:tblCellMar>
        </w:tblPrEx>
        <w:trPr>
          <w:trHeight w:val="331"/>
        </w:trPr>
        <w:tc>
          <w:tcPr>
            <w:tcW w:w="1886" w:type="dxa"/>
            <w:gridSpan w:val="2"/>
            <w:tcBorders>
              <w:top w:val="single" w:sz="12" w:space="0" w:color="auto"/>
              <w:left w:val="single" w:sz="12" w:space="0" w:color="auto"/>
              <w:bottom w:val="single" w:sz="12" w:space="0" w:color="auto"/>
            </w:tcBorders>
            <w:vAlign w:val="center"/>
          </w:tcPr>
          <w:p w:rsidR="00000000" w:rsidRDefault="00661157">
            <w:pPr>
              <w:autoSpaceDE w:val="0"/>
              <w:autoSpaceDN w:val="0"/>
              <w:adjustRightInd w:val="0"/>
              <w:jc w:val="center"/>
              <w:rPr>
                <w:rFonts w:eastAsia="黑体"/>
                <w:b/>
                <w:color w:val="000000"/>
                <w:sz w:val="18"/>
              </w:rPr>
            </w:pPr>
            <w:r>
              <w:rPr>
                <w:rFonts w:eastAsia="黑体" w:hint="eastAsia"/>
                <w:b/>
                <w:color w:val="000000"/>
                <w:sz w:val="18"/>
              </w:rPr>
              <w:t>资金年净收益率</w:t>
            </w:r>
          </w:p>
        </w:tc>
        <w:tc>
          <w:tcPr>
            <w:tcW w:w="1632" w:type="dxa"/>
            <w:tcBorders>
              <w:top w:val="single" w:sz="12" w:space="0" w:color="auto"/>
              <w:left w:val="single" w:sz="12" w:space="0" w:color="auto"/>
              <w:bottom w:val="single" w:sz="12" w:space="0" w:color="auto"/>
              <w:right w:val="single" w:sz="2" w:space="0" w:color="000000"/>
            </w:tcBorders>
            <w:vAlign w:val="center"/>
          </w:tcPr>
          <w:p w:rsidR="00000000" w:rsidRDefault="00661157">
            <w:pPr>
              <w:autoSpaceDE w:val="0"/>
              <w:autoSpaceDN w:val="0"/>
              <w:adjustRightInd w:val="0"/>
              <w:jc w:val="right"/>
              <w:rPr>
                <w:rFonts w:eastAsia="黑体"/>
                <w:b/>
                <w:i/>
                <w:color w:val="000000"/>
              </w:rPr>
            </w:pPr>
          </w:p>
        </w:tc>
        <w:tc>
          <w:tcPr>
            <w:tcW w:w="1066" w:type="dxa"/>
            <w:tcBorders>
              <w:top w:val="single" w:sz="12" w:space="0" w:color="auto"/>
              <w:left w:val="single" w:sz="2" w:space="0" w:color="000000"/>
              <w:bottom w:val="single" w:sz="12" w:space="0" w:color="auto"/>
              <w:right w:val="single" w:sz="2" w:space="0" w:color="000000"/>
            </w:tcBorders>
            <w:vAlign w:val="center"/>
          </w:tcPr>
          <w:p w:rsidR="00000000" w:rsidRDefault="00661157">
            <w:pPr>
              <w:autoSpaceDE w:val="0"/>
              <w:autoSpaceDN w:val="0"/>
              <w:adjustRightInd w:val="0"/>
              <w:jc w:val="right"/>
              <w:rPr>
                <w:rFonts w:eastAsia="黑体"/>
                <w:b/>
                <w:i/>
                <w:color w:val="000000"/>
              </w:rPr>
            </w:pPr>
          </w:p>
        </w:tc>
        <w:tc>
          <w:tcPr>
            <w:tcW w:w="1221" w:type="dxa"/>
            <w:tcBorders>
              <w:top w:val="single" w:sz="12" w:space="0" w:color="auto"/>
              <w:left w:val="single" w:sz="2" w:space="0" w:color="000000"/>
              <w:bottom w:val="single" w:sz="12" w:space="0" w:color="auto"/>
              <w:right w:val="single" w:sz="2" w:space="0" w:color="000000"/>
            </w:tcBorders>
            <w:vAlign w:val="center"/>
          </w:tcPr>
          <w:p w:rsidR="00000000" w:rsidRDefault="00661157">
            <w:pPr>
              <w:autoSpaceDE w:val="0"/>
              <w:autoSpaceDN w:val="0"/>
              <w:adjustRightInd w:val="0"/>
              <w:jc w:val="right"/>
              <w:rPr>
                <w:rFonts w:eastAsia="黑体"/>
                <w:b/>
                <w:i/>
                <w:color w:val="000000"/>
              </w:rPr>
            </w:pPr>
          </w:p>
        </w:tc>
        <w:tc>
          <w:tcPr>
            <w:tcW w:w="1260" w:type="dxa"/>
            <w:tcBorders>
              <w:top w:val="single" w:sz="12" w:space="0" w:color="auto"/>
              <w:left w:val="single" w:sz="2" w:space="0" w:color="000000"/>
              <w:bottom w:val="single" w:sz="12" w:space="0" w:color="auto"/>
              <w:right w:val="single" w:sz="2" w:space="0" w:color="000000"/>
            </w:tcBorders>
            <w:vAlign w:val="center"/>
          </w:tcPr>
          <w:p w:rsidR="00000000" w:rsidRDefault="00661157">
            <w:pPr>
              <w:autoSpaceDE w:val="0"/>
              <w:autoSpaceDN w:val="0"/>
              <w:adjustRightInd w:val="0"/>
              <w:jc w:val="right"/>
              <w:rPr>
                <w:rFonts w:eastAsia="黑体"/>
                <w:b/>
                <w:i/>
                <w:color w:val="000000"/>
              </w:rPr>
            </w:pPr>
          </w:p>
        </w:tc>
        <w:tc>
          <w:tcPr>
            <w:tcW w:w="1260" w:type="dxa"/>
            <w:tcBorders>
              <w:top w:val="single" w:sz="12" w:space="0" w:color="auto"/>
              <w:left w:val="single" w:sz="2" w:space="0" w:color="000000"/>
              <w:bottom w:val="single" w:sz="12" w:space="0" w:color="auto"/>
              <w:right w:val="single" w:sz="12" w:space="0" w:color="auto"/>
            </w:tcBorders>
            <w:vAlign w:val="center"/>
          </w:tcPr>
          <w:p w:rsidR="00000000" w:rsidRDefault="00661157">
            <w:pPr>
              <w:autoSpaceDE w:val="0"/>
              <w:autoSpaceDN w:val="0"/>
              <w:adjustRightInd w:val="0"/>
              <w:jc w:val="right"/>
              <w:rPr>
                <w:rFonts w:eastAsia="黑体"/>
                <w:b/>
                <w:i/>
                <w:color w:val="000000"/>
              </w:rPr>
            </w:pPr>
          </w:p>
        </w:tc>
        <w:tc>
          <w:tcPr>
            <w:tcW w:w="1365" w:type="dxa"/>
            <w:tcBorders>
              <w:top w:val="single" w:sz="12" w:space="0" w:color="auto"/>
              <w:left w:val="single" w:sz="12" w:space="0" w:color="auto"/>
              <w:bottom w:val="single" w:sz="12" w:space="0" w:color="auto"/>
              <w:right w:val="single" w:sz="12" w:space="0" w:color="auto"/>
            </w:tcBorders>
            <w:vAlign w:val="center"/>
          </w:tcPr>
          <w:p w:rsidR="00000000" w:rsidRDefault="00661157">
            <w:pPr>
              <w:autoSpaceDE w:val="0"/>
              <w:autoSpaceDN w:val="0"/>
              <w:adjustRightInd w:val="0"/>
              <w:jc w:val="right"/>
              <w:rPr>
                <w:rFonts w:eastAsia="黑体"/>
                <w:b/>
                <w:i/>
                <w:color w:val="000000"/>
              </w:rPr>
            </w:pPr>
            <w:r>
              <w:rPr>
                <w:rFonts w:eastAsia="黑体"/>
                <w:b/>
                <w:i/>
                <w:color w:val="000000"/>
              </w:rPr>
              <w:t>4.0584%</w:t>
            </w:r>
          </w:p>
        </w:tc>
      </w:tr>
    </w:tbl>
    <w:p w:rsidR="00000000" w:rsidRDefault="00661157">
      <w:pPr>
        <w:rPr>
          <w:rFonts w:eastAsia="楷体_GB2312"/>
          <w:b/>
          <w:sz w:val="24"/>
        </w:rPr>
      </w:pPr>
    </w:p>
    <w:p w:rsidR="00000000" w:rsidRDefault="00661157">
      <w:pPr>
        <w:ind w:firstLine="495"/>
        <w:rPr>
          <w:rFonts w:eastAsia="楷体_GB2312" w:hint="eastAsia"/>
          <w:b/>
          <w:sz w:val="24"/>
        </w:rPr>
      </w:pPr>
      <w:r>
        <w:rPr>
          <w:rFonts w:eastAsia="楷体_GB2312" w:hint="eastAsia"/>
          <w:b/>
          <w:sz w:val="24"/>
        </w:rPr>
        <w:t>可见，在上述条件下，提前结束前面的经营租赁合同，然后再出租，对出租人是有利的。</w:t>
      </w:r>
    </w:p>
    <w:p w:rsidR="00000000" w:rsidRDefault="00661157">
      <w:pPr>
        <w:ind w:firstLine="495"/>
        <w:rPr>
          <w:rFonts w:eastAsia="楷体_GB2312" w:hint="eastAsia"/>
          <w:b/>
          <w:sz w:val="24"/>
        </w:rPr>
      </w:pPr>
      <w:r>
        <w:rPr>
          <w:rFonts w:eastAsia="楷体_GB2312" w:hint="eastAsia"/>
          <w:b/>
          <w:sz w:val="24"/>
        </w:rPr>
        <w:t>那么，为什么第二个承租人愿意租用已经用过二年的二手设备呢？这主要是它同第一个承租人对设备的先进性的要求不同。对它来说，只要适用就行。先进与否关系不大。而对同样的设备</w:t>
      </w:r>
      <w:r>
        <w:rPr>
          <w:rFonts w:eastAsia="楷体_GB2312" w:hint="eastAsia"/>
          <w:b/>
          <w:sz w:val="24"/>
        </w:rPr>
        <w:t>是否能以较低的租金租用，则是其主要考虑。在本例中，第一个承租人每年的租金是</w:t>
      </w:r>
      <w:r>
        <w:rPr>
          <w:rFonts w:eastAsia="楷体_GB2312" w:hint="eastAsia"/>
          <w:b/>
          <w:sz w:val="24"/>
        </w:rPr>
        <w:t>311,480.36</w:t>
      </w:r>
      <w:r>
        <w:rPr>
          <w:rFonts w:eastAsia="楷体_GB2312" w:hint="eastAsia"/>
          <w:b/>
          <w:sz w:val="24"/>
        </w:rPr>
        <w:t>元，第二个承租人每年的租金是</w:t>
      </w:r>
      <w:r>
        <w:rPr>
          <w:rFonts w:eastAsia="楷体_GB2312" w:hint="eastAsia"/>
          <w:b/>
          <w:sz w:val="24"/>
        </w:rPr>
        <w:t>223,532.10</w:t>
      </w:r>
      <w:r>
        <w:rPr>
          <w:rFonts w:eastAsia="楷体_GB2312" w:hint="eastAsia"/>
          <w:b/>
          <w:sz w:val="24"/>
        </w:rPr>
        <w:t>元，只及前者的</w:t>
      </w:r>
      <w:r>
        <w:rPr>
          <w:rFonts w:eastAsia="楷体_GB2312" w:hint="eastAsia"/>
          <w:b/>
          <w:sz w:val="24"/>
        </w:rPr>
        <w:t>71.76%</w:t>
      </w:r>
      <w:r>
        <w:rPr>
          <w:rFonts w:eastAsia="楷体_GB2312" w:hint="eastAsia"/>
          <w:b/>
          <w:sz w:val="24"/>
        </w:rPr>
        <w:t>。这个代价很可能是吸引第二个承租人的地方。</w:t>
      </w:r>
    </w:p>
    <w:p w:rsidR="00000000" w:rsidRDefault="00661157">
      <w:pPr>
        <w:ind w:firstLine="495"/>
        <w:rPr>
          <w:rFonts w:eastAsia="楷体_GB2312" w:hint="eastAsia"/>
          <w:b/>
          <w:sz w:val="24"/>
        </w:rPr>
      </w:pPr>
      <w:r>
        <w:rPr>
          <w:rFonts w:eastAsia="楷体_GB2312" w:hint="eastAsia"/>
          <w:b/>
          <w:sz w:val="24"/>
        </w:rPr>
        <w:t>然而，对于第一个承租人来说，如此高额的、如前所述相当于</w:t>
      </w:r>
      <w:r>
        <w:rPr>
          <w:rFonts w:eastAsia="楷体_GB2312" w:hint="eastAsia"/>
          <w:b/>
          <w:sz w:val="24"/>
        </w:rPr>
        <w:t>15.9608%</w:t>
      </w:r>
      <w:r>
        <w:rPr>
          <w:rFonts w:eastAsia="楷体_GB2312" w:hint="eastAsia"/>
          <w:b/>
          <w:sz w:val="24"/>
        </w:rPr>
        <w:t>的租赁年利率为什么可以接受呢？这是因为，它有一个绝对前提，就是认为该设备就先进性或实际用途而言，对它来说只有三年的使用价值。同时，它又没有再处置该设备的能力。如果它自己购买，成本是</w:t>
      </w:r>
      <w:r>
        <w:rPr>
          <w:rFonts w:eastAsia="楷体_GB2312" w:hint="eastAsia"/>
          <w:b/>
          <w:sz w:val="24"/>
        </w:rPr>
        <w:t>1,000,000.00</w:t>
      </w:r>
      <w:r>
        <w:rPr>
          <w:rFonts w:eastAsia="楷体_GB2312" w:hint="eastAsia"/>
          <w:b/>
          <w:sz w:val="24"/>
        </w:rPr>
        <w:t>元，现在租用，则三年租金的</w:t>
      </w:r>
      <w:r>
        <w:rPr>
          <w:rFonts w:eastAsia="楷体_GB2312" w:hint="eastAsia"/>
          <w:b/>
          <w:sz w:val="24"/>
        </w:rPr>
        <w:t>折现值是</w:t>
      </w:r>
      <w:r>
        <w:rPr>
          <w:rFonts w:eastAsia="楷体_GB2312" w:hint="eastAsia"/>
          <w:b/>
          <w:sz w:val="24"/>
        </w:rPr>
        <w:t>802,715.10</w:t>
      </w:r>
      <w:r>
        <w:rPr>
          <w:rFonts w:eastAsia="楷体_GB2312" w:hint="eastAsia"/>
          <w:b/>
          <w:sz w:val="24"/>
        </w:rPr>
        <w:t>元。两相权衡，还是租用合适。另外，租金的提高导致所得税应税数额的减少，也未尝不是某种“弥补”。</w:t>
      </w:r>
    </w:p>
    <w:p w:rsidR="00000000" w:rsidRDefault="00661157">
      <w:pPr>
        <w:rPr>
          <w:rFonts w:eastAsia="楷体_GB2312" w:hint="eastAsia"/>
          <w:b/>
          <w:sz w:val="24"/>
        </w:rPr>
      </w:pPr>
    </w:p>
    <w:p w:rsidR="00000000" w:rsidRDefault="00661157">
      <w:pPr>
        <w:rPr>
          <w:rFonts w:eastAsia="黑体" w:hint="eastAsia"/>
          <w:b/>
          <w:sz w:val="24"/>
        </w:rPr>
      </w:pPr>
      <w:r>
        <w:rPr>
          <w:rFonts w:eastAsia="楷体_GB2312" w:hint="eastAsia"/>
          <w:b/>
          <w:sz w:val="24"/>
        </w:rPr>
        <w:t xml:space="preserve">    </w:t>
      </w:r>
      <w:r>
        <w:rPr>
          <w:rFonts w:eastAsia="黑体" w:hint="eastAsia"/>
          <w:b/>
          <w:sz w:val="24"/>
        </w:rPr>
        <w:t>三、捆绑服务</w:t>
      </w:r>
    </w:p>
    <w:p w:rsidR="00000000" w:rsidRDefault="00661157">
      <w:pPr>
        <w:rPr>
          <w:rFonts w:eastAsia="楷体_GB2312" w:hint="eastAsia"/>
          <w:b/>
          <w:sz w:val="24"/>
        </w:rPr>
      </w:pPr>
    </w:p>
    <w:p w:rsidR="00000000" w:rsidRDefault="00661157">
      <w:pPr>
        <w:ind w:firstLine="495"/>
        <w:rPr>
          <w:rFonts w:eastAsia="楷体_GB2312" w:hint="eastAsia"/>
          <w:b/>
          <w:sz w:val="24"/>
        </w:rPr>
      </w:pPr>
      <w:r>
        <w:rPr>
          <w:rFonts w:eastAsia="楷体_GB2312" w:hint="eastAsia"/>
          <w:b/>
          <w:sz w:val="24"/>
        </w:rPr>
        <w:t>就出租人是否向承租人提供服务而言，在典型的融资租赁中，通常出租人都没有服务功能，而在经营租赁中，则多半附带有服务功能。包括维修保养、安装调试、操作使用、技术培训、软件升级，以及保险等等。当然，这一点不宜绝对化，例如，在以飞机为租赁物的经营租赁中，除了少数“湿租”外，则又都是并不提供服务的。</w:t>
      </w:r>
      <w:r>
        <w:rPr>
          <w:rFonts w:eastAsia="楷体_GB2312" w:hint="eastAsia"/>
          <w:b/>
          <w:sz w:val="24"/>
        </w:rPr>
        <w:t xml:space="preserve"> </w:t>
      </w:r>
    </w:p>
    <w:p w:rsidR="00000000" w:rsidRDefault="00661157">
      <w:pPr>
        <w:ind w:firstLine="495"/>
        <w:rPr>
          <w:rFonts w:eastAsia="黑体" w:hint="eastAsia"/>
          <w:b/>
          <w:sz w:val="24"/>
        </w:rPr>
      </w:pPr>
    </w:p>
    <w:p w:rsidR="00000000" w:rsidRDefault="00661157">
      <w:pPr>
        <w:ind w:firstLine="495"/>
        <w:rPr>
          <w:rFonts w:eastAsia="黑体" w:hint="eastAsia"/>
          <w:b/>
          <w:sz w:val="24"/>
        </w:rPr>
      </w:pPr>
      <w:r>
        <w:rPr>
          <w:rFonts w:eastAsia="黑体" w:hint="eastAsia"/>
          <w:b/>
          <w:sz w:val="24"/>
        </w:rPr>
        <w:lastRenderedPageBreak/>
        <w:t>四、会计处理</w:t>
      </w:r>
    </w:p>
    <w:p w:rsidR="00000000" w:rsidRDefault="00661157">
      <w:pPr>
        <w:rPr>
          <w:rFonts w:eastAsia="楷体_GB2312" w:hint="eastAsia"/>
          <w:b/>
          <w:sz w:val="24"/>
        </w:rPr>
      </w:pPr>
    </w:p>
    <w:p w:rsidR="00000000" w:rsidRDefault="00661157">
      <w:pPr>
        <w:rPr>
          <w:rFonts w:eastAsia="楷体_GB2312" w:hint="eastAsia"/>
          <w:b/>
          <w:sz w:val="24"/>
        </w:rPr>
      </w:pPr>
      <w:r>
        <w:rPr>
          <w:rFonts w:eastAsia="楷体_GB2312" w:hint="eastAsia"/>
          <w:b/>
          <w:sz w:val="24"/>
        </w:rPr>
        <w:t xml:space="preserve">    </w:t>
      </w:r>
      <w:r>
        <w:rPr>
          <w:rFonts w:eastAsia="楷体_GB2312" w:hint="eastAsia"/>
          <w:b/>
          <w:sz w:val="24"/>
        </w:rPr>
        <w:t>就国际会计准则</w:t>
      </w:r>
      <w:r>
        <w:rPr>
          <w:rFonts w:eastAsia="楷体_GB2312" w:hint="eastAsia"/>
          <w:b/>
          <w:sz w:val="24"/>
        </w:rPr>
        <w:t xml:space="preserve">IAS 17 </w:t>
      </w:r>
      <w:r>
        <w:rPr>
          <w:rFonts w:eastAsia="楷体_GB2312" w:hint="eastAsia"/>
          <w:b/>
          <w:sz w:val="24"/>
        </w:rPr>
        <w:t>和我国的《</w:t>
      </w:r>
      <w:r>
        <w:rPr>
          <w:rFonts w:eastAsia="黑体" w:hint="eastAsia"/>
          <w:b/>
          <w:sz w:val="24"/>
        </w:rPr>
        <w:t>企业</w:t>
      </w:r>
      <w:r>
        <w:rPr>
          <w:rFonts w:eastAsia="黑体" w:hint="eastAsia"/>
          <w:b/>
          <w:sz w:val="24"/>
        </w:rPr>
        <w:t>会计准则－租赁</w:t>
      </w:r>
      <w:r>
        <w:rPr>
          <w:rFonts w:eastAsia="楷体_GB2312" w:hint="eastAsia"/>
          <w:b/>
          <w:sz w:val="24"/>
        </w:rPr>
        <w:t>》而言，经营租赁同融资租赁的根本区别在于，融资租赁合同中的租赁资产，是由承租人资本化的。具体地说，是由承租人以租赁融资金额借记融资租赁项下固定资产，并计提折旧，以应付租金分别在期初贷计应付租赁融资额和在各月贷计应付租赁利息。也就是说，是承租人的表内业务。经营租赁则不然，租赁资产仍是出租人的资产，由出租人计提折旧，而与承租人无关。各次支付租金时，承租人记当期费用，出租人记当期收入。也就是说，对于承租人而言，是不影响其负债金额的表外业务。就计提折旧而言，在一定条件下，融资租赁的承租人可以加速折旧。</w:t>
      </w:r>
      <w:r>
        <w:rPr>
          <w:rFonts w:eastAsia="楷体_GB2312" w:hint="eastAsia"/>
          <w:b/>
          <w:sz w:val="24"/>
        </w:rPr>
        <w:t>经营租赁的出租人则无此优惠。</w:t>
      </w:r>
    </w:p>
    <w:p w:rsidR="00000000" w:rsidRDefault="00661157">
      <w:pPr>
        <w:rPr>
          <w:rFonts w:eastAsia="楷体_GB2312" w:hint="eastAsia"/>
          <w:b/>
          <w:sz w:val="24"/>
        </w:rPr>
      </w:pPr>
    </w:p>
    <w:p w:rsidR="00000000" w:rsidRDefault="00661157">
      <w:pPr>
        <w:numPr>
          <w:ilvl w:val="0"/>
          <w:numId w:val="14"/>
        </w:numPr>
        <w:rPr>
          <w:rFonts w:eastAsia="黑体" w:hint="eastAsia"/>
          <w:b/>
          <w:sz w:val="24"/>
        </w:rPr>
      </w:pPr>
      <w:r>
        <w:rPr>
          <w:rFonts w:eastAsia="黑体" w:hint="eastAsia"/>
          <w:b/>
          <w:sz w:val="24"/>
        </w:rPr>
        <w:t>税</w:t>
      </w:r>
      <w:r>
        <w:rPr>
          <w:rFonts w:eastAsia="黑体" w:hint="eastAsia"/>
          <w:b/>
          <w:sz w:val="24"/>
        </w:rPr>
        <w:t xml:space="preserve">  </w:t>
      </w:r>
      <w:r>
        <w:rPr>
          <w:rFonts w:eastAsia="黑体" w:hint="eastAsia"/>
          <w:b/>
          <w:sz w:val="24"/>
        </w:rPr>
        <w:t>负</w:t>
      </w:r>
    </w:p>
    <w:p w:rsidR="00000000" w:rsidRDefault="00661157">
      <w:pPr>
        <w:rPr>
          <w:rFonts w:eastAsia="楷体_GB2312" w:hint="eastAsia"/>
          <w:b/>
          <w:sz w:val="24"/>
        </w:rPr>
      </w:pPr>
    </w:p>
    <w:p w:rsidR="00000000" w:rsidRPr="006B7C88" w:rsidRDefault="00661157">
      <w:pPr>
        <w:ind w:firstLine="480"/>
        <w:rPr>
          <w:rFonts w:eastAsia="楷体_GB2312" w:hint="eastAsia"/>
          <w:b/>
          <w:color w:val="FF0000"/>
          <w:sz w:val="24"/>
        </w:rPr>
      </w:pPr>
      <w:r w:rsidRPr="006B7C88">
        <w:rPr>
          <w:rFonts w:eastAsia="楷体_GB2312" w:hint="eastAsia"/>
          <w:b/>
          <w:color w:val="FF0000"/>
          <w:sz w:val="24"/>
        </w:rPr>
        <w:t>在我国当前，对出租人而言，经营租赁同融资租赁的税负区别在于，经营租赁的营业税以租金为税基，税率是</w:t>
      </w:r>
      <w:r w:rsidRPr="006B7C88">
        <w:rPr>
          <w:rFonts w:eastAsia="楷体_GB2312" w:hint="eastAsia"/>
          <w:b/>
          <w:color w:val="FF0000"/>
          <w:sz w:val="24"/>
        </w:rPr>
        <w:t>5.5%</w:t>
      </w:r>
      <w:r w:rsidRPr="006B7C88">
        <w:rPr>
          <w:rFonts w:eastAsia="楷体_GB2312" w:hint="eastAsia"/>
          <w:b/>
          <w:color w:val="FF0000"/>
          <w:sz w:val="24"/>
        </w:rPr>
        <w:t>；融资租赁的营业税以租金中所含的收益为税基，税率</w:t>
      </w:r>
      <w:r w:rsidRPr="006B7C88">
        <w:rPr>
          <w:rFonts w:eastAsia="楷体_GB2312" w:hint="eastAsia"/>
          <w:b/>
          <w:color w:val="FF0000"/>
          <w:sz w:val="24"/>
        </w:rPr>
        <w:t>2002</w:t>
      </w:r>
      <w:r w:rsidRPr="006B7C88">
        <w:rPr>
          <w:rFonts w:eastAsia="楷体_GB2312" w:hint="eastAsia"/>
          <w:b/>
          <w:color w:val="FF0000"/>
          <w:sz w:val="24"/>
        </w:rPr>
        <w:t>年是</w:t>
      </w:r>
      <w:r w:rsidRPr="006B7C88">
        <w:rPr>
          <w:rFonts w:eastAsia="楷体_GB2312" w:hint="eastAsia"/>
          <w:b/>
          <w:color w:val="FF0000"/>
          <w:sz w:val="24"/>
        </w:rPr>
        <w:t>6%</w:t>
      </w:r>
      <w:r w:rsidRPr="006B7C88">
        <w:rPr>
          <w:rFonts w:eastAsia="楷体_GB2312" w:hint="eastAsia"/>
          <w:b/>
          <w:color w:val="FF0000"/>
          <w:sz w:val="24"/>
        </w:rPr>
        <w:t>，</w:t>
      </w:r>
      <w:r w:rsidRPr="006B7C88">
        <w:rPr>
          <w:rFonts w:eastAsia="楷体_GB2312" w:hint="eastAsia"/>
          <w:b/>
          <w:color w:val="FF0000"/>
          <w:sz w:val="24"/>
        </w:rPr>
        <w:t>2003</w:t>
      </w:r>
      <w:r w:rsidRPr="006B7C88">
        <w:rPr>
          <w:rFonts w:eastAsia="楷体_GB2312" w:hint="eastAsia"/>
          <w:b/>
          <w:color w:val="FF0000"/>
          <w:sz w:val="24"/>
        </w:rPr>
        <w:t>年起是</w:t>
      </w:r>
      <w:r w:rsidRPr="006B7C88">
        <w:rPr>
          <w:rFonts w:eastAsia="楷体_GB2312" w:hint="eastAsia"/>
          <w:b/>
          <w:color w:val="FF0000"/>
          <w:sz w:val="24"/>
        </w:rPr>
        <w:t>5.5%</w:t>
      </w:r>
      <w:r w:rsidRPr="006B7C88">
        <w:rPr>
          <w:rFonts w:eastAsia="楷体_GB2312" w:hint="eastAsia"/>
          <w:b/>
          <w:color w:val="FF0000"/>
          <w:sz w:val="24"/>
        </w:rPr>
        <w:t>。</w:t>
      </w:r>
      <w:bookmarkStart w:id="0" w:name="_GoBack"/>
      <w:bookmarkEnd w:id="0"/>
    </w:p>
    <w:p w:rsidR="00000000" w:rsidRDefault="00661157">
      <w:pPr>
        <w:rPr>
          <w:rFonts w:eastAsia="楷体_GB2312" w:hint="eastAsia"/>
          <w:b/>
          <w:sz w:val="24"/>
        </w:rPr>
      </w:pPr>
    </w:p>
    <w:p w:rsidR="00000000" w:rsidRDefault="00661157">
      <w:pPr>
        <w:jc w:val="center"/>
        <w:rPr>
          <w:rFonts w:eastAsia="黑体" w:hint="eastAsia"/>
          <w:b/>
          <w:sz w:val="28"/>
        </w:rPr>
      </w:pPr>
      <w:r>
        <w:rPr>
          <w:rFonts w:eastAsia="黑体" w:hint="eastAsia"/>
          <w:b/>
          <w:sz w:val="28"/>
        </w:rPr>
        <w:t>四、经营租赁对各个参与者的好处</w:t>
      </w:r>
    </w:p>
    <w:p w:rsidR="00000000" w:rsidRDefault="00661157">
      <w:pPr>
        <w:rPr>
          <w:rFonts w:eastAsia="楷体_GB2312" w:hint="eastAsia"/>
          <w:b/>
          <w:sz w:val="24"/>
        </w:rPr>
      </w:pPr>
    </w:p>
    <w:p w:rsidR="00000000" w:rsidRDefault="00661157">
      <w:pPr>
        <w:rPr>
          <w:rFonts w:eastAsia="黑体" w:hint="eastAsia"/>
          <w:b/>
          <w:sz w:val="24"/>
        </w:rPr>
      </w:pPr>
      <w:r>
        <w:rPr>
          <w:rFonts w:eastAsia="黑体" w:hint="eastAsia"/>
          <w:b/>
          <w:sz w:val="24"/>
        </w:rPr>
        <w:t xml:space="preserve">    </w:t>
      </w:r>
      <w:r>
        <w:rPr>
          <w:rFonts w:eastAsia="黑体" w:hint="eastAsia"/>
          <w:b/>
          <w:sz w:val="24"/>
        </w:rPr>
        <w:t>一、对承租人的好处</w:t>
      </w:r>
    </w:p>
    <w:p w:rsidR="00000000" w:rsidRDefault="00661157">
      <w:pPr>
        <w:ind w:left="570"/>
        <w:rPr>
          <w:rFonts w:eastAsia="楷体_GB2312" w:hint="eastAsia"/>
          <w:b/>
          <w:sz w:val="24"/>
        </w:rPr>
      </w:pPr>
    </w:p>
    <w:p w:rsidR="00000000" w:rsidRDefault="00661157">
      <w:pPr>
        <w:numPr>
          <w:ilvl w:val="0"/>
          <w:numId w:val="15"/>
        </w:numPr>
        <w:rPr>
          <w:rFonts w:eastAsia="楷体_GB2312" w:hint="eastAsia"/>
          <w:b/>
          <w:sz w:val="24"/>
        </w:rPr>
      </w:pPr>
      <w:r>
        <w:rPr>
          <w:rFonts w:eastAsia="楷体_GB2312" w:hint="eastAsia"/>
          <w:b/>
          <w:sz w:val="24"/>
        </w:rPr>
        <w:t>不承担租赁物余值风险。就租赁物在经营租赁期限届满时的再处置而言，最主要的风险可能是因技术老化而社会贬值。在经营租赁中，这样的风险，是出租人承担的。</w:t>
      </w:r>
    </w:p>
    <w:p w:rsidR="00000000" w:rsidRDefault="00661157">
      <w:pPr>
        <w:numPr>
          <w:ilvl w:val="0"/>
          <w:numId w:val="15"/>
        </w:numPr>
        <w:rPr>
          <w:rFonts w:eastAsia="楷体_GB2312" w:hint="eastAsia"/>
          <w:b/>
          <w:sz w:val="24"/>
        </w:rPr>
      </w:pPr>
      <w:r>
        <w:rPr>
          <w:rFonts w:eastAsia="楷体_GB2312" w:hint="eastAsia"/>
          <w:b/>
          <w:sz w:val="24"/>
        </w:rPr>
        <w:t>财务指标优化。经营租赁可以使承租人的财务指标优化的根本原因</w:t>
      </w:r>
      <w:r>
        <w:rPr>
          <w:rFonts w:eastAsia="楷体_GB2312" w:hint="eastAsia"/>
          <w:b/>
          <w:sz w:val="24"/>
        </w:rPr>
        <w:t>，在于它是表外融资。由于租赁物不记为它的资产，因此，在同样的利润下，其资产利润率会提高。由于租金不记为其负债，因此，其流动比率和自有资金负债率也会提高。对于其现有的自有资金负债率已经达到临界状态的承租人来说，用经营租赁的方式租入所需设备，而不是直接购买，可以避免其贷款债权人提出苛刻的贷款条件。由于其租金支出在利润表内是按当期费用确认的，因此，其早年费用会低于融资租赁或借款中的用直线法折旧加上逐期下降的利息支出之和。在国外，对于上市公司来说，由于每股收益率是其最敏感的指标，因此，这一效果颇受重视。同直接购买或</w:t>
      </w:r>
      <w:r>
        <w:rPr>
          <w:rFonts w:eastAsia="楷体_GB2312" w:hint="eastAsia"/>
          <w:b/>
          <w:sz w:val="24"/>
        </w:rPr>
        <w:t>融资租赁相比，经营租赁可以使承租人避免因资产的未来市值低于账面价值而作减值准备时所造成的账面亏损。</w:t>
      </w:r>
    </w:p>
    <w:p w:rsidR="00000000" w:rsidRDefault="00661157">
      <w:pPr>
        <w:numPr>
          <w:ilvl w:val="0"/>
          <w:numId w:val="15"/>
        </w:numPr>
        <w:rPr>
          <w:rFonts w:eastAsia="楷体_GB2312" w:hint="eastAsia"/>
          <w:b/>
          <w:sz w:val="24"/>
        </w:rPr>
      </w:pPr>
      <w:r>
        <w:rPr>
          <w:rFonts w:eastAsia="楷体_GB2312" w:hint="eastAsia"/>
          <w:b/>
          <w:sz w:val="24"/>
        </w:rPr>
        <w:t>税负减轻。由于经营租赁的承租人的租金支出，都是作为当期费用而在所得税前列支的，相当于所得税的抵扣。因此，其在减轻税负方面的好处是明显的。</w:t>
      </w:r>
    </w:p>
    <w:p w:rsidR="00000000" w:rsidRDefault="00661157">
      <w:pPr>
        <w:rPr>
          <w:rFonts w:eastAsia="楷体_GB2312" w:hint="eastAsia"/>
          <w:b/>
          <w:sz w:val="24"/>
        </w:rPr>
      </w:pPr>
    </w:p>
    <w:p w:rsidR="00000000" w:rsidRDefault="00661157">
      <w:pPr>
        <w:numPr>
          <w:ilvl w:val="0"/>
          <w:numId w:val="16"/>
        </w:numPr>
        <w:rPr>
          <w:rFonts w:eastAsia="黑体" w:hint="eastAsia"/>
          <w:b/>
          <w:sz w:val="24"/>
        </w:rPr>
      </w:pPr>
      <w:r>
        <w:rPr>
          <w:rFonts w:eastAsia="黑体" w:hint="eastAsia"/>
          <w:b/>
          <w:sz w:val="24"/>
        </w:rPr>
        <w:t>对出租人的好处</w:t>
      </w:r>
    </w:p>
    <w:p w:rsidR="00000000" w:rsidRDefault="00661157">
      <w:pPr>
        <w:rPr>
          <w:rFonts w:eastAsia="楷体_GB2312" w:hint="eastAsia"/>
          <w:b/>
          <w:sz w:val="24"/>
        </w:rPr>
      </w:pPr>
    </w:p>
    <w:p w:rsidR="00000000" w:rsidRDefault="00661157">
      <w:pPr>
        <w:numPr>
          <w:ilvl w:val="0"/>
          <w:numId w:val="15"/>
        </w:numPr>
        <w:rPr>
          <w:rFonts w:eastAsia="楷体_GB2312" w:hint="eastAsia"/>
          <w:b/>
          <w:sz w:val="24"/>
        </w:rPr>
      </w:pPr>
      <w:r>
        <w:rPr>
          <w:rFonts w:eastAsia="楷体_GB2312" w:hint="eastAsia"/>
          <w:b/>
          <w:sz w:val="24"/>
        </w:rPr>
        <w:t>扩大市场。在过剩经济这一宏观环境中，融资租赁的市场受到相当程度的挤压。选择开展经营租赁，是许多租赁公司保持甚至扩大市场份额的重要途径。</w:t>
      </w:r>
    </w:p>
    <w:p w:rsidR="00000000" w:rsidRDefault="00661157">
      <w:pPr>
        <w:numPr>
          <w:ilvl w:val="0"/>
          <w:numId w:val="15"/>
        </w:numPr>
        <w:rPr>
          <w:rFonts w:eastAsia="楷体_GB2312" w:hint="eastAsia"/>
          <w:b/>
          <w:sz w:val="24"/>
        </w:rPr>
      </w:pPr>
      <w:r>
        <w:rPr>
          <w:rFonts w:eastAsia="楷体_GB2312" w:hint="eastAsia"/>
          <w:b/>
          <w:sz w:val="24"/>
        </w:rPr>
        <w:t>专业化所带来的市场优势及附加利益。如前所述，经营租赁涉及对承租人的可能是全程的服务以及对租赁物的再处置，它必需有对租赁</w:t>
      </w:r>
      <w:r>
        <w:rPr>
          <w:rFonts w:eastAsia="楷体_GB2312" w:hint="eastAsia"/>
          <w:b/>
          <w:sz w:val="24"/>
        </w:rPr>
        <w:t>物的一定的专业知识和技能。因此，各家租赁公司不可能象融资租赁那样以任何适合于租赁的标的物为租赁物，而是只会限于某类设备。其结果是经营租赁市场的细分，各家租赁公司将争取利用自己在该类设备方面的专长来取得市场优势，保持和扩大市场份额。而所谓的附加利益，是指服务收入和租赁物再处置中所或有的收益。当然，这样的好处首先来自同特定卖主的紧密合作。</w:t>
      </w:r>
    </w:p>
    <w:p w:rsidR="00000000" w:rsidRDefault="00661157">
      <w:pPr>
        <w:numPr>
          <w:ilvl w:val="0"/>
          <w:numId w:val="15"/>
        </w:numPr>
        <w:rPr>
          <w:rFonts w:eastAsia="楷体_GB2312" w:hint="eastAsia"/>
          <w:b/>
          <w:sz w:val="24"/>
        </w:rPr>
      </w:pPr>
      <w:r>
        <w:rPr>
          <w:rFonts w:eastAsia="楷体_GB2312" w:hint="eastAsia"/>
          <w:b/>
          <w:sz w:val="24"/>
        </w:rPr>
        <w:lastRenderedPageBreak/>
        <w:t>所得税税负减轻。租赁资产由出租人提取折旧，会使得出租人的账面利润下降。但是，折旧费用并非出租人的现金流出，而由于有该折旧费用，则一方面将是出租人账面利润的减小；另一方面又会使</w:t>
      </w:r>
      <w:r>
        <w:rPr>
          <w:rFonts w:eastAsia="楷体_GB2312" w:hint="eastAsia"/>
          <w:b/>
          <w:sz w:val="24"/>
        </w:rPr>
        <w:t>得出租人的所得税税基减小，因而应纳所得税的数额减小。结果将是出租人税后净现值的增大。</w:t>
      </w:r>
    </w:p>
    <w:p w:rsidR="00000000" w:rsidRDefault="00661157">
      <w:pPr>
        <w:rPr>
          <w:rFonts w:eastAsia="楷体_GB2312" w:hint="eastAsia"/>
          <w:b/>
          <w:sz w:val="24"/>
        </w:rPr>
      </w:pPr>
    </w:p>
    <w:p w:rsidR="00000000" w:rsidRDefault="00661157">
      <w:pPr>
        <w:rPr>
          <w:rFonts w:eastAsia="黑体" w:hint="eastAsia"/>
          <w:b/>
          <w:sz w:val="24"/>
        </w:rPr>
      </w:pPr>
      <w:r>
        <w:rPr>
          <w:rFonts w:eastAsia="黑体" w:hint="eastAsia"/>
          <w:b/>
          <w:sz w:val="24"/>
        </w:rPr>
        <w:t xml:space="preserve">    </w:t>
      </w:r>
      <w:r>
        <w:rPr>
          <w:rFonts w:eastAsia="黑体" w:hint="eastAsia"/>
          <w:b/>
          <w:sz w:val="24"/>
        </w:rPr>
        <w:t>三、对卖主的好处</w:t>
      </w:r>
    </w:p>
    <w:p w:rsidR="00000000" w:rsidRDefault="00661157">
      <w:pPr>
        <w:rPr>
          <w:rFonts w:eastAsia="楷体_GB2312" w:hint="eastAsia"/>
          <w:b/>
          <w:sz w:val="24"/>
        </w:rPr>
      </w:pPr>
    </w:p>
    <w:p w:rsidR="00000000" w:rsidRDefault="00661157">
      <w:pPr>
        <w:numPr>
          <w:ilvl w:val="0"/>
          <w:numId w:val="15"/>
        </w:numPr>
        <w:rPr>
          <w:rFonts w:eastAsia="楷体_GB2312" w:hint="eastAsia"/>
          <w:b/>
          <w:sz w:val="24"/>
        </w:rPr>
      </w:pPr>
      <w:r>
        <w:rPr>
          <w:rFonts w:eastAsia="楷体_GB2312" w:hint="eastAsia"/>
          <w:b/>
          <w:sz w:val="24"/>
        </w:rPr>
        <w:t>加大竞争优势，扩大市场份额。卖主的最大利益就是实现销售。但是，产品使用者会由于种种原因而不直接购买。对于这类用户，如果能够向它提供产品，能够有人融资，能够将产品和服务捆绑在一起，能够在它不想用时收回，那么，该产品的市场就会大大地扩展。如前所述，这样的好处有赖于同租赁公司的紧密合作。</w:t>
      </w:r>
    </w:p>
    <w:p w:rsidR="00000000" w:rsidRDefault="00661157">
      <w:pPr>
        <w:numPr>
          <w:ilvl w:val="0"/>
          <w:numId w:val="15"/>
        </w:numPr>
        <w:rPr>
          <w:rFonts w:eastAsia="楷体_GB2312" w:hint="eastAsia"/>
          <w:b/>
          <w:sz w:val="24"/>
        </w:rPr>
      </w:pPr>
      <w:r>
        <w:rPr>
          <w:rFonts w:eastAsia="楷体_GB2312" w:hint="eastAsia"/>
          <w:b/>
          <w:sz w:val="24"/>
        </w:rPr>
        <w:t>强化同客户的联系。由于有全程服务，由于对租赁物的各种方式的再处置，包括在租赁期限届满时以旧换新之类，使得卖主同客</w:t>
      </w:r>
      <w:r>
        <w:rPr>
          <w:rFonts w:eastAsia="楷体_GB2312" w:hint="eastAsia"/>
          <w:b/>
          <w:sz w:val="24"/>
        </w:rPr>
        <w:t>户的联系会变得十分紧密，从而可以长期保持自己稳定的客户群。</w:t>
      </w:r>
    </w:p>
    <w:p w:rsidR="00000000" w:rsidRDefault="00661157">
      <w:pPr>
        <w:numPr>
          <w:ilvl w:val="0"/>
          <w:numId w:val="15"/>
        </w:numPr>
        <w:rPr>
          <w:rFonts w:eastAsia="楷体_GB2312" w:hint="eastAsia"/>
          <w:b/>
          <w:sz w:val="24"/>
        </w:rPr>
      </w:pPr>
      <w:r>
        <w:rPr>
          <w:rFonts w:eastAsia="楷体_GB2312" w:hint="eastAsia"/>
          <w:b/>
          <w:sz w:val="24"/>
        </w:rPr>
        <w:t>增加保养良好的二手设备来源。在广大客户中，总会有一些客户为了节约租金开支而愿意用二手设备。但是，这些设备必须是保养良好、使用效果正常的。经营租赁恰恰是由于由卖主提供全程服务而可以成为一个保养良好的二手设备来源。</w:t>
      </w:r>
    </w:p>
    <w:p w:rsidR="00000000" w:rsidRDefault="00661157">
      <w:pPr>
        <w:rPr>
          <w:rFonts w:eastAsia="楷体_GB2312" w:hint="eastAsia"/>
          <w:b/>
          <w:sz w:val="24"/>
        </w:rPr>
      </w:pPr>
    </w:p>
    <w:p w:rsidR="00000000" w:rsidRDefault="00661157">
      <w:pPr>
        <w:jc w:val="center"/>
        <w:rPr>
          <w:rFonts w:eastAsia="黑体" w:hint="eastAsia"/>
          <w:b/>
          <w:sz w:val="28"/>
        </w:rPr>
      </w:pPr>
      <w:r>
        <w:rPr>
          <w:rFonts w:eastAsia="黑体" w:hint="eastAsia"/>
          <w:b/>
          <w:sz w:val="28"/>
        </w:rPr>
        <w:t>五、经营租赁对于出租人而言的内在风险</w:t>
      </w:r>
    </w:p>
    <w:p w:rsidR="00000000" w:rsidRDefault="00661157">
      <w:pPr>
        <w:rPr>
          <w:rFonts w:eastAsia="楷体_GB2312" w:hint="eastAsia"/>
          <w:b/>
          <w:sz w:val="24"/>
        </w:rPr>
      </w:pPr>
    </w:p>
    <w:p w:rsidR="00000000" w:rsidRDefault="00661157">
      <w:pPr>
        <w:rPr>
          <w:rFonts w:eastAsia="楷体_GB2312" w:hint="eastAsia"/>
          <w:b/>
          <w:sz w:val="24"/>
        </w:rPr>
      </w:pPr>
    </w:p>
    <w:p w:rsidR="00000000" w:rsidRDefault="00661157">
      <w:pPr>
        <w:rPr>
          <w:rFonts w:eastAsia="黑体" w:hint="eastAsia"/>
          <w:b/>
          <w:sz w:val="24"/>
        </w:rPr>
      </w:pPr>
      <w:r>
        <w:rPr>
          <w:rFonts w:eastAsia="楷体_GB2312" w:hint="eastAsia"/>
          <w:b/>
          <w:sz w:val="24"/>
        </w:rPr>
        <w:t xml:space="preserve">    </w:t>
      </w:r>
      <w:r>
        <w:rPr>
          <w:rFonts w:eastAsia="黑体" w:hint="eastAsia"/>
          <w:b/>
          <w:sz w:val="24"/>
        </w:rPr>
        <w:t>一、余值风险</w:t>
      </w:r>
    </w:p>
    <w:p w:rsidR="00000000" w:rsidRDefault="00661157">
      <w:pPr>
        <w:rPr>
          <w:rFonts w:eastAsia="楷体_GB2312" w:hint="eastAsia"/>
          <w:b/>
          <w:sz w:val="24"/>
        </w:rPr>
      </w:pPr>
    </w:p>
    <w:p w:rsidR="00000000" w:rsidRDefault="00661157">
      <w:pPr>
        <w:rPr>
          <w:rFonts w:eastAsia="楷体_GB2312" w:hint="eastAsia"/>
          <w:b/>
          <w:sz w:val="24"/>
        </w:rPr>
      </w:pPr>
      <w:r>
        <w:rPr>
          <w:rFonts w:eastAsia="楷体_GB2312" w:hint="eastAsia"/>
          <w:b/>
          <w:sz w:val="24"/>
        </w:rPr>
        <w:t xml:space="preserve">    </w:t>
      </w:r>
      <w:r>
        <w:rPr>
          <w:rFonts w:eastAsia="楷体_GB2312" w:hint="eastAsia"/>
          <w:b/>
          <w:sz w:val="24"/>
        </w:rPr>
        <w:t>所谓余值风险，就是出租人收回租赁物再处置时是否能实现其余值的风险。在国外，有若干减轻此类风险的方式。当然，余值风险管理、再处置能力以及技术，就成为从事经营租赁的租赁</w:t>
      </w:r>
      <w:r>
        <w:rPr>
          <w:rFonts w:eastAsia="楷体_GB2312" w:hint="eastAsia"/>
          <w:b/>
          <w:sz w:val="24"/>
        </w:rPr>
        <w:t>公司的重要业务内容了。</w:t>
      </w:r>
    </w:p>
    <w:p w:rsidR="00000000" w:rsidRDefault="00661157">
      <w:pPr>
        <w:rPr>
          <w:rFonts w:eastAsia="楷体_GB2312" w:hint="eastAsia"/>
          <w:b/>
          <w:sz w:val="24"/>
        </w:rPr>
      </w:pPr>
    </w:p>
    <w:p w:rsidR="00000000" w:rsidRDefault="00661157">
      <w:pPr>
        <w:rPr>
          <w:rFonts w:eastAsia="黑体" w:hint="eastAsia"/>
          <w:b/>
          <w:sz w:val="24"/>
        </w:rPr>
      </w:pPr>
      <w:r>
        <w:rPr>
          <w:rFonts w:eastAsia="楷体_GB2312" w:hint="eastAsia"/>
          <w:b/>
          <w:sz w:val="24"/>
        </w:rPr>
        <w:t xml:space="preserve">   </w:t>
      </w:r>
      <w:r>
        <w:rPr>
          <w:rFonts w:eastAsia="黑体" w:hint="eastAsia"/>
          <w:b/>
          <w:sz w:val="24"/>
        </w:rPr>
        <w:t xml:space="preserve"> </w:t>
      </w:r>
      <w:r>
        <w:rPr>
          <w:rFonts w:eastAsia="黑体" w:hint="eastAsia"/>
          <w:b/>
          <w:sz w:val="24"/>
        </w:rPr>
        <w:t>二、会计信息被扭曲的风险</w:t>
      </w:r>
    </w:p>
    <w:p w:rsidR="00000000" w:rsidRDefault="00661157">
      <w:pPr>
        <w:rPr>
          <w:rFonts w:eastAsia="黑体" w:hint="eastAsia"/>
          <w:b/>
          <w:sz w:val="24"/>
        </w:rPr>
      </w:pPr>
    </w:p>
    <w:p w:rsidR="00000000" w:rsidRDefault="00661157">
      <w:pPr>
        <w:ind w:firstLine="480"/>
        <w:rPr>
          <w:rFonts w:eastAsia="楷体_GB2312" w:hint="eastAsia"/>
          <w:b/>
          <w:sz w:val="24"/>
        </w:rPr>
      </w:pPr>
      <w:r>
        <w:rPr>
          <w:rFonts w:eastAsia="楷体_GB2312" w:hint="eastAsia"/>
          <w:b/>
          <w:sz w:val="24"/>
        </w:rPr>
        <w:t>由于租赁物由出租人提取折旧，因此，利润表上的当期收益是租金减折旧后的余额。这样，账面收益就会减少，会造成误解。现举例说明。</w:t>
      </w:r>
    </w:p>
    <w:p w:rsidR="00000000" w:rsidRDefault="00661157">
      <w:pPr>
        <w:ind w:firstLine="480"/>
        <w:rPr>
          <w:rFonts w:eastAsia="楷体_GB2312" w:hint="eastAsia"/>
          <w:b/>
          <w:sz w:val="24"/>
        </w:rPr>
      </w:pPr>
      <w:r>
        <w:rPr>
          <w:rFonts w:eastAsia="楷体_GB2312" w:hint="eastAsia"/>
          <w:b/>
          <w:sz w:val="24"/>
        </w:rPr>
        <w:t>某经营租赁合同。设备价格是</w:t>
      </w:r>
      <w:r>
        <w:rPr>
          <w:rFonts w:eastAsia="楷体_GB2312" w:hint="eastAsia"/>
          <w:b/>
          <w:sz w:val="24"/>
        </w:rPr>
        <w:t>1,200,000.00</w:t>
      </w:r>
      <w:r>
        <w:rPr>
          <w:rFonts w:eastAsia="楷体_GB2312" w:hint="eastAsia"/>
          <w:b/>
          <w:sz w:val="24"/>
        </w:rPr>
        <w:t>元，可使用寿命是</w:t>
      </w:r>
      <w:r>
        <w:rPr>
          <w:rFonts w:eastAsia="楷体_GB2312" w:hint="eastAsia"/>
          <w:b/>
          <w:sz w:val="24"/>
        </w:rPr>
        <w:t>5</w:t>
      </w:r>
      <w:r>
        <w:rPr>
          <w:rFonts w:eastAsia="楷体_GB2312" w:hint="eastAsia"/>
          <w:b/>
          <w:sz w:val="24"/>
        </w:rPr>
        <w:t>年，起租日是</w:t>
      </w:r>
      <w:r>
        <w:rPr>
          <w:rFonts w:eastAsia="楷体_GB2312" w:hint="eastAsia"/>
          <w:b/>
          <w:sz w:val="24"/>
        </w:rPr>
        <w:t>2002</w:t>
      </w:r>
      <w:r>
        <w:rPr>
          <w:rFonts w:eastAsia="楷体_GB2312" w:hint="eastAsia"/>
          <w:b/>
          <w:sz w:val="24"/>
        </w:rPr>
        <w:t>年</w:t>
      </w:r>
      <w:r>
        <w:rPr>
          <w:rFonts w:eastAsia="楷体_GB2312" w:hint="eastAsia"/>
          <w:b/>
          <w:sz w:val="24"/>
        </w:rPr>
        <w:t>1</w:t>
      </w:r>
      <w:r>
        <w:rPr>
          <w:rFonts w:eastAsia="楷体_GB2312" w:hint="eastAsia"/>
          <w:b/>
          <w:sz w:val="24"/>
        </w:rPr>
        <w:t>月</w:t>
      </w:r>
      <w:r>
        <w:rPr>
          <w:rFonts w:eastAsia="楷体_GB2312" w:hint="eastAsia"/>
          <w:b/>
          <w:sz w:val="24"/>
        </w:rPr>
        <w:t>1</w:t>
      </w:r>
      <w:r>
        <w:rPr>
          <w:rFonts w:eastAsia="楷体_GB2312" w:hint="eastAsia"/>
          <w:b/>
          <w:sz w:val="24"/>
        </w:rPr>
        <w:t>日，租赁期限是</w:t>
      </w:r>
      <w:r>
        <w:rPr>
          <w:rFonts w:eastAsia="楷体_GB2312" w:hint="eastAsia"/>
          <w:b/>
          <w:sz w:val="24"/>
        </w:rPr>
        <w:t>36</w:t>
      </w:r>
      <w:r>
        <w:rPr>
          <w:rFonts w:eastAsia="楷体_GB2312" w:hint="eastAsia"/>
          <w:b/>
          <w:sz w:val="24"/>
        </w:rPr>
        <w:t>个月，每月末付租金</w:t>
      </w:r>
      <w:r>
        <w:rPr>
          <w:rFonts w:eastAsia="楷体_GB2312" w:hint="eastAsia"/>
          <w:b/>
          <w:sz w:val="24"/>
        </w:rPr>
        <w:t>33,620</w:t>
      </w:r>
      <w:r>
        <w:rPr>
          <w:rFonts w:eastAsia="楷体_GB2312" w:hint="eastAsia"/>
          <w:b/>
          <w:sz w:val="24"/>
        </w:rPr>
        <w:t>元，余值是</w:t>
      </w:r>
      <w:r>
        <w:rPr>
          <w:rFonts w:eastAsia="楷体_GB2312" w:hint="eastAsia"/>
          <w:b/>
          <w:sz w:val="24"/>
        </w:rPr>
        <w:t>360,000.00</w:t>
      </w:r>
      <w:r>
        <w:rPr>
          <w:rFonts w:eastAsia="楷体_GB2312" w:hint="eastAsia"/>
          <w:b/>
          <w:sz w:val="24"/>
        </w:rPr>
        <w:t>元，每年的折旧费用是</w:t>
      </w:r>
      <w:r>
        <w:rPr>
          <w:rFonts w:eastAsia="楷体_GB2312" w:hint="eastAsia"/>
          <w:b/>
          <w:sz w:val="24"/>
        </w:rPr>
        <w:t>280,000.00(=(1,200,000.00-360,000.00)</w:t>
      </w:r>
      <w:r>
        <w:rPr>
          <w:rFonts w:eastAsia="楷体_GB2312" w:hint="eastAsia"/>
          <w:b/>
          <w:sz w:val="24"/>
        </w:rPr>
        <w:t>÷</w:t>
      </w:r>
      <w:r>
        <w:rPr>
          <w:rFonts w:eastAsia="楷体_GB2312" w:hint="eastAsia"/>
          <w:b/>
          <w:sz w:val="24"/>
        </w:rPr>
        <w:t xml:space="preserve"> 3)</w:t>
      </w:r>
      <w:r>
        <w:rPr>
          <w:rFonts w:eastAsia="楷体_GB2312" w:hint="eastAsia"/>
          <w:b/>
          <w:sz w:val="24"/>
        </w:rPr>
        <w:t>。则利润表上的表现如下：</w:t>
      </w:r>
    </w:p>
    <w:p w:rsidR="00000000" w:rsidRDefault="00661157">
      <w:pPr>
        <w:rPr>
          <w:rFonts w:eastAsia="楷体_GB2312" w:hint="eastAsia"/>
          <w:b/>
          <w:sz w:val="24"/>
        </w:rPr>
      </w:pPr>
    </w:p>
    <w:tbl>
      <w:tblPr>
        <w:tblW w:w="0" w:type="auto"/>
        <w:tblInd w:w="65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1440"/>
        <w:gridCol w:w="1275"/>
        <w:gridCol w:w="1320"/>
        <w:gridCol w:w="1299"/>
      </w:tblGrid>
      <w:tr w:rsidR="00000000">
        <w:tblPrEx>
          <w:tblCellMar>
            <w:top w:w="0" w:type="dxa"/>
            <w:bottom w:w="0" w:type="dxa"/>
          </w:tblCellMar>
        </w:tblPrEx>
        <w:trPr>
          <w:trHeight w:val="210"/>
        </w:trPr>
        <w:tc>
          <w:tcPr>
            <w:tcW w:w="1440" w:type="dxa"/>
          </w:tcPr>
          <w:p w:rsidR="00000000" w:rsidRDefault="00661157">
            <w:pPr>
              <w:rPr>
                <w:rFonts w:eastAsia="楷体_GB2312" w:hint="eastAsia"/>
                <w:b/>
                <w:sz w:val="24"/>
              </w:rPr>
            </w:pPr>
            <w:r>
              <w:rPr>
                <w:rFonts w:eastAsia="楷体_GB2312" w:hint="eastAsia"/>
                <w:b/>
                <w:sz w:val="24"/>
              </w:rPr>
              <w:t>年份</w:t>
            </w:r>
          </w:p>
        </w:tc>
        <w:tc>
          <w:tcPr>
            <w:tcW w:w="1275" w:type="dxa"/>
          </w:tcPr>
          <w:p w:rsidR="00000000" w:rsidRDefault="00661157">
            <w:pPr>
              <w:jc w:val="center"/>
              <w:rPr>
                <w:rFonts w:eastAsia="楷体_GB2312" w:hint="eastAsia"/>
                <w:b/>
                <w:sz w:val="24"/>
              </w:rPr>
            </w:pPr>
            <w:r>
              <w:rPr>
                <w:rFonts w:eastAsia="楷体_GB2312" w:hint="eastAsia"/>
                <w:b/>
                <w:sz w:val="24"/>
              </w:rPr>
              <w:t>2002</w:t>
            </w:r>
          </w:p>
        </w:tc>
        <w:tc>
          <w:tcPr>
            <w:tcW w:w="1320" w:type="dxa"/>
          </w:tcPr>
          <w:p w:rsidR="00000000" w:rsidRDefault="00661157">
            <w:pPr>
              <w:jc w:val="center"/>
              <w:rPr>
                <w:rFonts w:eastAsia="楷体_GB2312" w:hint="eastAsia"/>
                <w:b/>
                <w:sz w:val="24"/>
              </w:rPr>
            </w:pPr>
            <w:r>
              <w:rPr>
                <w:rFonts w:eastAsia="楷体_GB2312" w:hint="eastAsia"/>
                <w:b/>
                <w:sz w:val="24"/>
              </w:rPr>
              <w:t>200</w:t>
            </w:r>
            <w:r>
              <w:rPr>
                <w:rFonts w:eastAsia="楷体_GB2312" w:hint="eastAsia"/>
                <w:b/>
                <w:sz w:val="24"/>
              </w:rPr>
              <w:t>3</w:t>
            </w:r>
          </w:p>
        </w:tc>
        <w:tc>
          <w:tcPr>
            <w:tcW w:w="1299" w:type="dxa"/>
          </w:tcPr>
          <w:p w:rsidR="00000000" w:rsidRDefault="00661157">
            <w:pPr>
              <w:jc w:val="center"/>
              <w:rPr>
                <w:rFonts w:eastAsia="楷体_GB2312" w:hint="eastAsia"/>
                <w:b/>
                <w:sz w:val="24"/>
              </w:rPr>
            </w:pPr>
            <w:r>
              <w:rPr>
                <w:rFonts w:eastAsia="楷体_GB2312" w:hint="eastAsia"/>
                <w:b/>
                <w:sz w:val="24"/>
              </w:rPr>
              <w:t>2004</w:t>
            </w:r>
          </w:p>
        </w:tc>
      </w:tr>
      <w:tr w:rsidR="00000000">
        <w:tblPrEx>
          <w:tblCellMar>
            <w:top w:w="0" w:type="dxa"/>
            <w:bottom w:w="0" w:type="dxa"/>
          </w:tblCellMar>
        </w:tblPrEx>
        <w:trPr>
          <w:trHeight w:val="165"/>
        </w:trPr>
        <w:tc>
          <w:tcPr>
            <w:tcW w:w="1440" w:type="dxa"/>
          </w:tcPr>
          <w:p w:rsidR="00000000" w:rsidRDefault="00661157">
            <w:pPr>
              <w:rPr>
                <w:rFonts w:eastAsia="楷体_GB2312" w:hint="eastAsia"/>
                <w:b/>
                <w:sz w:val="24"/>
              </w:rPr>
            </w:pPr>
            <w:r>
              <w:rPr>
                <w:rFonts w:eastAsia="楷体_GB2312" w:hint="eastAsia"/>
                <w:b/>
                <w:sz w:val="24"/>
              </w:rPr>
              <w:t>租金收入</w:t>
            </w:r>
          </w:p>
        </w:tc>
        <w:tc>
          <w:tcPr>
            <w:tcW w:w="1275" w:type="dxa"/>
          </w:tcPr>
          <w:p w:rsidR="00000000" w:rsidRDefault="00661157">
            <w:pPr>
              <w:jc w:val="right"/>
              <w:rPr>
                <w:rFonts w:eastAsia="楷体_GB2312" w:hint="eastAsia"/>
                <w:b/>
                <w:i/>
                <w:sz w:val="24"/>
              </w:rPr>
            </w:pPr>
            <w:r>
              <w:rPr>
                <w:rFonts w:eastAsia="楷体_GB2312" w:hint="eastAsia"/>
                <w:b/>
                <w:i/>
                <w:sz w:val="24"/>
              </w:rPr>
              <w:t>403,440</w:t>
            </w:r>
          </w:p>
        </w:tc>
        <w:tc>
          <w:tcPr>
            <w:tcW w:w="1320" w:type="dxa"/>
          </w:tcPr>
          <w:p w:rsidR="00000000" w:rsidRDefault="00661157">
            <w:pPr>
              <w:jc w:val="right"/>
              <w:rPr>
                <w:rFonts w:eastAsia="楷体_GB2312" w:hint="eastAsia"/>
                <w:b/>
                <w:i/>
                <w:sz w:val="24"/>
              </w:rPr>
            </w:pPr>
            <w:r>
              <w:rPr>
                <w:rFonts w:eastAsia="楷体_GB2312" w:hint="eastAsia"/>
                <w:b/>
                <w:i/>
                <w:sz w:val="24"/>
              </w:rPr>
              <w:t>403,000</w:t>
            </w:r>
          </w:p>
        </w:tc>
        <w:tc>
          <w:tcPr>
            <w:tcW w:w="1299" w:type="dxa"/>
          </w:tcPr>
          <w:p w:rsidR="00000000" w:rsidRDefault="00661157">
            <w:pPr>
              <w:jc w:val="right"/>
              <w:rPr>
                <w:rFonts w:eastAsia="楷体_GB2312" w:hint="eastAsia"/>
                <w:b/>
                <w:i/>
                <w:sz w:val="24"/>
              </w:rPr>
            </w:pPr>
            <w:r>
              <w:rPr>
                <w:rFonts w:eastAsia="楷体_GB2312" w:hint="eastAsia"/>
                <w:b/>
                <w:i/>
                <w:sz w:val="24"/>
              </w:rPr>
              <w:t>403,000</w:t>
            </w:r>
          </w:p>
        </w:tc>
      </w:tr>
      <w:tr w:rsidR="00000000">
        <w:tblPrEx>
          <w:tblCellMar>
            <w:top w:w="0" w:type="dxa"/>
            <w:bottom w:w="0" w:type="dxa"/>
          </w:tblCellMar>
        </w:tblPrEx>
        <w:trPr>
          <w:trHeight w:val="150"/>
        </w:trPr>
        <w:tc>
          <w:tcPr>
            <w:tcW w:w="1440" w:type="dxa"/>
          </w:tcPr>
          <w:p w:rsidR="00000000" w:rsidRDefault="00661157">
            <w:pPr>
              <w:rPr>
                <w:rFonts w:eastAsia="楷体_GB2312" w:hint="eastAsia"/>
                <w:b/>
                <w:sz w:val="24"/>
              </w:rPr>
            </w:pPr>
            <w:r>
              <w:rPr>
                <w:rFonts w:eastAsia="楷体_GB2312" w:hint="eastAsia"/>
                <w:b/>
                <w:sz w:val="24"/>
              </w:rPr>
              <w:t>折旧费用</w:t>
            </w:r>
          </w:p>
        </w:tc>
        <w:tc>
          <w:tcPr>
            <w:tcW w:w="1275" w:type="dxa"/>
          </w:tcPr>
          <w:p w:rsidR="00000000" w:rsidRDefault="00661157">
            <w:pPr>
              <w:jc w:val="right"/>
              <w:rPr>
                <w:rFonts w:eastAsia="楷体_GB2312" w:hint="eastAsia"/>
                <w:b/>
                <w:i/>
                <w:sz w:val="24"/>
              </w:rPr>
            </w:pPr>
            <w:r>
              <w:rPr>
                <w:rFonts w:eastAsia="楷体_GB2312" w:hint="eastAsia"/>
                <w:b/>
                <w:i/>
                <w:sz w:val="24"/>
              </w:rPr>
              <w:t>280,000</w:t>
            </w:r>
          </w:p>
        </w:tc>
        <w:tc>
          <w:tcPr>
            <w:tcW w:w="1320" w:type="dxa"/>
          </w:tcPr>
          <w:p w:rsidR="00000000" w:rsidRDefault="00661157">
            <w:pPr>
              <w:jc w:val="right"/>
              <w:rPr>
                <w:rFonts w:eastAsia="楷体_GB2312" w:hint="eastAsia"/>
                <w:b/>
                <w:i/>
                <w:sz w:val="24"/>
              </w:rPr>
            </w:pPr>
            <w:r>
              <w:rPr>
                <w:rFonts w:eastAsia="楷体_GB2312" w:hint="eastAsia"/>
                <w:b/>
                <w:i/>
                <w:sz w:val="24"/>
              </w:rPr>
              <w:t>280,000</w:t>
            </w:r>
          </w:p>
        </w:tc>
        <w:tc>
          <w:tcPr>
            <w:tcW w:w="1299" w:type="dxa"/>
          </w:tcPr>
          <w:p w:rsidR="00000000" w:rsidRDefault="00661157">
            <w:pPr>
              <w:jc w:val="right"/>
              <w:rPr>
                <w:rFonts w:eastAsia="楷体_GB2312" w:hint="eastAsia"/>
                <w:b/>
                <w:i/>
                <w:sz w:val="24"/>
              </w:rPr>
            </w:pPr>
            <w:r>
              <w:rPr>
                <w:rFonts w:eastAsia="楷体_GB2312" w:hint="eastAsia"/>
                <w:b/>
                <w:i/>
                <w:sz w:val="24"/>
              </w:rPr>
              <w:t>280,000</w:t>
            </w:r>
          </w:p>
        </w:tc>
      </w:tr>
      <w:tr w:rsidR="00000000">
        <w:tblPrEx>
          <w:tblCellMar>
            <w:top w:w="0" w:type="dxa"/>
            <w:bottom w:w="0" w:type="dxa"/>
          </w:tblCellMar>
        </w:tblPrEx>
        <w:trPr>
          <w:trHeight w:val="180"/>
        </w:trPr>
        <w:tc>
          <w:tcPr>
            <w:tcW w:w="1440" w:type="dxa"/>
          </w:tcPr>
          <w:p w:rsidR="00000000" w:rsidRDefault="00661157">
            <w:pPr>
              <w:rPr>
                <w:rFonts w:eastAsia="楷体_GB2312" w:hint="eastAsia"/>
                <w:b/>
                <w:sz w:val="24"/>
              </w:rPr>
            </w:pPr>
            <w:r>
              <w:rPr>
                <w:rFonts w:eastAsia="楷体_GB2312" w:hint="eastAsia"/>
                <w:b/>
                <w:sz w:val="24"/>
              </w:rPr>
              <w:t>毛收益</w:t>
            </w:r>
          </w:p>
        </w:tc>
        <w:tc>
          <w:tcPr>
            <w:tcW w:w="1275" w:type="dxa"/>
          </w:tcPr>
          <w:p w:rsidR="00000000" w:rsidRDefault="00661157">
            <w:pPr>
              <w:jc w:val="right"/>
              <w:rPr>
                <w:rFonts w:eastAsia="楷体_GB2312" w:hint="eastAsia"/>
                <w:b/>
                <w:i/>
                <w:sz w:val="24"/>
              </w:rPr>
            </w:pPr>
            <w:r>
              <w:rPr>
                <w:rFonts w:eastAsia="楷体_GB2312" w:hint="eastAsia"/>
                <w:b/>
                <w:i/>
                <w:sz w:val="24"/>
              </w:rPr>
              <w:t>123,440</w:t>
            </w:r>
          </w:p>
        </w:tc>
        <w:tc>
          <w:tcPr>
            <w:tcW w:w="1320" w:type="dxa"/>
          </w:tcPr>
          <w:p w:rsidR="00000000" w:rsidRDefault="00661157">
            <w:pPr>
              <w:jc w:val="right"/>
              <w:rPr>
                <w:rFonts w:eastAsia="楷体_GB2312" w:hint="eastAsia"/>
                <w:b/>
                <w:i/>
                <w:sz w:val="24"/>
              </w:rPr>
            </w:pPr>
            <w:r>
              <w:rPr>
                <w:rFonts w:eastAsia="楷体_GB2312" w:hint="eastAsia"/>
                <w:b/>
                <w:i/>
                <w:sz w:val="24"/>
              </w:rPr>
              <w:t>123,440</w:t>
            </w:r>
          </w:p>
        </w:tc>
        <w:tc>
          <w:tcPr>
            <w:tcW w:w="1299" w:type="dxa"/>
          </w:tcPr>
          <w:p w:rsidR="00000000" w:rsidRDefault="00661157">
            <w:pPr>
              <w:jc w:val="right"/>
              <w:rPr>
                <w:rFonts w:eastAsia="楷体_GB2312" w:hint="eastAsia"/>
                <w:b/>
                <w:i/>
                <w:sz w:val="24"/>
              </w:rPr>
            </w:pPr>
            <w:r>
              <w:rPr>
                <w:rFonts w:eastAsia="楷体_GB2312" w:hint="eastAsia"/>
                <w:b/>
                <w:i/>
                <w:sz w:val="24"/>
              </w:rPr>
              <w:t>123,440</w:t>
            </w:r>
          </w:p>
        </w:tc>
      </w:tr>
      <w:tr w:rsidR="00000000">
        <w:tblPrEx>
          <w:tblCellMar>
            <w:top w:w="0" w:type="dxa"/>
            <w:bottom w:w="0" w:type="dxa"/>
          </w:tblCellMar>
        </w:tblPrEx>
        <w:trPr>
          <w:trHeight w:val="195"/>
        </w:trPr>
        <w:tc>
          <w:tcPr>
            <w:tcW w:w="1440" w:type="dxa"/>
          </w:tcPr>
          <w:p w:rsidR="00000000" w:rsidRDefault="00661157">
            <w:pPr>
              <w:rPr>
                <w:rFonts w:eastAsia="楷体_GB2312" w:hint="eastAsia"/>
                <w:b/>
                <w:sz w:val="24"/>
              </w:rPr>
            </w:pPr>
            <w:r>
              <w:rPr>
                <w:rFonts w:eastAsia="楷体_GB2312" w:hint="eastAsia"/>
                <w:b/>
                <w:sz w:val="24"/>
              </w:rPr>
              <w:t>年初资产</w:t>
            </w:r>
          </w:p>
        </w:tc>
        <w:tc>
          <w:tcPr>
            <w:tcW w:w="1275" w:type="dxa"/>
          </w:tcPr>
          <w:p w:rsidR="00000000" w:rsidRDefault="00661157">
            <w:pPr>
              <w:jc w:val="right"/>
              <w:rPr>
                <w:rFonts w:eastAsia="楷体_GB2312" w:hint="eastAsia"/>
                <w:b/>
                <w:i/>
                <w:sz w:val="24"/>
              </w:rPr>
            </w:pPr>
            <w:r>
              <w:rPr>
                <w:rFonts w:eastAsia="楷体_GB2312" w:hint="eastAsia"/>
                <w:b/>
                <w:i/>
                <w:sz w:val="24"/>
              </w:rPr>
              <w:t>1,200,000</w:t>
            </w:r>
          </w:p>
        </w:tc>
        <w:tc>
          <w:tcPr>
            <w:tcW w:w="1320" w:type="dxa"/>
          </w:tcPr>
          <w:p w:rsidR="00000000" w:rsidRDefault="00661157">
            <w:pPr>
              <w:jc w:val="right"/>
              <w:rPr>
                <w:rFonts w:eastAsia="楷体_GB2312" w:hint="eastAsia"/>
                <w:b/>
                <w:i/>
                <w:sz w:val="24"/>
              </w:rPr>
            </w:pPr>
            <w:r>
              <w:rPr>
                <w:rFonts w:eastAsia="楷体_GB2312" w:hint="eastAsia"/>
                <w:b/>
                <w:i/>
                <w:sz w:val="24"/>
              </w:rPr>
              <w:t>920,000</w:t>
            </w:r>
          </w:p>
        </w:tc>
        <w:tc>
          <w:tcPr>
            <w:tcW w:w="1299" w:type="dxa"/>
          </w:tcPr>
          <w:p w:rsidR="00000000" w:rsidRDefault="00661157">
            <w:pPr>
              <w:jc w:val="right"/>
              <w:rPr>
                <w:rFonts w:eastAsia="楷体_GB2312" w:hint="eastAsia"/>
                <w:b/>
                <w:i/>
                <w:sz w:val="24"/>
              </w:rPr>
            </w:pPr>
            <w:r>
              <w:rPr>
                <w:rFonts w:eastAsia="楷体_GB2312" w:hint="eastAsia"/>
                <w:b/>
                <w:i/>
                <w:sz w:val="24"/>
              </w:rPr>
              <w:t>640,000</w:t>
            </w:r>
          </w:p>
        </w:tc>
      </w:tr>
      <w:tr w:rsidR="00000000">
        <w:tblPrEx>
          <w:tblCellMar>
            <w:top w:w="0" w:type="dxa"/>
            <w:bottom w:w="0" w:type="dxa"/>
          </w:tblCellMar>
        </w:tblPrEx>
        <w:trPr>
          <w:trHeight w:val="345"/>
        </w:trPr>
        <w:tc>
          <w:tcPr>
            <w:tcW w:w="1440" w:type="dxa"/>
          </w:tcPr>
          <w:p w:rsidR="00000000" w:rsidRDefault="00661157">
            <w:pPr>
              <w:rPr>
                <w:rFonts w:eastAsia="楷体_GB2312" w:hint="eastAsia"/>
                <w:b/>
                <w:sz w:val="24"/>
              </w:rPr>
            </w:pPr>
            <w:r>
              <w:rPr>
                <w:rFonts w:eastAsia="楷体_GB2312" w:hint="eastAsia"/>
                <w:b/>
                <w:sz w:val="24"/>
              </w:rPr>
              <w:t>资产收益率</w:t>
            </w:r>
          </w:p>
        </w:tc>
        <w:tc>
          <w:tcPr>
            <w:tcW w:w="1275" w:type="dxa"/>
          </w:tcPr>
          <w:p w:rsidR="00000000" w:rsidRDefault="00661157">
            <w:pPr>
              <w:rPr>
                <w:rFonts w:eastAsia="楷体_GB2312" w:hint="eastAsia"/>
                <w:b/>
                <w:sz w:val="24"/>
              </w:rPr>
            </w:pPr>
            <w:r>
              <w:rPr>
                <w:rFonts w:eastAsia="楷体_GB2312" w:hint="eastAsia"/>
                <w:b/>
                <w:sz w:val="24"/>
              </w:rPr>
              <w:t>10.2867%</w:t>
            </w:r>
          </w:p>
        </w:tc>
        <w:tc>
          <w:tcPr>
            <w:tcW w:w="1320" w:type="dxa"/>
          </w:tcPr>
          <w:p w:rsidR="00000000" w:rsidRDefault="00661157">
            <w:pPr>
              <w:rPr>
                <w:rFonts w:eastAsia="楷体_GB2312" w:hint="eastAsia"/>
                <w:b/>
                <w:sz w:val="24"/>
              </w:rPr>
            </w:pPr>
            <w:r>
              <w:rPr>
                <w:rFonts w:eastAsia="楷体_GB2312" w:hint="eastAsia"/>
                <w:b/>
                <w:sz w:val="24"/>
              </w:rPr>
              <w:t>13.4174%</w:t>
            </w:r>
          </w:p>
        </w:tc>
        <w:tc>
          <w:tcPr>
            <w:tcW w:w="1299" w:type="dxa"/>
          </w:tcPr>
          <w:p w:rsidR="00000000" w:rsidRDefault="00661157">
            <w:pPr>
              <w:rPr>
                <w:rFonts w:eastAsia="楷体_GB2312" w:hint="eastAsia"/>
                <w:b/>
                <w:sz w:val="24"/>
              </w:rPr>
            </w:pPr>
            <w:r>
              <w:rPr>
                <w:rFonts w:eastAsia="楷体_GB2312" w:hint="eastAsia"/>
                <w:b/>
                <w:sz w:val="24"/>
              </w:rPr>
              <w:t>19.2875%</w:t>
            </w:r>
          </w:p>
        </w:tc>
      </w:tr>
    </w:tbl>
    <w:p w:rsidR="00000000" w:rsidRDefault="00661157">
      <w:pPr>
        <w:rPr>
          <w:rFonts w:eastAsia="楷体_GB2312" w:hint="eastAsia"/>
          <w:b/>
          <w:sz w:val="24"/>
        </w:rPr>
      </w:pPr>
      <w:r>
        <w:rPr>
          <w:rFonts w:eastAsia="楷体_GB2312" w:hint="eastAsia"/>
          <w:b/>
          <w:sz w:val="24"/>
        </w:rPr>
        <w:t xml:space="preserve">    </w:t>
      </w:r>
    </w:p>
    <w:p w:rsidR="00000000" w:rsidRDefault="00661157">
      <w:pPr>
        <w:ind w:firstLine="480"/>
        <w:rPr>
          <w:rFonts w:eastAsia="楷体_GB2312" w:hint="eastAsia"/>
          <w:b/>
          <w:sz w:val="24"/>
        </w:rPr>
      </w:pPr>
      <w:r>
        <w:rPr>
          <w:rFonts w:eastAsia="楷体_GB2312" w:hint="eastAsia"/>
          <w:b/>
          <w:sz w:val="24"/>
        </w:rPr>
        <w:t>所谓“造成误解”，是指在完全正常和相同的条件下，由于严格按照直线法提取折旧的会计制度处理，使得各年的资产收益率相差悬殊。</w:t>
      </w:r>
    </w:p>
    <w:p w:rsidR="00000000" w:rsidRDefault="00661157">
      <w:pPr>
        <w:ind w:firstLine="480"/>
        <w:rPr>
          <w:rFonts w:eastAsia="楷体_GB2312" w:hint="eastAsia"/>
          <w:b/>
          <w:sz w:val="24"/>
        </w:rPr>
      </w:pPr>
      <w:r>
        <w:rPr>
          <w:rFonts w:eastAsia="楷体_GB2312" w:hint="eastAsia"/>
          <w:b/>
          <w:sz w:val="24"/>
        </w:rPr>
        <w:t>消除这种误解的办法可以是，在租赁公司内部核算时，不取会</w:t>
      </w:r>
      <w:r>
        <w:rPr>
          <w:rFonts w:eastAsia="楷体_GB2312" w:hint="eastAsia"/>
          <w:b/>
          <w:sz w:val="24"/>
        </w:rPr>
        <w:t>计制度规定的直线法折旧值，而代之以租金中所含的本金，这时的毛收益，就是租金中所含的收益。请看下表：</w:t>
      </w:r>
    </w:p>
    <w:p w:rsidR="00000000" w:rsidRDefault="00661157">
      <w:pPr>
        <w:rPr>
          <w:rFonts w:eastAsia="楷体_GB2312"/>
          <w:b/>
          <w:sz w:val="24"/>
        </w:rPr>
      </w:pPr>
    </w:p>
    <w:p w:rsidR="00000000" w:rsidRDefault="00661157">
      <w:pPr>
        <w:rPr>
          <w:rFonts w:eastAsia="楷体_GB2312"/>
          <w:b/>
          <w:sz w:val="24"/>
        </w:rPr>
      </w:pPr>
    </w:p>
    <w:p w:rsidR="00000000" w:rsidRDefault="00661157">
      <w:pPr>
        <w:rPr>
          <w:rFonts w:eastAsia="楷体_GB2312"/>
          <w:b/>
          <w:sz w:val="24"/>
        </w:rPr>
      </w:pPr>
    </w:p>
    <w:tbl>
      <w:tblPr>
        <w:tblW w:w="0" w:type="auto"/>
        <w:tblInd w:w="42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840"/>
        <w:gridCol w:w="630"/>
        <w:gridCol w:w="1050"/>
        <w:gridCol w:w="1155"/>
        <w:gridCol w:w="630"/>
        <w:gridCol w:w="1050"/>
        <w:gridCol w:w="1155"/>
        <w:gridCol w:w="630"/>
        <w:gridCol w:w="1050"/>
        <w:gridCol w:w="1155"/>
      </w:tblGrid>
      <w:tr w:rsidR="00000000">
        <w:tblPrEx>
          <w:tblCellMar>
            <w:top w:w="0" w:type="dxa"/>
            <w:bottom w:w="0" w:type="dxa"/>
          </w:tblCellMar>
        </w:tblPrEx>
        <w:trPr>
          <w:trHeight w:val="150"/>
        </w:trPr>
        <w:tc>
          <w:tcPr>
            <w:tcW w:w="840" w:type="dxa"/>
            <w:tcBorders>
              <w:bottom w:val="single" w:sz="8" w:space="0" w:color="auto"/>
            </w:tcBorders>
          </w:tcPr>
          <w:p w:rsidR="00000000" w:rsidRDefault="00661157">
            <w:pPr>
              <w:jc w:val="center"/>
              <w:rPr>
                <w:rFonts w:eastAsia="黑体" w:hint="eastAsia"/>
                <w:b/>
                <w:sz w:val="24"/>
              </w:rPr>
            </w:pPr>
            <w:r>
              <w:rPr>
                <w:rFonts w:eastAsia="黑体" w:hint="eastAsia"/>
                <w:b/>
                <w:sz w:val="24"/>
              </w:rPr>
              <w:t>年份</w:t>
            </w:r>
          </w:p>
        </w:tc>
        <w:tc>
          <w:tcPr>
            <w:tcW w:w="2835" w:type="dxa"/>
            <w:gridSpan w:val="3"/>
            <w:tcBorders>
              <w:bottom w:val="single" w:sz="8" w:space="0" w:color="auto"/>
            </w:tcBorders>
          </w:tcPr>
          <w:p w:rsidR="00000000" w:rsidRDefault="00661157">
            <w:pPr>
              <w:jc w:val="center"/>
              <w:rPr>
                <w:rFonts w:eastAsia="楷体_GB2312" w:hint="eastAsia"/>
                <w:b/>
                <w:sz w:val="24"/>
              </w:rPr>
            </w:pPr>
            <w:r>
              <w:rPr>
                <w:rFonts w:eastAsia="楷体_GB2312" w:hint="eastAsia"/>
                <w:b/>
                <w:sz w:val="24"/>
              </w:rPr>
              <w:t>2002</w:t>
            </w:r>
          </w:p>
        </w:tc>
        <w:tc>
          <w:tcPr>
            <w:tcW w:w="2835" w:type="dxa"/>
            <w:gridSpan w:val="3"/>
            <w:tcBorders>
              <w:bottom w:val="single" w:sz="8" w:space="0" w:color="auto"/>
            </w:tcBorders>
          </w:tcPr>
          <w:p w:rsidR="00000000" w:rsidRDefault="00661157">
            <w:pPr>
              <w:jc w:val="center"/>
              <w:rPr>
                <w:rFonts w:eastAsia="楷体_GB2312" w:hint="eastAsia"/>
                <w:b/>
                <w:sz w:val="24"/>
              </w:rPr>
            </w:pPr>
            <w:r>
              <w:rPr>
                <w:rFonts w:eastAsia="楷体_GB2312" w:hint="eastAsia"/>
                <w:b/>
                <w:sz w:val="24"/>
              </w:rPr>
              <w:t>2003</w:t>
            </w:r>
          </w:p>
        </w:tc>
        <w:tc>
          <w:tcPr>
            <w:tcW w:w="2835" w:type="dxa"/>
            <w:gridSpan w:val="3"/>
            <w:tcBorders>
              <w:bottom w:val="single" w:sz="8" w:space="0" w:color="auto"/>
            </w:tcBorders>
          </w:tcPr>
          <w:p w:rsidR="00000000" w:rsidRDefault="00661157">
            <w:pPr>
              <w:jc w:val="center"/>
              <w:rPr>
                <w:rFonts w:eastAsia="楷体_GB2312" w:hint="eastAsia"/>
                <w:b/>
                <w:sz w:val="24"/>
              </w:rPr>
            </w:pPr>
            <w:r>
              <w:rPr>
                <w:rFonts w:eastAsia="楷体_GB2312" w:hint="eastAsia"/>
                <w:b/>
                <w:sz w:val="24"/>
              </w:rPr>
              <w:t>2004</w:t>
            </w:r>
          </w:p>
        </w:tc>
      </w:tr>
      <w:tr w:rsidR="00000000">
        <w:tblPrEx>
          <w:tblCellMar>
            <w:top w:w="0" w:type="dxa"/>
            <w:bottom w:w="0" w:type="dxa"/>
          </w:tblCellMar>
        </w:tblPrEx>
        <w:trPr>
          <w:trHeight w:val="150"/>
        </w:trPr>
        <w:tc>
          <w:tcPr>
            <w:tcW w:w="840" w:type="dxa"/>
            <w:tcBorders>
              <w:right w:val="single" w:sz="8" w:space="0" w:color="auto"/>
            </w:tcBorders>
            <w:vAlign w:val="center"/>
          </w:tcPr>
          <w:p w:rsidR="00000000" w:rsidRDefault="00661157">
            <w:pPr>
              <w:rPr>
                <w:rFonts w:eastAsia="黑体" w:hint="eastAsia"/>
                <w:b/>
                <w:sz w:val="18"/>
              </w:rPr>
            </w:pPr>
            <w:r>
              <w:rPr>
                <w:rFonts w:eastAsia="黑体" w:hint="eastAsia"/>
                <w:b/>
                <w:sz w:val="18"/>
              </w:rPr>
              <w:t>租金</w:t>
            </w:r>
          </w:p>
        </w:tc>
        <w:tc>
          <w:tcPr>
            <w:tcW w:w="630" w:type="dxa"/>
            <w:tcBorders>
              <w:left w:val="single" w:sz="8" w:space="0" w:color="auto"/>
              <w:right w:val="single" w:sz="8" w:space="0" w:color="auto"/>
            </w:tcBorders>
            <w:vAlign w:val="center"/>
          </w:tcPr>
          <w:p w:rsidR="00000000" w:rsidRDefault="00661157">
            <w:pPr>
              <w:rPr>
                <w:rFonts w:eastAsia="黑体" w:hint="eastAsia"/>
                <w:b/>
                <w:sz w:val="18"/>
              </w:rPr>
            </w:pPr>
            <w:r>
              <w:rPr>
                <w:rFonts w:eastAsia="黑体" w:hint="eastAsia"/>
                <w:b/>
                <w:sz w:val="18"/>
              </w:rPr>
              <w:t>期次</w:t>
            </w:r>
          </w:p>
        </w:tc>
        <w:tc>
          <w:tcPr>
            <w:tcW w:w="1050" w:type="dxa"/>
            <w:tcBorders>
              <w:left w:val="single" w:sz="8" w:space="0" w:color="auto"/>
              <w:right w:val="single" w:sz="8" w:space="0" w:color="auto"/>
            </w:tcBorders>
            <w:vAlign w:val="center"/>
          </w:tcPr>
          <w:p w:rsidR="00000000" w:rsidRDefault="00661157">
            <w:pPr>
              <w:rPr>
                <w:rFonts w:eastAsia="黑体" w:hint="eastAsia"/>
                <w:b/>
                <w:sz w:val="18"/>
              </w:rPr>
            </w:pPr>
            <w:r>
              <w:rPr>
                <w:rFonts w:eastAsia="黑体" w:hint="eastAsia"/>
                <w:b/>
                <w:sz w:val="18"/>
              </w:rPr>
              <w:t>其中本金</w:t>
            </w:r>
          </w:p>
        </w:tc>
        <w:tc>
          <w:tcPr>
            <w:tcW w:w="1155" w:type="dxa"/>
            <w:tcBorders>
              <w:left w:val="single" w:sz="8" w:space="0" w:color="auto"/>
              <w:right w:val="single" w:sz="8" w:space="0" w:color="auto"/>
            </w:tcBorders>
            <w:vAlign w:val="center"/>
          </w:tcPr>
          <w:p w:rsidR="00000000" w:rsidRDefault="00661157">
            <w:pPr>
              <w:rPr>
                <w:rFonts w:eastAsia="黑体" w:hint="eastAsia"/>
                <w:b/>
                <w:sz w:val="18"/>
              </w:rPr>
            </w:pPr>
            <w:r>
              <w:rPr>
                <w:rFonts w:eastAsia="黑体" w:hint="eastAsia"/>
                <w:b/>
                <w:sz w:val="18"/>
              </w:rPr>
              <w:t>其中毛收益</w:t>
            </w:r>
          </w:p>
        </w:tc>
        <w:tc>
          <w:tcPr>
            <w:tcW w:w="630" w:type="dxa"/>
            <w:tcBorders>
              <w:left w:val="single" w:sz="8" w:space="0" w:color="auto"/>
              <w:right w:val="single" w:sz="8" w:space="0" w:color="auto"/>
            </w:tcBorders>
            <w:vAlign w:val="center"/>
          </w:tcPr>
          <w:p w:rsidR="00000000" w:rsidRDefault="00661157">
            <w:pPr>
              <w:rPr>
                <w:rFonts w:eastAsia="黑体" w:hint="eastAsia"/>
                <w:b/>
                <w:sz w:val="18"/>
              </w:rPr>
            </w:pPr>
            <w:r>
              <w:rPr>
                <w:rFonts w:eastAsia="黑体" w:hint="eastAsia"/>
                <w:b/>
                <w:sz w:val="18"/>
              </w:rPr>
              <w:t>期次</w:t>
            </w:r>
          </w:p>
        </w:tc>
        <w:tc>
          <w:tcPr>
            <w:tcW w:w="1050" w:type="dxa"/>
            <w:tcBorders>
              <w:left w:val="single" w:sz="8" w:space="0" w:color="auto"/>
              <w:right w:val="single" w:sz="8" w:space="0" w:color="auto"/>
            </w:tcBorders>
            <w:vAlign w:val="center"/>
          </w:tcPr>
          <w:p w:rsidR="00000000" w:rsidRDefault="00661157">
            <w:pPr>
              <w:rPr>
                <w:rFonts w:eastAsia="黑体" w:hint="eastAsia"/>
                <w:b/>
                <w:sz w:val="18"/>
              </w:rPr>
            </w:pPr>
            <w:r>
              <w:rPr>
                <w:rFonts w:eastAsia="黑体" w:hint="eastAsia"/>
                <w:b/>
                <w:sz w:val="18"/>
              </w:rPr>
              <w:t>其中本金</w:t>
            </w:r>
          </w:p>
        </w:tc>
        <w:tc>
          <w:tcPr>
            <w:tcW w:w="1155" w:type="dxa"/>
            <w:tcBorders>
              <w:left w:val="single" w:sz="8" w:space="0" w:color="auto"/>
              <w:right w:val="single" w:sz="8" w:space="0" w:color="auto"/>
            </w:tcBorders>
            <w:vAlign w:val="center"/>
          </w:tcPr>
          <w:p w:rsidR="00000000" w:rsidRDefault="00661157">
            <w:pPr>
              <w:rPr>
                <w:rFonts w:eastAsia="黑体" w:hint="eastAsia"/>
                <w:b/>
                <w:sz w:val="18"/>
              </w:rPr>
            </w:pPr>
            <w:r>
              <w:rPr>
                <w:rFonts w:eastAsia="黑体" w:hint="eastAsia"/>
                <w:b/>
                <w:sz w:val="18"/>
              </w:rPr>
              <w:t>其中毛收益</w:t>
            </w:r>
          </w:p>
        </w:tc>
        <w:tc>
          <w:tcPr>
            <w:tcW w:w="630" w:type="dxa"/>
            <w:tcBorders>
              <w:left w:val="single" w:sz="8" w:space="0" w:color="auto"/>
              <w:right w:val="single" w:sz="8" w:space="0" w:color="auto"/>
            </w:tcBorders>
            <w:vAlign w:val="center"/>
          </w:tcPr>
          <w:p w:rsidR="00000000" w:rsidRDefault="00661157">
            <w:pPr>
              <w:rPr>
                <w:rFonts w:eastAsia="黑体" w:hint="eastAsia"/>
                <w:b/>
                <w:sz w:val="18"/>
              </w:rPr>
            </w:pPr>
            <w:r>
              <w:rPr>
                <w:rFonts w:eastAsia="黑体" w:hint="eastAsia"/>
                <w:b/>
                <w:sz w:val="18"/>
              </w:rPr>
              <w:t>期次</w:t>
            </w:r>
          </w:p>
        </w:tc>
        <w:tc>
          <w:tcPr>
            <w:tcW w:w="1050" w:type="dxa"/>
            <w:tcBorders>
              <w:left w:val="single" w:sz="8" w:space="0" w:color="auto"/>
              <w:right w:val="single" w:sz="8" w:space="0" w:color="auto"/>
            </w:tcBorders>
            <w:vAlign w:val="center"/>
          </w:tcPr>
          <w:p w:rsidR="00000000" w:rsidRDefault="00661157">
            <w:pPr>
              <w:rPr>
                <w:rFonts w:eastAsia="黑体" w:hint="eastAsia"/>
                <w:b/>
                <w:sz w:val="18"/>
              </w:rPr>
            </w:pPr>
            <w:r>
              <w:rPr>
                <w:rFonts w:eastAsia="黑体" w:hint="eastAsia"/>
                <w:b/>
                <w:sz w:val="18"/>
              </w:rPr>
              <w:t>其中本金</w:t>
            </w:r>
          </w:p>
        </w:tc>
        <w:tc>
          <w:tcPr>
            <w:tcW w:w="1155" w:type="dxa"/>
            <w:tcBorders>
              <w:left w:val="single" w:sz="8" w:space="0" w:color="auto"/>
            </w:tcBorders>
            <w:vAlign w:val="center"/>
          </w:tcPr>
          <w:p w:rsidR="00000000" w:rsidRDefault="00661157">
            <w:pPr>
              <w:rPr>
                <w:rFonts w:eastAsia="黑体" w:hint="eastAsia"/>
                <w:b/>
                <w:sz w:val="18"/>
              </w:rPr>
            </w:pPr>
            <w:r>
              <w:rPr>
                <w:rFonts w:eastAsia="黑体" w:hint="eastAsia"/>
                <w:b/>
                <w:sz w:val="18"/>
              </w:rPr>
              <w:t>其中毛收益</w:t>
            </w:r>
          </w:p>
        </w:tc>
      </w:tr>
      <w:tr w:rsidR="00000000">
        <w:tblPrEx>
          <w:tblCellMar>
            <w:top w:w="0" w:type="dxa"/>
            <w:bottom w:w="0" w:type="dxa"/>
          </w:tblCellMar>
        </w:tblPrEx>
        <w:trPr>
          <w:trHeight w:val="135"/>
        </w:trPr>
        <w:tc>
          <w:tcPr>
            <w:tcW w:w="840" w:type="dxa"/>
            <w:tcBorders>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33,620</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1</w:t>
            </w:r>
          </w:p>
        </w:tc>
        <w:tc>
          <w:tcPr>
            <w:tcW w:w="1050" w:type="dxa"/>
            <w:tcBorders>
              <w:left w:val="single" w:sz="8" w:space="0" w:color="auto"/>
              <w:right w:val="single" w:sz="8" w:space="0" w:color="auto"/>
            </w:tcBorders>
            <w:vAlign w:val="center"/>
          </w:tcPr>
          <w:p w:rsidR="00000000" w:rsidRDefault="00661157">
            <w:pPr>
              <w:jc w:val="right"/>
              <w:rPr>
                <w:rFonts w:eastAsia="楷体_GB2312"/>
                <w:b/>
                <w:i/>
                <w:sz w:val="18"/>
              </w:rPr>
            </w:pPr>
            <w:r>
              <w:rPr>
                <w:rFonts w:eastAsia="楷体_GB2312"/>
                <w:b/>
                <w:i/>
                <w:sz w:val="18"/>
              </w:rPr>
              <w:t>18,618.42</w:t>
            </w:r>
          </w:p>
        </w:tc>
        <w:tc>
          <w:tcPr>
            <w:tcW w:w="1155" w:type="dxa"/>
            <w:tcBorders>
              <w:left w:val="single" w:sz="8" w:space="0" w:color="auto"/>
              <w:right w:val="single" w:sz="8" w:space="0" w:color="auto"/>
            </w:tcBorders>
            <w:vAlign w:val="center"/>
          </w:tcPr>
          <w:p w:rsidR="00000000" w:rsidRDefault="00661157">
            <w:pPr>
              <w:jc w:val="right"/>
              <w:rPr>
                <w:rFonts w:eastAsia="楷体_GB2312"/>
                <w:b/>
                <w:i/>
                <w:sz w:val="18"/>
              </w:rPr>
            </w:pPr>
            <w:r>
              <w:rPr>
                <w:rFonts w:eastAsia="楷体_GB2312"/>
                <w:b/>
                <w:i/>
                <w:sz w:val="18"/>
              </w:rPr>
              <w:t>15,001.58</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13</w:t>
            </w:r>
          </w:p>
        </w:tc>
        <w:tc>
          <w:tcPr>
            <w:tcW w:w="1050"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21,611.75</w:t>
            </w:r>
          </w:p>
        </w:tc>
        <w:tc>
          <w:tcPr>
            <w:tcW w:w="1155"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12,008.25</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25</w:t>
            </w:r>
          </w:p>
        </w:tc>
        <w:tc>
          <w:tcPr>
            <w:tcW w:w="1050"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25,086.33</w:t>
            </w:r>
          </w:p>
        </w:tc>
        <w:tc>
          <w:tcPr>
            <w:tcW w:w="1155" w:type="dxa"/>
            <w:tcBorders>
              <w:lef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8,533.67</w:t>
            </w:r>
          </w:p>
        </w:tc>
      </w:tr>
      <w:tr w:rsidR="00000000">
        <w:tblPrEx>
          <w:tblCellMar>
            <w:top w:w="0" w:type="dxa"/>
            <w:bottom w:w="0" w:type="dxa"/>
          </w:tblCellMar>
        </w:tblPrEx>
        <w:trPr>
          <w:trHeight w:val="150"/>
        </w:trPr>
        <w:tc>
          <w:tcPr>
            <w:tcW w:w="840" w:type="dxa"/>
            <w:tcBorders>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33,620</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2</w:t>
            </w:r>
          </w:p>
        </w:tc>
        <w:tc>
          <w:tcPr>
            <w:tcW w:w="1050" w:type="dxa"/>
            <w:tcBorders>
              <w:left w:val="single" w:sz="8" w:space="0" w:color="auto"/>
              <w:right w:val="single" w:sz="8" w:space="0" w:color="auto"/>
            </w:tcBorders>
            <w:vAlign w:val="center"/>
          </w:tcPr>
          <w:p w:rsidR="00000000" w:rsidRDefault="00661157">
            <w:pPr>
              <w:jc w:val="right"/>
              <w:rPr>
                <w:rFonts w:eastAsia="楷体_GB2312"/>
                <w:b/>
                <w:i/>
                <w:sz w:val="18"/>
              </w:rPr>
            </w:pPr>
            <w:r>
              <w:rPr>
                <w:rFonts w:eastAsia="楷体_GB2312"/>
                <w:b/>
                <w:i/>
                <w:sz w:val="18"/>
              </w:rPr>
              <w:t>18,851.17</w:t>
            </w:r>
          </w:p>
        </w:tc>
        <w:tc>
          <w:tcPr>
            <w:tcW w:w="1155" w:type="dxa"/>
            <w:tcBorders>
              <w:left w:val="single" w:sz="8" w:space="0" w:color="auto"/>
              <w:right w:val="single" w:sz="8" w:space="0" w:color="auto"/>
            </w:tcBorders>
            <w:vAlign w:val="center"/>
          </w:tcPr>
          <w:p w:rsidR="00000000" w:rsidRDefault="00661157">
            <w:pPr>
              <w:jc w:val="right"/>
              <w:rPr>
                <w:rFonts w:eastAsia="楷体_GB2312"/>
                <w:b/>
                <w:i/>
                <w:sz w:val="18"/>
              </w:rPr>
            </w:pPr>
            <w:r>
              <w:rPr>
                <w:rFonts w:eastAsia="楷体_GB2312"/>
                <w:b/>
                <w:i/>
                <w:sz w:val="18"/>
              </w:rPr>
              <w:t>14,768.83</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14</w:t>
            </w:r>
          </w:p>
        </w:tc>
        <w:tc>
          <w:tcPr>
            <w:tcW w:w="1050"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21,881.93</w:t>
            </w:r>
          </w:p>
        </w:tc>
        <w:tc>
          <w:tcPr>
            <w:tcW w:w="1155"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11,738.07</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26</w:t>
            </w:r>
          </w:p>
        </w:tc>
        <w:tc>
          <w:tcPr>
            <w:tcW w:w="1050"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25,399.9</w:t>
            </w:r>
            <w:r>
              <w:rPr>
                <w:rFonts w:eastAsia="楷体_GB2312" w:hint="eastAsia"/>
                <w:b/>
                <w:i/>
                <w:sz w:val="18"/>
              </w:rPr>
              <w:t>4</w:t>
            </w:r>
          </w:p>
        </w:tc>
        <w:tc>
          <w:tcPr>
            <w:tcW w:w="1155" w:type="dxa"/>
            <w:tcBorders>
              <w:lef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8,220.06</w:t>
            </w:r>
          </w:p>
        </w:tc>
      </w:tr>
      <w:tr w:rsidR="00000000">
        <w:tblPrEx>
          <w:tblCellMar>
            <w:top w:w="0" w:type="dxa"/>
            <w:bottom w:w="0" w:type="dxa"/>
          </w:tblCellMar>
        </w:tblPrEx>
        <w:trPr>
          <w:trHeight w:val="135"/>
        </w:trPr>
        <w:tc>
          <w:tcPr>
            <w:tcW w:w="840" w:type="dxa"/>
            <w:tcBorders>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33,620</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3</w:t>
            </w:r>
          </w:p>
        </w:tc>
        <w:tc>
          <w:tcPr>
            <w:tcW w:w="1050" w:type="dxa"/>
            <w:tcBorders>
              <w:left w:val="single" w:sz="8" w:space="0" w:color="auto"/>
              <w:right w:val="single" w:sz="8" w:space="0" w:color="auto"/>
            </w:tcBorders>
            <w:vAlign w:val="center"/>
          </w:tcPr>
          <w:p w:rsidR="00000000" w:rsidRDefault="00661157">
            <w:pPr>
              <w:jc w:val="right"/>
              <w:rPr>
                <w:rFonts w:eastAsia="楷体_GB2312"/>
                <w:b/>
                <w:i/>
                <w:sz w:val="18"/>
              </w:rPr>
            </w:pPr>
            <w:r>
              <w:rPr>
                <w:rFonts w:eastAsia="楷体_GB2312"/>
                <w:b/>
                <w:i/>
                <w:sz w:val="18"/>
              </w:rPr>
              <w:t>19,086.84</w:t>
            </w:r>
          </w:p>
        </w:tc>
        <w:tc>
          <w:tcPr>
            <w:tcW w:w="1155" w:type="dxa"/>
            <w:tcBorders>
              <w:left w:val="single" w:sz="8" w:space="0" w:color="auto"/>
              <w:right w:val="single" w:sz="8" w:space="0" w:color="auto"/>
            </w:tcBorders>
            <w:vAlign w:val="center"/>
          </w:tcPr>
          <w:p w:rsidR="00000000" w:rsidRDefault="00661157">
            <w:pPr>
              <w:jc w:val="right"/>
              <w:rPr>
                <w:rFonts w:eastAsia="楷体_GB2312"/>
                <w:b/>
                <w:i/>
                <w:sz w:val="18"/>
              </w:rPr>
            </w:pPr>
            <w:r>
              <w:rPr>
                <w:rFonts w:eastAsia="楷体_GB2312"/>
                <w:b/>
                <w:i/>
                <w:sz w:val="18"/>
              </w:rPr>
              <w:t>14,533.16</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15</w:t>
            </w:r>
          </w:p>
        </w:tc>
        <w:tc>
          <w:tcPr>
            <w:tcW w:w="1050"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22,155.48</w:t>
            </w:r>
          </w:p>
        </w:tc>
        <w:tc>
          <w:tcPr>
            <w:tcW w:w="1155"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11,464.52</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27</w:t>
            </w:r>
          </w:p>
        </w:tc>
        <w:tc>
          <w:tcPr>
            <w:tcW w:w="1050"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25,717.48</w:t>
            </w:r>
          </w:p>
        </w:tc>
        <w:tc>
          <w:tcPr>
            <w:tcW w:w="1155" w:type="dxa"/>
            <w:tcBorders>
              <w:lef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7,902.52</w:t>
            </w:r>
          </w:p>
        </w:tc>
      </w:tr>
      <w:tr w:rsidR="00000000">
        <w:tblPrEx>
          <w:tblCellMar>
            <w:top w:w="0" w:type="dxa"/>
            <w:bottom w:w="0" w:type="dxa"/>
          </w:tblCellMar>
        </w:tblPrEx>
        <w:trPr>
          <w:trHeight w:val="135"/>
        </w:trPr>
        <w:tc>
          <w:tcPr>
            <w:tcW w:w="840" w:type="dxa"/>
            <w:tcBorders>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33,620</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4</w:t>
            </w:r>
          </w:p>
        </w:tc>
        <w:tc>
          <w:tcPr>
            <w:tcW w:w="1050" w:type="dxa"/>
            <w:tcBorders>
              <w:left w:val="single" w:sz="8" w:space="0" w:color="auto"/>
              <w:right w:val="single" w:sz="8" w:space="0" w:color="auto"/>
            </w:tcBorders>
            <w:vAlign w:val="center"/>
          </w:tcPr>
          <w:p w:rsidR="00000000" w:rsidRDefault="00661157">
            <w:pPr>
              <w:jc w:val="right"/>
              <w:rPr>
                <w:rFonts w:eastAsia="楷体_GB2312"/>
                <w:b/>
                <w:i/>
                <w:sz w:val="18"/>
              </w:rPr>
            </w:pPr>
            <w:r>
              <w:rPr>
                <w:rFonts w:eastAsia="楷体_GB2312"/>
                <w:b/>
                <w:i/>
                <w:sz w:val="18"/>
              </w:rPr>
              <w:t>19,325.45</w:t>
            </w:r>
          </w:p>
        </w:tc>
        <w:tc>
          <w:tcPr>
            <w:tcW w:w="1155" w:type="dxa"/>
            <w:tcBorders>
              <w:left w:val="single" w:sz="8" w:space="0" w:color="auto"/>
              <w:right w:val="single" w:sz="8" w:space="0" w:color="auto"/>
            </w:tcBorders>
            <w:vAlign w:val="center"/>
          </w:tcPr>
          <w:p w:rsidR="00000000" w:rsidRDefault="00661157">
            <w:pPr>
              <w:jc w:val="right"/>
              <w:rPr>
                <w:rFonts w:eastAsia="楷体_GB2312"/>
                <w:b/>
                <w:i/>
                <w:sz w:val="18"/>
              </w:rPr>
            </w:pPr>
            <w:r>
              <w:rPr>
                <w:rFonts w:eastAsia="楷体_GB2312"/>
                <w:b/>
                <w:i/>
                <w:sz w:val="18"/>
              </w:rPr>
              <w:t>14,294.55</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16</w:t>
            </w:r>
          </w:p>
        </w:tc>
        <w:tc>
          <w:tcPr>
            <w:tcW w:w="1050"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22,432.45</w:t>
            </w:r>
          </w:p>
        </w:tc>
        <w:tc>
          <w:tcPr>
            <w:tcW w:w="1155"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11,187.55</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28</w:t>
            </w:r>
          </w:p>
        </w:tc>
        <w:tc>
          <w:tcPr>
            <w:tcW w:w="1050"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26,038.98</w:t>
            </w:r>
          </w:p>
        </w:tc>
        <w:tc>
          <w:tcPr>
            <w:tcW w:w="1155" w:type="dxa"/>
            <w:tcBorders>
              <w:lef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7,581.02</w:t>
            </w:r>
          </w:p>
        </w:tc>
      </w:tr>
      <w:tr w:rsidR="00000000">
        <w:tblPrEx>
          <w:tblCellMar>
            <w:top w:w="0" w:type="dxa"/>
            <w:bottom w:w="0" w:type="dxa"/>
          </w:tblCellMar>
        </w:tblPrEx>
        <w:trPr>
          <w:trHeight w:val="120"/>
        </w:trPr>
        <w:tc>
          <w:tcPr>
            <w:tcW w:w="840" w:type="dxa"/>
            <w:tcBorders>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33,620</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5</w:t>
            </w:r>
          </w:p>
        </w:tc>
        <w:tc>
          <w:tcPr>
            <w:tcW w:w="1050" w:type="dxa"/>
            <w:tcBorders>
              <w:left w:val="single" w:sz="8" w:space="0" w:color="auto"/>
              <w:right w:val="single" w:sz="8" w:space="0" w:color="auto"/>
            </w:tcBorders>
            <w:vAlign w:val="center"/>
          </w:tcPr>
          <w:p w:rsidR="00000000" w:rsidRDefault="00661157">
            <w:pPr>
              <w:jc w:val="right"/>
              <w:rPr>
                <w:rFonts w:eastAsia="楷体_GB2312"/>
                <w:b/>
                <w:i/>
                <w:sz w:val="18"/>
              </w:rPr>
            </w:pPr>
            <w:r>
              <w:rPr>
                <w:rFonts w:eastAsia="楷体_GB2312"/>
                <w:b/>
                <w:i/>
                <w:sz w:val="18"/>
              </w:rPr>
              <w:t>19,567.04</w:t>
            </w:r>
          </w:p>
        </w:tc>
        <w:tc>
          <w:tcPr>
            <w:tcW w:w="1155" w:type="dxa"/>
            <w:tcBorders>
              <w:left w:val="single" w:sz="8" w:space="0" w:color="auto"/>
              <w:right w:val="single" w:sz="8" w:space="0" w:color="auto"/>
            </w:tcBorders>
            <w:vAlign w:val="center"/>
          </w:tcPr>
          <w:p w:rsidR="00000000" w:rsidRDefault="00661157">
            <w:pPr>
              <w:jc w:val="right"/>
              <w:rPr>
                <w:rFonts w:eastAsia="楷体_GB2312"/>
                <w:b/>
                <w:i/>
                <w:sz w:val="18"/>
              </w:rPr>
            </w:pPr>
            <w:r>
              <w:rPr>
                <w:rFonts w:eastAsia="楷体_GB2312"/>
                <w:b/>
                <w:i/>
                <w:sz w:val="18"/>
              </w:rPr>
              <w:t>14,052.96</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17</w:t>
            </w:r>
          </w:p>
        </w:tc>
        <w:tc>
          <w:tcPr>
            <w:tcW w:w="1050"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22,712.89</w:t>
            </w:r>
          </w:p>
        </w:tc>
        <w:tc>
          <w:tcPr>
            <w:tcW w:w="1155"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10,907.11</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29</w:t>
            </w:r>
          </w:p>
        </w:tc>
        <w:tc>
          <w:tcPr>
            <w:tcW w:w="1050"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26,364.50</w:t>
            </w:r>
          </w:p>
        </w:tc>
        <w:tc>
          <w:tcPr>
            <w:tcW w:w="1155" w:type="dxa"/>
            <w:tcBorders>
              <w:lef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7,255.5</w:t>
            </w:r>
          </w:p>
        </w:tc>
      </w:tr>
      <w:tr w:rsidR="00000000">
        <w:tblPrEx>
          <w:tblCellMar>
            <w:top w:w="0" w:type="dxa"/>
            <w:bottom w:w="0" w:type="dxa"/>
          </w:tblCellMar>
        </w:tblPrEx>
        <w:trPr>
          <w:trHeight w:val="135"/>
        </w:trPr>
        <w:tc>
          <w:tcPr>
            <w:tcW w:w="840" w:type="dxa"/>
            <w:tcBorders>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33,620</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6</w:t>
            </w:r>
          </w:p>
        </w:tc>
        <w:tc>
          <w:tcPr>
            <w:tcW w:w="1050" w:type="dxa"/>
            <w:tcBorders>
              <w:left w:val="single" w:sz="8" w:space="0" w:color="auto"/>
              <w:right w:val="single" w:sz="8" w:space="0" w:color="auto"/>
            </w:tcBorders>
            <w:vAlign w:val="center"/>
          </w:tcPr>
          <w:p w:rsidR="00000000" w:rsidRDefault="00661157">
            <w:pPr>
              <w:jc w:val="right"/>
              <w:rPr>
                <w:rFonts w:eastAsia="楷体_GB2312"/>
                <w:b/>
                <w:i/>
                <w:sz w:val="18"/>
              </w:rPr>
            </w:pPr>
            <w:r>
              <w:rPr>
                <w:rFonts w:eastAsia="楷体_GB2312"/>
                <w:b/>
                <w:i/>
                <w:sz w:val="18"/>
              </w:rPr>
              <w:t>19,811.66</w:t>
            </w:r>
          </w:p>
        </w:tc>
        <w:tc>
          <w:tcPr>
            <w:tcW w:w="1155" w:type="dxa"/>
            <w:tcBorders>
              <w:left w:val="single" w:sz="8" w:space="0" w:color="auto"/>
              <w:right w:val="single" w:sz="8" w:space="0" w:color="auto"/>
            </w:tcBorders>
            <w:vAlign w:val="center"/>
          </w:tcPr>
          <w:p w:rsidR="00000000" w:rsidRDefault="00661157">
            <w:pPr>
              <w:jc w:val="right"/>
              <w:rPr>
                <w:rFonts w:eastAsia="楷体_GB2312"/>
                <w:b/>
                <w:i/>
                <w:sz w:val="18"/>
              </w:rPr>
            </w:pPr>
            <w:r>
              <w:rPr>
                <w:rFonts w:eastAsia="楷体_GB2312"/>
                <w:b/>
                <w:i/>
                <w:sz w:val="18"/>
              </w:rPr>
              <w:t>1</w:t>
            </w:r>
            <w:r>
              <w:rPr>
                <w:rFonts w:eastAsia="楷体_GB2312"/>
                <w:b/>
                <w:i/>
                <w:sz w:val="18"/>
              </w:rPr>
              <w:t>3,808.34</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18</w:t>
            </w:r>
          </w:p>
        </w:tc>
        <w:tc>
          <w:tcPr>
            <w:tcW w:w="1050"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22,996.83</w:t>
            </w:r>
          </w:p>
        </w:tc>
        <w:tc>
          <w:tcPr>
            <w:tcW w:w="1155"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10,623.17</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30</w:t>
            </w:r>
          </w:p>
        </w:tc>
        <w:tc>
          <w:tcPr>
            <w:tcW w:w="1050"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26,694.09</w:t>
            </w:r>
          </w:p>
        </w:tc>
        <w:tc>
          <w:tcPr>
            <w:tcW w:w="1155" w:type="dxa"/>
            <w:tcBorders>
              <w:lef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6,925.91</w:t>
            </w:r>
          </w:p>
        </w:tc>
      </w:tr>
      <w:tr w:rsidR="00000000">
        <w:tblPrEx>
          <w:tblCellMar>
            <w:top w:w="0" w:type="dxa"/>
            <w:bottom w:w="0" w:type="dxa"/>
          </w:tblCellMar>
        </w:tblPrEx>
        <w:trPr>
          <w:trHeight w:val="90"/>
        </w:trPr>
        <w:tc>
          <w:tcPr>
            <w:tcW w:w="840" w:type="dxa"/>
            <w:tcBorders>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33,620</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7</w:t>
            </w:r>
          </w:p>
        </w:tc>
        <w:tc>
          <w:tcPr>
            <w:tcW w:w="1050" w:type="dxa"/>
            <w:tcBorders>
              <w:left w:val="single" w:sz="8" w:space="0" w:color="auto"/>
              <w:right w:val="single" w:sz="8" w:space="0" w:color="auto"/>
            </w:tcBorders>
            <w:vAlign w:val="center"/>
          </w:tcPr>
          <w:p w:rsidR="00000000" w:rsidRDefault="00661157">
            <w:pPr>
              <w:jc w:val="right"/>
              <w:rPr>
                <w:rFonts w:eastAsia="楷体_GB2312"/>
                <w:b/>
                <w:i/>
                <w:sz w:val="18"/>
              </w:rPr>
            </w:pPr>
            <w:r>
              <w:rPr>
                <w:rFonts w:eastAsia="楷体_GB2312"/>
                <w:b/>
                <w:i/>
                <w:sz w:val="18"/>
              </w:rPr>
              <w:t>20,059.33</w:t>
            </w:r>
          </w:p>
        </w:tc>
        <w:tc>
          <w:tcPr>
            <w:tcW w:w="1155" w:type="dxa"/>
            <w:tcBorders>
              <w:left w:val="single" w:sz="8" w:space="0" w:color="auto"/>
              <w:right w:val="single" w:sz="8" w:space="0" w:color="auto"/>
            </w:tcBorders>
            <w:vAlign w:val="center"/>
          </w:tcPr>
          <w:p w:rsidR="00000000" w:rsidRDefault="00661157">
            <w:pPr>
              <w:jc w:val="right"/>
              <w:rPr>
                <w:rFonts w:eastAsia="楷体_GB2312"/>
                <w:b/>
                <w:i/>
                <w:sz w:val="18"/>
              </w:rPr>
            </w:pPr>
            <w:r>
              <w:rPr>
                <w:rFonts w:eastAsia="楷体_GB2312"/>
                <w:b/>
                <w:i/>
                <w:sz w:val="18"/>
              </w:rPr>
              <w:t>13,560.67</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19</w:t>
            </w:r>
          </w:p>
        </w:tc>
        <w:tc>
          <w:tcPr>
            <w:tcW w:w="1050"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23,284.32</w:t>
            </w:r>
          </w:p>
        </w:tc>
        <w:tc>
          <w:tcPr>
            <w:tcW w:w="1155"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10,335.68</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31</w:t>
            </w:r>
          </w:p>
        </w:tc>
        <w:tc>
          <w:tcPr>
            <w:tcW w:w="1050"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27,027.80</w:t>
            </w:r>
          </w:p>
        </w:tc>
        <w:tc>
          <w:tcPr>
            <w:tcW w:w="1155" w:type="dxa"/>
            <w:tcBorders>
              <w:lef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6,592.20</w:t>
            </w:r>
          </w:p>
        </w:tc>
      </w:tr>
      <w:tr w:rsidR="00000000">
        <w:tblPrEx>
          <w:tblCellMar>
            <w:top w:w="0" w:type="dxa"/>
            <w:bottom w:w="0" w:type="dxa"/>
          </w:tblCellMar>
        </w:tblPrEx>
        <w:trPr>
          <w:trHeight w:val="135"/>
        </w:trPr>
        <w:tc>
          <w:tcPr>
            <w:tcW w:w="840" w:type="dxa"/>
            <w:tcBorders>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33,620</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8</w:t>
            </w:r>
          </w:p>
        </w:tc>
        <w:tc>
          <w:tcPr>
            <w:tcW w:w="1050" w:type="dxa"/>
            <w:tcBorders>
              <w:left w:val="single" w:sz="8" w:space="0" w:color="auto"/>
              <w:right w:val="single" w:sz="8" w:space="0" w:color="auto"/>
            </w:tcBorders>
            <w:vAlign w:val="center"/>
          </w:tcPr>
          <w:p w:rsidR="00000000" w:rsidRDefault="00661157">
            <w:pPr>
              <w:jc w:val="right"/>
              <w:rPr>
                <w:rFonts w:eastAsia="楷体_GB2312"/>
                <w:b/>
                <w:i/>
                <w:sz w:val="18"/>
              </w:rPr>
            </w:pPr>
            <w:r>
              <w:rPr>
                <w:rFonts w:eastAsia="楷体_GB2312"/>
                <w:b/>
                <w:i/>
                <w:sz w:val="18"/>
              </w:rPr>
              <w:t>20,310.10</w:t>
            </w:r>
          </w:p>
        </w:tc>
        <w:tc>
          <w:tcPr>
            <w:tcW w:w="1155" w:type="dxa"/>
            <w:tcBorders>
              <w:left w:val="single" w:sz="8" w:space="0" w:color="auto"/>
              <w:right w:val="single" w:sz="8" w:space="0" w:color="auto"/>
            </w:tcBorders>
            <w:vAlign w:val="center"/>
          </w:tcPr>
          <w:p w:rsidR="00000000" w:rsidRDefault="00661157">
            <w:pPr>
              <w:jc w:val="right"/>
              <w:rPr>
                <w:rFonts w:eastAsia="楷体_GB2312"/>
                <w:b/>
                <w:i/>
                <w:sz w:val="18"/>
              </w:rPr>
            </w:pPr>
            <w:r>
              <w:rPr>
                <w:rFonts w:eastAsia="楷体_GB2312"/>
                <w:b/>
                <w:i/>
                <w:sz w:val="18"/>
              </w:rPr>
              <w:t>13,309.90</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20</w:t>
            </w:r>
          </w:p>
        </w:tc>
        <w:tc>
          <w:tcPr>
            <w:tcW w:w="1050"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23,575.40</w:t>
            </w:r>
          </w:p>
        </w:tc>
        <w:tc>
          <w:tcPr>
            <w:tcW w:w="1155"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10,044.60</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32</w:t>
            </w:r>
          </w:p>
        </w:tc>
        <w:tc>
          <w:tcPr>
            <w:tcW w:w="1050"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27,365.68</w:t>
            </w:r>
          </w:p>
        </w:tc>
        <w:tc>
          <w:tcPr>
            <w:tcW w:w="1155" w:type="dxa"/>
            <w:tcBorders>
              <w:lef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6,254.32</w:t>
            </w:r>
          </w:p>
        </w:tc>
      </w:tr>
      <w:tr w:rsidR="00000000">
        <w:tblPrEx>
          <w:tblCellMar>
            <w:top w:w="0" w:type="dxa"/>
            <w:bottom w:w="0" w:type="dxa"/>
          </w:tblCellMar>
        </w:tblPrEx>
        <w:trPr>
          <w:trHeight w:val="105"/>
        </w:trPr>
        <w:tc>
          <w:tcPr>
            <w:tcW w:w="840" w:type="dxa"/>
            <w:tcBorders>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33,620</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9</w:t>
            </w:r>
          </w:p>
        </w:tc>
        <w:tc>
          <w:tcPr>
            <w:tcW w:w="1050" w:type="dxa"/>
            <w:tcBorders>
              <w:left w:val="single" w:sz="8" w:space="0" w:color="auto"/>
              <w:right w:val="single" w:sz="8" w:space="0" w:color="auto"/>
            </w:tcBorders>
            <w:vAlign w:val="center"/>
          </w:tcPr>
          <w:p w:rsidR="00000000" w:rsidRDefault="00661157">
            <w:pPr>
              <w:jc w:val="right"/>
              <w:rPr>
                <w:rFonts w:eastAsia="楷体_GB2312"/>
                <w:b/>
                <w:i/>
                <w:sz w:val="18"/>
              </w:rPr>
            </w:pPr>
            <w:r>
              <w:rPr>
                <w:rFonts w:eastAsia="楷体_GB2312"/>
                <w:b/>
                <w:i/>
                <w:sz w:val="18"/>
              </w:rPr>
              <w:t>20,564.00</w:t>
            </w:r>
          </w:p>
        </w:tc>
        <w:tc>
          <w:tcPr>
            <w:tcW w:w="1155" w:type="dxa"/>
            <w:tcBorders>
              <w:left w:val="single" w:sz="8" w:space="0" w:color="auto"/>
              <w:right w:val="single" w:sz="8" w:space="0" w:color="auto"/>
            </w:tcBorders>
            <w:vAlign w:val="center"/>
          </w:tcPr>
          <w:p w:rsidR="00000000" w:rsidRDefault="00661157">
            <w:pPr>
              <w:jc w:val="right"/>
              <w:rPr>
                <w:rFonts w:eastAsia="楷体_GB2312"/>
                <w:b/>
                <w:i/>
                <w:sz w:val="18"/>
              </w:rPr>
            </w:pPr>
            <w:r>
              <w:rPr>
                <w:rFonts w:eastAsia="楷体_GB2312"/>
                <w:b/>
                <w:i/>
                <w:sz w:val="18"/>
              </w:rPr>
              <w:t>13,056.00</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21</w:t>
            </w:r>
          </w:p>
        </w:tc>
        <w:tc>
          <w:tcPr>
            <w:tcW w:w="1050"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23,870.13</w:t>
            </w:r>
          </w:p>
        </w:tc>
        <w:tc>
          <w:tcPr>
            <w:tcW w:w="1155"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9,749.87</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33</w:t>
            </w:r>
          </w:p>
        </w:tc>
        <w:tc>
          <w:tcPr>
            <w:tcW w:w="1050"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27,709.79</w:t>
            </w:r>
          </w:p>
        </w:tc>
        <w:tc>
          <w:tcPr>
            <w:tcW w:w="1155" w:type="dxa"/>
            <w:tcBorders>
              <w:lef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5,912.21</w:t>
            </w:r>
          </w:p>
        </w:tc>
      </w:tr>
      <w:tr w:rsidR="00000000">
        <w:tblPrEx>
          <w:tblCellMar>
            <w:top w:w="0" w:type="dxa"/>
            <w:bottom w:w="0" w:type="dxa"/>
          </w:tblCellMar>
        </w:tblPrEx>
        <w:trPr>
          <w:trHeight w:val="150"/>
        </w:trPr>
        <w:tc>
          <w:tcPr>
            <w:tcW w:w="840" w:type="dxa"/>
            <w:tcBorders>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33,620</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10</w:t>
            </w:r>
          </w:p>
        </w:tc>
        <w:tc>
          <w:tcPr>
            <w:tcW w:w="1050" w:type="dxa"/>
            <w:tcBorders>
              <w:left w:val="single" w:sz="8" w:space="0" w:color="auto"/>
              <w:right w:val="single" w:sz="8" w:space="0" w:color="auto"/>
            </w:tcBorders>
            <w:vAlign w:val="center"/>
          </w:tcPr>
          <w:p w:rsidR="00000000" w:rsidRDefault="00661157">
            <w:pPr>
              <w:jc w:val="right"/>
              <w:rPr>
                <w:rFonts w:eastAsia="楷体_GB2312"/>
                <w:b/>
                <w:i/>
                <w:sz w:val="18"/>
              </w:rPr>
            </w:pPr>
            <w:r>
              <w:rPr>
                <w:rFonts w:eastAsia="楷体_GB2312"/>
                <w:b/>
                <w:i/>
                <w:sz w:val="18"/>
              </w:rPr>
              <w:t>20,821.08</w:t>
            </w:r>
          </w:p>
        </w:tc>
        <w:tc>
          <w:tcPr>
            <w:tcW w:w="1155" w:type="dxa"/>
            <w:tcBorders>
              <w:left w:val="single" w:sz="8" w:space="0" w:color="auto"/>
              <w:right w:val="single" w:sz="8" w:space="0" w:color="auto"/>
            </w:tcBorders>
            <w:vAlign w:val="center"/>
          </w:tcPr>
          <w:p w:rsidR="00000000" w:rsidRDefault="00661157">
            <w:pPr>
              <w:jc w:val="right"/>
              <w:rPr>
                <w:rFonts w:eastAsia="楷体_GB2312"/>
                <w:b/>
                <w:i/>
                <w:sz w:val="18"/>
              </w:rPr>
            </w:pPr>
            <w:r>
              <w:rPr>
                <w:rFonts w:eastAsia="楷体_GB2312"/>
                <w:b/>
                <w:i/>
                <w:sz w:val="18"/>
              </w:rPr>
              <w:t>12,798.92</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22</w:t>
            </w:r>
          </w:p>
        </w:tc>
        <w:tc>
          <w:tcPr>
            <w:tcW w:w="1050"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24,168.54</w:t>
            </w:r>
          </w:p>
        </w:tc>
        <w:tc>
          <w:tcPr>
            <w:tcW w:w="1155"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9,451.46</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34</w:t>
            </w:r>
          </w:p>
        </w:tc>
        <w:tc>
          <w:tcPr>
            <w:tcW w:w="1050"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28,054.18</w:t>
            </w:r>
          </w:p>
        </w:tc>
        <w:tc>
          <w:tcPr>
            <w:tcW w:w="1155" w:type="dxa"/>
            <w:tcBorders>
              <w:lef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5,565.82</w:t>
            </w:r>
          </w:p>
        </w:tc>
      </w:tr>
      <w:tr w:rsidR="00000000">
        <w:tblPrEx>
          <w:tblCellMar>
            <w:top w:w="0" w:type="dxa"/>
            <w:bottom w:w="0" w:type="dxa"/>
          </w:tblCellMar>
        </w:tblPrEx>
        <w:trPr>
          <w:trHeight w:val="105"/>
        </w:trPr>
        <w:tc>
          <w:tcPr>
            <w:tcW w:w="840" w:type="dxa"/>
            <w:tcBorders>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33,620</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11</w:t>
            </w:r>
          </w:p>
        </w:tc>
        <w:tc>
          <w:tcPr>
            <w:tcW w:w="1050" w:type="dxa"/>
            <w:tcBorders>
              <w:left w:val="single" w:sz="8" w:space="0" w:color="auto"/>
              <w:right w:val="single" w:sz="8" w:space="0" w:color="auto"/>
            </w:tcBorders>
            <w:vAlign w:val="center"/>
          </w:tcPr>
          <w:p w:rsidR="00000000" w:rsidRDefault="00661157">
            <w:pPr>
              <w:jc w:val="right"/>
              <w:rPr>
                <w:rFonts w:eastAsia="楷体_GB2312"/>
                <w:b/>
                <w:i/>
                <w:sz w:val="18"/>
              </w:rPr>
            </w:pPr>
            <w:r>
              <w:rPr>
                <w:rFonts w:eastAsia="楷体_GB2312"/>
                <w:b/>
                <w:i/>
                <w:sz w:val="18"/>
              </w:rPr>
              <w:t>21,081.37</w:t>
            </w:r>
          </w:p>
        </w:tc>
        <w:tc>
          <w:tcPr>
            <w:tcW w:w="1155" w:type="dxa"/>
            <w:tcBorders>
              <w:left w:val="single" w:sz="8" w:space="0" w:color="auto"/>
              <w:right w:val="single" w:sz="8" w:space="0" w:color="auto"/>
            </w:tcBorders>
            <w:vAlign w:val="center"/>
          </w:tcPr>
          <w:p w:rsidR="00000000" w:rsidRDefault="00661157">
            <w:pPr>
              <w:jc w:val="right"/>
              <w:rPr>
                <w:rFonts w:eastAsia="楷体_GB2312"/>
                <w:b/>
                <w:i/>
                <w:sz w:val="18"/>
              </w:rPr>
            </w:pPr>
            <w:r>
              <w:rPr>
                <w:rFonts w:eastAsia="楷体_GB2312"/>
                <w:b/>
                <w:i/>
                <w:sz w:val="18"/>
              </w:rPr>
              <w:t>12,538.63</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23</w:t>
            </w:r>
          </w:p>
        </w:tc>
        <w:tc>
          <w:tcPr>
            <w:tcW w:w="1050"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24,470.67</w:t>
            </w:r>
          </w:p>
        </w:tc>
        <w:tc>
          <w:tcPr>
            <w:tcW w:w="1155"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9,149.33</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35</w:t>
            </w:r>
          </w:p>
        </w:tc>
        <w:tc>
          <w:tcPr>
            <w:tcW w:w="1050"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28,404.89</w:t>
            </w:r>
          </w:p>
        </w:tc>
        <w:tc>
          <w:tcPr>
            <w:tcW w:w="1155" w:type="dxa"/>
            <w:tcBorders>
              <w:lef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5,215.11</w:t>
            </w:r>
          </w:p>
        </w:tc>
      </w:tr>
      <w:tr w:rsidR="00000000">
        <w:tblPrEx>
          <w:tblCellMar>
            <w:top w:w="0" w:type="dxa"/>
            <w:bottom w:w="0" w:type="dxa"/>
          </w:tblCellMar>
        </w:tblPrEx>
        <w:trPr>
          <w:trHeight w:val="210"/>
        </w:trPr>
        <w:tc>
          <w:tcPr>
            <w:tcW w:w="840" w:type="dxa"/>
            <w:tcBorders>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33,620</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12</w:t>
            </w:r>
          </w:p>
        </w:tc>
        <w:tc>
          <w:tcPr>
            <w:tcW w:w="1050" w:type="dxa"/>
            <w:tcBorders>
              <w:left w:val="single" w:sz="8" w:space="0" w:color="auto"/>
              <w:right w:val="single" w:sz="8" w:space="0" w:color="auto"/>
            </w:tcBorders>
            <w:vAlign w:val="center"/>
          </w:tcPr>
          <w:p w:rsidR="00000000" w:rsidRDefault="00661157">
            <w:pPr>
              <w:jc w:val="right"/>
              <w:rPr>
                <w:rFonts w:eastAsia="楷体_GB2312"/>
                <w:b/>
                <w:i/>
                <w:sz w:val="18"/>
              </w:rPr>
            </w:pPr>
            <w:r>
              <w:rPr>
                <w:rFonts w:eastAsia="楷体_GB2312"/>
                <w:b/>
                <w:i/>
                <w:sz w:val="18"/>
              </w:rPr>
              <w:t>21,344.91</w:t>
            </w:r>
          </w:p>
        </w:tc>
        <w:tc>
          <w:tcPr>
            <w:tcW w:w="1155" w:type="dxa"/>
            <w:tcBorders>
              <w:left w:val="single" w:sz="8" w:space="0" w:color="auto"/>
              <w:right w:val="single" w:sz="8" w:space="0" w:color="auto"/>
            </w:tcBorders>
            <w:vAlign w:val="center"/>
          </w:tcPr>
          <w:p w:rsidR="00000000" w:rsidRDefault="00661157">
            <w:pPr>
              <w:jc w:val="right"/>
              <w:rPr>
                <w:rFonts w:eastAsia="楷体_GB2312"/>
                <w:b/>
                <w:i/>
                <w:sz w:val="18"/>
              </w:rPr>
            </w:pPr>
            <w:r>
              <w:rPr>
                <w:rFonts w:eastAsia="楷体_GB2312"/>
                <w:b/>
                <w:i/>
                <w:sz w:val="18"/>
              </w:rPr>
              <w:t>12,275.09</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24</w:t>
            </w:r>
          </w:p>
        </w:tc>
        <w:tc>
          <w:tcPr>
            <w:tcW w:w="1050"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24,776.59</w:t>
            </w:r>
          </w:p>
        </w:tc>
        <w:tc>
          <w:tcPr>
            <w:tcW w:w="1155"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8,843.41</w:t>
            </w:r>
          </w:p>
        </w:tc>
        <w:tc>
          <w:tcPr>
            <w:tcW w:w="630" w:type="dxa"/>
            <w:tcBorders>
              <w:left w:val="single" w:sz="8" w:space="0" w:color="auto"/>
              <w:right w:val="single" w:sz="8" w:space="0" w:color="auto"/>
            </w:tcBorders>
            <w:vAlign w:val="center"/>
          </w:tcPr>
          <w:p w:rsidR="00000000" w:rsidRDefault="00661157">
            <w:pPr>
              <w:jc w:val="center"/>
              <w:rPr>
                <w:rFonts w:eastAsia="楷体_GB2312" w:hint="eastAsia"/>
                <w:b/>
                <w:sz w:val="18"/>
              </w:rPr>
            </w:pPr>
            <w:r>
              <w:rPr>
                <w:rFonts w:eastAsia="楷体_GB2312" w:hint="eastAsia"/>
                <w:b/>
                <w:sz w:val="18"/>
              </w:rPr>
              <w:t>36</w:t>
            </w:r>
          </w:p>
        </w:tc>
        <w:tc>
          <w:tcPr>
            <w:tcW w:w="1050" w:type="dxa"/>
            <w:tcBorders>
              <w:left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28,759.99</w:t>
            </w:r>
          </w:p>
        </w:tc>
        <w:tc>
          <w:tcPr>
            <w:tcW w:w="1155" w:type="dxa"/>
            <w:tcBorders>
              <w:lef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4,860.01</w:t>
            </w:r>
          </w:p>
        </w:tc>
      </w:tr>
      <w:tr w:rsidR="00000000">
        <w:tblPrEx>
          <w:tblCellMar>
            <w:top w:w="0" w:type="dxa"/>
            <w:bottom w:w="0" w:type="dxa"/>
          </w:tblCellMar>
        </w:tblPrEx>
        <w:trPr>
          <w:trHeight w:val="240"/>
        </w:trPr>
        <w:tc>
          <w:tcPr>
            <w:tcW w:w="840" w:type="dxa"/>
            <w:tcBorders>
              <w:bottom w:val="single" w:sz="8" w:space="0" w:color="auto"/>
              <w:right w:val="single" w:sz="8" w:space="0" w:color="auto"/>
            </w:tcBorders>
            <w:vAlign w:val="center"/>
          </w:tcPr>
          <w:p w:rsidR="00000000" w:rsidRDefault="00661157">
            <w:pPr>
              <w:jc w:val="center"/>
              <w:rPr>
                <w:rFonts w:eastAsia="黑体" w:hint="eastAsia"/>
                <w:b/>
                <w:sz w:val="18"/>
              </w:rPr>
            </w:pPr>
            <w:r>
              <w:rPr>
                <w:rFonts w:eastAsia="黑体" w:hint="eastAsia"/>
                <w:b/>
                <w:sz w:val="18"/>
              </w:rPr>
              <w:t>合计</w:t>
            </w:r>
          </w:p>
        </w:tc>
        <w:tc>
          <w:tcPr>
            <w:tcW w:w="630" w:type="dxa"/>
            <w:tcBorders>
              <w:left w:val="single" w:sz="8" w:space="0" w:color="auto"/>
              <w:bottom w:val="single" w:sz="8" w:space="0" w:color="auto"/>
              <w:right w:val="single" w:sz="8" w:space="0" w:color="auto"/>
            </w:tcBorders>
            <w:vAlign w:val="center"/>
          </w:tcPr>
          <w:p w:rsidR="00000000" w:rsidRDefault="00661157">
            <w:pPr>
              <w:jc w:val="right"/>
              <w:rPr>
                <w:rFonts w:eastAsia="楷体_GB2312" w:hint="eastAsia"/>
                <w:b/>
                <w:i/>
                <w:sz w:val="18"/>
              </w:rPr>
            </w:pPr>
          </w:p>
        </w:tc>
        <w:tc>
          <w:tcPr>
            <w:tcW w:w="1050" w:type="dxa"/>
            <w:tcBorders>
              <w:left w:val="single" w:sz="8" w:space="0" w:color="auto"/>
              <w:bottom w:val="single" w:sz="8" w:space="0" w:color="auto"/>
              <w:right w:val="single" w:sz="8" w:space="0" w:color="auto"/>
            </w:tcBorders>
            <w:vAlign w:val="center"/>
          </w:tcPr>
          <w:p w:rsidR="00000000" w:rsidRDefault="00661157">
            <w:pPr>
              <w:jc w:val="right"/>
              <w:rPr>
                <w:rFonts w:eastAsia="楷体_GB2312"/>
                <w:b/>
                <w:i/>
                <w:sz w:val="18"/>
              </w:rPr>
            </w:pPr>
            <w:r>
              <w:rPr>
                <w:rFonts w:eastAsia="楷体_GB2312"/>
                <w:b/>
                <w:i/>
                <w:sz w:val="18"/>
              </w:rPr>
              <w:t>239,</w:t>
            </w:r>
            <w:r>
              <w:rPr>
                <w:rFonts w:eastAsia="楷体_GB2312"/>
                <w:b/>
                <w:i/>
                <w:sz w:val="18"/>
              </w:rPr>
              <w:t>441.37</w:t>
            </w:r>
          </w:p>
        </w:tc>
        <w:tc>
          <w:tcPr>
            <w:tcW w:w="1155" w:type="dxa"/>
            <w:tcBorders>
              <w:left w:val="single" w:sz="8" w:space="0" w:color="auto"/>
              <w:bottom w:val="single" w:sz="8" w:space="0" w:color="auto"/>
              <w:right w:val="single" w:sz="8" w:space="0" w:color="auto"/>
            </w:tcBorders>
            <w:vAlign w:val="center"/>
          </w:tcPr>
          <w:p w:rsidR="00000000" w:rsidRDefault="00661157">
            <w:pPr>
              <w:jc w:val="right"/>
              <w:rPr>
                <w:rFonts w:eastAsia="楷体_GB2312"/>
                <w:b/>
                <w:i/>
                <w:sz w:val="18"/>
              </w:rPr>
            </w:pPr>
            <w:r>
              <w:rPr>
                <w:rFonts w:eastAsia="楷体_GB2312"/>
                <w:b/>
                <w:i/>
                <w:sz w:val="18"/>
              </w:rPr>
              <w:t>163,998.63</w:t>
            </w:r>
          </w:p>
        </w:tc>
        <w:tc>
          <w:tcPr>
            <w:tcW w:w="630" w:type="dxa"/>
            <w:tcBorders>
              <w:left w:val="single" w:sz="8" w:space="0" w:color="auto"/>
              <w:bottom w:val="single" w:sz="8" w:space="0" w:color="auto"/>
              <w:right w:val="single" w:sz="8" w:space="0" w:color="auto"/>
            </w:tcBorders>
            <w:vAlign w:val="center"/>
          </w:tcPr>
          <w:p w:rsidR="00000000" w:rsidRDefault="00661157">
            <w:pPr>
              <w:jc w:val="right"/>
              <w:rPr>
                <w:rFonts w:eastAsia="楷体_GB2312" w:hint="eastAsia"/>
                <w:b/>
                <w:i/>
                <w:sz w:val="18"/>
              </w:rPr>
            </w:pPr>
          </w:p>
        </w:tc>
        <w:tc>
          <w:tcPr>
            <w:tcW w:w="1050" w:type="dxa"/>
            <w:tcBorders>
              <w:left w:val="single" w:sz="8" w:space="0" w:color="auto"/>
              <w:bottom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277,936.99</w:t>
            </w:r>
          </w:p>
        </w:tc>
        <w:tc>
          <w:tcPr>
            <w:tcW w:w="1155" w:type="dxa"/>
            <w:tcBorders>
              <w:left w:val="single" w:sz="8" w:space="0" w:color="auto"/>
              <w:bottom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125,503.01</w:t>
            </w:r>
          </w:p>
        </w:tc>
        <w:tc>
          <w:tcPr>
            <w:tcW w:w="630" w:type="dxa"/>
            <w:tcBorders>
              <w:left w:val="single" w:sz="8" w:space="0" w:color="auto"/>
              <w:bottom w:val="single" w:sz="8" w:space="0" w:color="auto"/>
              <w:right w:val="single" w:sz="8" w:space="0" w:color="auto"/>
            </w:tcBorders>
            <w:vAlign w:val="center"/>
          </w:tcPr>
          <w:p w:rsidR="00000000" w:rsidRDefault="00661157">
            <w:pPr>
              <w:jc w:val="right"/>
              <w:rPr>
                <w:rFonts w:eastAsia="楷体_GB2312" w:hint="eastAsia"/>
                <w:b/>
                <w:i/>
                <w:sz w:val="18"/>
              </w:rPr>
            </w:pPr>
          </w:p>
        </w:tc>
        <w:tc>
          <w:tcPr>
            <w:tcW w:w="1050" w:type="dxa"/>
            <w:tcBorders>
              <w:left w:val="single" w:sz="8" w:space="0" w:color="auto"/>
              <w:bottom w:val="single" w:sz="8" w:space="0" w:color="auto"/>
              <w:right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322,621.65</w:t>
            </w:r>
          </w:p>
        </w:tc>
        <w:tc>
          <w:tcPr>
            <w:tcW w:w="1155" w:type="dxa"/>
            <w:tcBorders>
              <w:left w:val="single" w:sz="8" w:space="0" w:color="auto"/>
              <w:bottom w:val="single" w:sz="8" w:space="0" w:color="auto"/>
            </w:tcBorders>
            <w:vAlign w:val="center"/>
          </w:tcPr>
          <w:p w:rsidR="00000000" w:rsidRDefault="00661157">
            <w:pPr>
              <w:jc w:val="right"/>
              <w:rPr>
                <w:rFonts w:eastAsia="楷体_GB2312" w:hint="eastAsia"/>
                <w:b/>
                <w:i/>
                <w:sz w:val="18"/>
              </w:rPr>
            </w:pPr>
            <w:r>
              <w:rPr>
                <w:rFonts w:eastAsia="楷体_GB2312" w:hint="eastAsia"/>
                <w:b/>
                <w:i/>
                <w:sz w:val="18"/>
              </w:rPr>
              <w:t>80,818.35</w:t>
            </w:r>
          </w:p>
        </w:tc>
      </w:tr>
      <w:tr w:rsidR="00000000">
        <w:tblPrEx>
          <w:tblCellMar>
            <w:top w:w="0" w:type="dxa"/>
            <w:bottom w:w="0" w:type="dxa"/>
          </w:tblCellMar>
        </w:tblPrEx>
        <w:trPr>
          <w:cantSplit/>
          <w:trHeight w:val="210"/>
        </w:trPr>
        <w:tc>
          <w:tcPr>
            <w:tcW w:w="1470" w:type="dxa"/>
            <w:gridSpan w:val="2"/>
            <w:tcBorders>
              <w:top w:val="single" w:sz="8" w:space="0" w:color="auto"/>
              <w:bottom w:val="single" w:sz="8" w:space="0" w:color="auto"/>
              <w:right w:val="single" w:sz="8" w:space="0" w:color="auto"/>
            </w:tcBorders>
            <w:vAlign w:val="center"/>
          </w:tcPr>
          <w:p w:rsidR="00000000" w:rsidRDefault="00661157">
            <w:pPr>
              <w:jc w:val="center"/>
              <w:rPr>
                <w:rFonts w:eastAsia="黑体" w:hint="eastAsia"/>
                <w:b/>
                <w:sz w:val="24"/>
              </w:rPr>
            </w:pPr>
            <w:r>
              <w:rPr>
                <w:rFonts w:eastAsia="黑体" w:hint="eastAsia"/>
                <w:b/>
                <w:sz w:val="24"/>
              </w:rPr>
              <w:t>租金合计</w:t>
            </w:r>
          </w:p>
        </w:tc>
        <w:tc>
          <w:tcPr>
            <w:tcW w:w="2205" w:type="dxa"/>
            <w:gridSpan w:val="2"/>
            <w:tcBorders>
              <w:top w:val="single" w:sz="8" w:space="0" w:color="auto"/>
              <w:left w:val="single" w:sz="8" w:space="0" w:color="auto"/>
              <w:bottom w:val="single" w:sz="8" w:space="0" w:color="auto"/>
              <w:right w:val="single" w:sz="8" w:space="0" w:color="auto"/>
            </w:tcBorders>
            <w:vAlign w:val="center"/>
          </w:tcPr>
          <w:p w:rsidR="00000000" w:rsidRDefault="00661157">
            <w:pPr>
              <w:jc w:val="center"/>
              <w:rPr>
                <w:rFonts w:eastAsia="楷体_GB2312" w:hint="eastAsia"/>
                <w:b/>
                <w:i/>
                <w:sz w:val="24"/>
              </w:rPr>
            </w:pPr>
            <w:r>
              <w:rPr>
                <w:rFonts w:eastAsia="楷体_GB2312" w:hint="eastAsia"/>
                <w:b/>
                <w:i/>
                <w:sz w:val="24"/>
              </w:rPr>
              <w:t>403,440.00</w:t>
            </w:r>
          </w:p>
        </w:tc>
        <w:tc>
          <w:tcPr>
            <w:tcW w:w="2835" w:type="dxa"/>
            <w:gridSpan w:val="3"/>
            <w:tcBorders>
              <w:top w:val="single" w:sz="8" w:space="0" w:color="auto"/>
              <w:left w:val="single" w:sz="8" w:space="0" w:color="auto"/>
              <w:bottom w:val="single" w:sz="8" w:space="0" w:color="auto"/>
              <w:right w:val="single" w:sz="8" w:space="0" w:color="auto"/>
            </w:tcBorders>
            <w:vAlign w:val="center"/>
          </w:tcPr>
          <w:p w:rsidR="00000000" w:rsidRDefault="00661157">
            <w:pPr>
              <w:jc w:val="center"/>
              <w:rPr>
                <w:rFonts w:eastAsia="楷体_GB2312" w:hint="eastAsia"/>
                <w:b/>
                <w:i/>
                <w:sz w:val="24"/>
              </w:rPr>
            </w:pPr>
            <w:r>
              <w:rPr>
                <w:rFonts w:eastAsia="楷体_GB2312" w:hint="eastAsia"/>
                <w:b/>
                <w:i/>
                <w:sz w:val="24"/>
              </w:rPr>
              <w:t>403,440.00</w:t>
            </w:r>
          </w:p>
        </w:tc>
        <w:tc>
          <w:tcPr>
            <w:tcW w:w="2835" w:type="dxa"/>
            <w:gridSpan w:val="3"/>
            <w:tcBorders>
              <w:top w:val="single" w:sz="8" w:space="0" w:color="auto"/>
              <w:left w:val="single" w:sz="8" w:space="0" w:color="auto"/>
              <w:bottom w:val="single" w:sz="8" w:space="0" w:color="auto"/>
            </w:tcBorders>
            <w:vAlign w:val="center"/>
          </w:tcPr>
          <w:p w:rsidR="00000000" w:rsidRDefault="00661157">
            <w:pPr>
              <w:jc w:val="center"/>
              <w:rPr>
                <w:rFonts w:eastAsia="楷体_GB2312" w:hint="eastAsia"/>
                <w:b/>
                <w:i/>
                <w:sz w:val="24"/>
              </w:rPr>
            </w:pPr>
            <w:r>
              <w:rPr>
                <w:rFonts w:eastAsia="楷体_GB2312" w:hint="eastAsia"/>
                <w:b/>
                <w:i/>
                <w:sz w:val="24"/>
              </w:rPr>
              <w:t>403,440.00</w:t>
            </w:r>
          </w:p>
        </w:tc>
      </w:tr>
      <w:tr w:rsidR="00000000">
        <w:tblPrEx>
          <w:tblCellMar>
            <w:top w:w="0" w:type="dxa"/>
            <w:bottom w:w="0" w:type="dxa"/>
          </w:tblCellMar>
        </w:tblPrEx>
        <w:trPr>
          <w:cantSplit/>
          <w:trHeight w:val="285"/>
        </w:trPr>
        <w:tc>
          <w:tcPr>
            <w:tcW w:w="1470" w:type="dxa"/>
            <w:gridSpan w:val="2"/>
            <w:tcBorders>
              <w:top w:val="single" w:sz="8" w:space="0" w:color="auto"/>
              <w:bottom w:val="single" w:sz="8" w:space="0" w:color="auto"/>
              <w:right w:val="single" w:sz="8" w:space="0" w:color="auto"/>
            </w:tcBorders>
            <w:vAlign w:val="center"/>
          </w:tcPr>
          <w:p w:rsidR="00000000" w:rsidRDefault="00661157">
            <w:pPr>
              <w:jc w:val="center"/>
              <w:rPr>
                <w:rFonts w:eastAsia="黑体" w:hint="eastAsia"/>
                <w:b/>
                <w:sz w:val="24"/>
              </w:rPr>
            </w:pPr>
            <w:r>
              <w:rPr>
                <w:rFonts w:eastAsia="黑体" w:hint="eastAsia"/>
                <w:b/>
                <w:sz w:val="24"/>
              </w:rPr>
              <w:t>收回本金</w:t>
            </w:r>
          </w:p>
        </w:tc>
        <w:tc>
          <w:tcPr>
            <w:tcW w:w="2205" w:type="dxa"/>
            <w:gridSpan w:val="2"/>
            <w:tcBorders>
              <w:top w:val="single" w:sz="8" w:space="0" w:color="auto"/>
              <w:left w:val="single" w:sz="8" w:space="0" w:color="auto"/>
              <w:bottom w:val="single" w:sz="8" w:space="0" w:color="auto"/>
              <w:right w:val="single" w:sz="8" w:space="0" w:color="auto"/>
            </w:tcBorders>
            <w:vAlign w:val="center"/>
          </w:tcPr>
          <w:p w:rsidR="00000000" w:rsidRDefault="00661157">
            <w:pPr>
              <w:jc w:val="center"/>
              <w:rPr>
                <w:rFonts w:eastAsia="楷体_GB2312" w:hint="eastAsia"/>
                <w:b/>
                <w:i/>
                <w:sz w:val="24"/>
              </w:rPr>
            </w:pPr>
            <w:r>
              <w:rPr>
                <w:rFonts w:eastAsia="楷体_GB2312" w:hint="eastAsia"/>
                <w:b/>
                <w:i/>
                <w:sz w:val="24"/>
              </w:rPr>
              <w:t>239,441.37</w:t>
            </w:r>
          </w:p>
        </w:tc>
        <w:tc>
          <w:tcPr>
            <w:tcW w:w="2835" w:type="dxa"/>
            <w:gridSpan w:val="3"/>
            <w:tcBorders>
              <w:top w:val="single" w:sz="8" w:space="0" w:color="auto"/>
              <w:left w:val="single" w:sz="8" w:space="0" w:color="auto"/>
              <w:bottom w:val="single" w:sz="8" w:space="0" w:color="auto"/>
              <w:right w:val="single" w:sz="8" w:space="0" w:color="auto"/>
            </w:tcBorders>
            <w:vAlign w:val="center"/>
          </w:tcPr>
          <w:p w:rsidR="00000000" w:rsidRDefault="00661157">
            <w:pPr>
              <w:jc w:val="center"/>
              <w:rPr>
                <w:rFonts w:eastAsia="楷体_GB2312" w:hint="eastAsia"/>
                <w:b/>
                <w:i/>
                <w:sz w:val="24"/>
              </w:rPr>
            </w:pPr>
            <w:r>
              <w:rPr>
                <w:rFonts w:eastAsia="楷体_GB2312" w:hint="eastAsia"/>
                <w:b/>
                <w:i/>
                <w:sz w:val="24"/>
              </w:rPr>
              <w:t>277,936.66</w:t>
            </w:r>
          </w:p>
        </w:tc>
        <w:tc>
          <w:tcPr>
            <w:tcW w:w="2835" w:type="dxa"/>
            <w:gridSpan w:val="3"/>
            <w:tcBorders>
              <w:top w:val="single" w:sz="8" w:space="0" w:color="auto"/>
              <w:left w:val="single" w:sz="8" w:space="0" w:color="auto"/>
              <w:bottom w:val="single" w:sz="8" w:space="0" w:color="auto"/>
            </w:tcBorders>
            <w:vAlign w:val="center"/>
          </w:tcPr>
          <w:p w:rsidR="00000000" w:rsidRDefault="00661157">
            <w:pPr>
              <w:jc w:val="center"/>
              <w:rPr>
                <w:rFonts w:eastAsia="楷体_GB2312" w:hint="eastAsia"/>
                <w:b/>
                <w:i/>
                <w:sz w:val="24"/>
              </w:rPr>
            </w:pPr>
            <w:r>
              <w:rPr>
                <w:rFonts w:eastAsia="楷体_GB2312" w:hint="eastAsia"/>
                <w:b/>
                <w:i/>
                <w:sz w:val="24"/>
              </w:rPr>
              <w:t>322,621.65</w:t>
            </w:r>
          </w:p>
        </w:tc>
      </w:tr>
      <w:tr w:rsidR="00000000">
        <w:tblPrEx>
          <w:tblCellMar>
            <w:top w:w="0" w:type="dxa"/>
            <w:bottom w:w="0" w:type="dxa"/>
          </w:tblCellMar>
        </w:tblPrEx>
        <w:trPr>
          <w:cantSplit/>
          <w:trHeight w:val="165"/>
        </w:trPr>
        <w:tc>
          <w:tcPr>
            <w:tcW w:w="1470" w:type="dxa"/>
            <w:gridSpan w:val="2"/>
            <w:tcBorders>
              <w:top w:val="single" w:sz="8" w:space="0" w:color="auto"/>
              <w:bottom w:val="single" w:sz="8" w:space="0" w:color="auto"/>
              <w:right w:val="single" w:sz="8" w:space="0" w:color="auto"/>
            </w:tcBorders>
            <w:vAlign w:val="center"/>
          </w:tcPr>
          <w:p w:rsidR="00000000" w:rsidRDefault="00661157">
            <w:pPr>
              <w:jc w:val="center"/>
              <w:rPr>
                <w:rFonts w:eastAsia="黑体" w:hint="eastAsia"/>
                <w:b/>
                <w:sz w:val="24"/>
              </w:rPr>
            </w:pPr>
            <w:r>
              <w:rPr>
                <w:rFonts w:eastAsia="黑体" w:hint="eastAsia"/>
                <w:b/>
                <w:sz w:val="24"/>
              </w:rPr>
              <w:t>占租金的</w:t>
            </w:r>
          </w:p>
        </w:tc>
        <w:tc>
          <w:tcPr>
            <w:tcW w:w="2205" w:type="dxa"/>
            <w:gridSpan w:val="2"/>
            <w:tcBorders>
              <w:top w:val="single" w:sz="8" w:space="0" w:color="auto"/>
              <w:left w:val="single" w:sz="8" w:space="0" w:color="auto"/>
              <w:bottom w:val="single" w:sz="8" w:space="0" w:color="auto"/>
              <w:right w:val="single" w:sz="8" w:space="0" w:color="auto"/>
            </w:tcBorders>
            <w:vAlign w:val="center"/>
          </w:tcPr>
          <w:p w:rsidR="00000000" w:rsidRDefault="00661157">
            <w:pPr>
              <w:jc w:val="center"/>
              <w:rPr>
                <w:rFonts w:eastAsia="楷体_GB2312" w:hint="eastAsia"/>
                <w:b/>
                <w:sz w:val="24"/>
              </w:rPr>
            </w:pPr>
            <w:r>
              <w:rPr>
                <w:rFonts w:eastAsia="楷体_GB2312" w:hint="eastAsia"/>
                <w:b/>
                <w:sz w:val="24"/>
              </w:rPr>
              <w:t>59.35%</w:t>
            </w:r>
          </w:p>
        </w:tc>
        <w:tc>
          <w:tcPr>
            <w:tcW w:w="2835" w:type="dxa"/>
            <w:gridSpan w:val="3"/>
            <w:tcBorders>
              <w:top w:val="single" w:sz="8" w:space="0" w:color="auto"/>
              <w:left w:val="single" w:sz="8" w:space="0" w:color="auto"/>
              <w:bottom w:val="single" w:sz="8" w:space="0" w:color="auto"/>
              <w:right w:val="single" w:sz="8" w:space="0" w:color="auto"/>
            </w:tcBorders>
            <w:vAlign w:val="center"/>
          </w:tcPr>
          <w:p w:rsidR="00000000" w:rsidRDefault="00661157">
            <w:pPr>
              <w:jc w:val="center"/>
              <w:rPr>
                <w:rFonts w:eastAsia="楷体_GB2312" w:hint="eastAsia"/>
                <w:b/>
                <w:sz w:val="24"/>
              </w:rPr>
            </w:pPr>
            <w:r>
              <w:rPr>
                <w:rFonts w:eastAsia="楷体_GB2312" w:hint="eastAsia"/>
                <w:b/>
                <w:sz w:val="24"/>
              </w:rPr>
              <w:t>68.89%</w:t>
            </w:r>
          </w:p>
        </w:tc>
        <w:tc>
          <w:tcPr>
            <w:tcW w:w="2835" w:type="dxa"/>
            <w:gridSpan w:val="3"/>
            <w:tcBorders>
              <w:top w:val="single" w:sz="8" w:space="0" w:color="auto"/>
              <w:left w:val="single" w:sz="8" w:space="0" w:color="auto"/>
              <w:bottom w:val="single" w:sz="8" w:space="0" w:color="auto"/>
            </w:tcBorders>
            <w:vAlign w:val="center"/>
          </w:tcPr>
          <w:p w:rsidR="00000000" w:rsidRDefault="00661157">
            <w:pPr>
              <w:jc w:val="center"/>
              <w:rPr>
                <w:rFonts w:eastAsia="楷体_GB2312" w:hint="eastAsia"/>
                <w:b/>
                <w:sz w:val="24"/>
              </w:rPr>
            </w:pPr>
            <w:r>
              <w:rPr>
                <w:rFonts w:eastAsia="楷体_GB2312" w:hint="eastAsia"/>
                <w:b/>
                <w:sz w:val="24"/>
              </w:rPr>
              <w:t>79.97%</w:t>
            </w:r>
          </w:p>
        </w:tc>
      </w:tr>
      <w:tr w:rsidR="00000000">
        <w:tblPrEx>
          <w:tblCellMar>
            <w:top w:w="0" w:type="dxa"/>
            <w:bottom w:w="0" w:type="dxa"/>
          </w:tblCellMar>
        </w:tblPrEx>
        <w:trPr>
          <w:cantSplit/>
          <w:trHeight w:val="225"/>
        </w:trPr>
        <w:tc>
          <w:tcPr>
            <w:tcW w:w="1470" w:type="dxa"/>
            <w:gridSpan w:val="2"/>
            <w:tcBorders>
              <w:top w:val="single" w:sz="8" w:space="0" w:color="auto"/>
              <w:bottom w:val="single" w:sz="8" w:space="0" w:color="auto"/>
              <w:right w:val="single" w:sz="8" w:space="0" w:color="auto"/>
            </w:tcBorders>
            <w:vAlign w:val="center"/>
          </w:tcPr>
          <w:p w:rsidR="00000000" w:rsidRDefault="00661157">
            <w:pPr>
              <w:jc w:val="center"/>
              <w:rPr>
                <w:rFonts w:eastAsia="黑体" w:hint="eastAsia"/>
                <w:b/>
                <w:sz w:val="24"/>
              </w:rPr>
            </w:pPr>
            <w:r>
              <w:rPr>
                <w:rFonts w:eastAsia="黑体" w:hint="eastAsia"/>
                <w:b/>
                <w:sz w:val="24"/>
              </w:rPr>
              <w:t>毛收益</w:t>
            </w:r>
          </w:p>
        </w:tc>
        <w:tc>
          <w:tcPr>
            <w:tcW w:w="2205" w:type="dxa"/>
            <w:gridSpan w:val="2"/>
            <w:tcBorders>
              <w:top w:val="single" w:sz="8" w:space="0" w:color="auto"/>
              <w:left w:val="single" w:sz="8" w:space="0" w:color="auto"/>
              <w:bottom w:val="single" w:sz="8" w:space="0" w:color="auto"/>
              <w:right w:val="single" w:sz="8" w:space="0" w:color="auto"/>
            </w:tcBorders>
            <w:vAlign w:val="center"/>
          </w:tcPr>
          <w:p w:rsidR="00000000" w:rsidRDefault="00661157">
            <w:pPr>
              <w:jc w:val="center"/>
              <w:rPr>
                <w:rFonts w:eastAsia="楷体_GB2312" w:hint="eastAsia"/>
                <w:b/>
                <w:i/>
                <w:sz w:val="24"/>
              </w:rPr>
            </w:pPr>
            <w:r>
              <w:rPr>
                <w:rFonts w:eastAsia="楷体_GB2312" w:hint="eastAsia"/>
                <w:b/>
                <w:i/>
                <w:sz w:val="24"/>
              </w:rPr>
              <w:t>163,998.63</w:t>
            </w:r>
          </w:p>
        </w:tc>
        <w:tc>
          <w:tcPr>
            <w:tcW w:w="2835" w:type="dxa"/>
            <w:gridSpan w:val="3"/>
            <w:tcBorders>
              <w:top w:val="single" w:sz="8" w:space="0" w:color="auto"/>
              <w:left w:val="single" w:sz="8" w:space="0" w:color="auto"/>
              <w:bottom w:val="single" w:sz="8" w:space="0" w:color="auto"/>
              <w:right w:val="single" w:sz="8" w:space="0" w:color="auto"/>
            </w:tcBorders>
            <w:vAlign w:val="center"/>
          </w:tcPr>
          <w:p w:rsidR="00000000" w:rsidRDefault="00661157">
            <w:pPr>
              <w:jc w:val="center"/>
              <w:rPr>
                <w:rFonts w:eastAsia="楷体_GB2312" w:hint="eastAsia"/>
                <w:b/>
                <w:i/>
                <w:sz w:val="24"/>
              </w:rPr>
            </w:pPr>
            <w:r>
              <w:rPr>
                <w:rFonts w:eastAsia="楷体_GB2312" w:hint="eastAsia"/>
                <w:b/>
                <w:i/>
                <w:sz w:val="24"/>
              </w:rPr>
              <w:t>125,503.01</w:t>
            </w:r>
          </w:p>
        </w:tc>
        <w:tc>
          <w:tcPr>
            <w:tcW w:w="2835" w:type="dxa"/>
            <w:gridSpan w:val="3"/>
            <w:tcBorders>
              <w:top w:val="single" w:sz="8" w:space="0" w:color="auto"/>
              <w:left w:val="single" w:sz="8" w:space="0" w:color="auto"/>
              <w:bottom w:val="single" w:sz="8" w:space="0" w:color="auto"/>
            </w:tcBorders>
            <w:vAlign w:val="center"/>
          </w:tcPr>
          <w:p w:rsidR="00000000" w:rsidRDefault="00661157">
            <w:pPr>
              <w:jc w:val="center"/>
              <w:rPr>
                <w:rFonts w:eastAsia="楷体_GB2312" w:hint="eastAsia"/>
                <w:b/>
                <w:i/>
                <w:sz w:val="24"/>
              </w:rPr>
            </w:pPr>
            <w:r>
              <w:rPr>
                <w:rFonts w:eastAsia="楷体_GB2312" w:hint="eastAsia"/>
                <w:b/>
                <w:i/>
                <w:sz w:val="24"/>
              </w:rPr>
              <w:t>80,818.35</w:t>
            </w:r>
          </w:p>
        </w:tc>
      </w:tr>
      <w:tr w:rsidR="00000000">
        <w:tblPrEx>
          <w:tblCellMar>
            <w:top w:w="0" w:type="dxa"/>
            <w:bottom w:w="0" w:type="dxa"/>
          </w:tblCellMar>
        </w:tblPrEx>
        <w:trPr>
          <w:cantSplit/>
          <w:trHeight w:val="315"/>
        </w:trPr>
        <w:tc>
          <w:tcPr>
            <w:tcW w:w="1470" w:type="dxa"/>
            <w:gridSpan w:val="2"/>
            <w:tcBorders>
              <w:top w:val="single" w:sz="8" w:space="0" w:color="auto"/>
              <w:bottom w:val="single" w:sz="8" w:space="0" w:color="auto"/>
              <w:right w:val="single" w:sz="8" w:space="0" w:color="auto"/>
            </w:tcBorders>
            <w:vAlign w:val="center"/>
          </w:tcPr>
          <w:p w:rsidR="00000000" w:rsidRDefault="00661157">
            <w:pPr>
              <w:jc w:val="center"/>
              <w:rPr>
                <w:rFonts w:eastAsia="黑体" w:hint="eastAsia"/>
                <w:b/>
                <w:sz w:val="24"/>
              </w:rPr>
            </w:pPr>
            <w:r>
              <w:rPr>
                <w:rFonts w:eastAsia="黑体" w:hint="eastAsia"/>
                <w:b/>
                <w:sz w:val="24"/>
              </w:rPr>
              <w:t>占租金的</w:t>
            </w:r>
          </w:p>
        </w:tc>
        <w:tc>
          <w:tcPr>
            <w:tcW w:w="2205" w:type="dxa"/>
            <w:gridSpan w:val="2"/>
            <w:tcBorders>
              <w:top w:val="single" w:sz="8" w:space="0" w:color="auto"/>
              <w:left w:val="single" w:sz="8" w:space="0" w:color="auto"/>
              <w:bottom w:val="single" w:sz="8" w:space="0" w:color="auto"/>
              <w:right w:val="single" w:sz="8" w:space="0" w:color="auto"/>
            </w:tcBorders>
            <w:vAlign w:val="center"/>
          </w:tcPr>
          <w:p w:rsidR="00000000" w:rsidRDefault="00661157">
            <w:pPr>
              <w:jc w:val="center"/>
              <w:rPr>
                <w:rFonts w:eastAsia="楷体_GB2312" w:hint="eastAsia"/>
                <w:b/>
                <w:sz w:val="24"/>
              </w:rPr>
            </w:pPr>
            <w:r>
              <w:rPr>
                <w:rFonts w:eastAsia="楷体_GB2312" w:hint="eastAsia"/>
                <w:b/>
                <w:sz w:val="24"/>
              </w:rPr>
              <w:t>40.65%</w:t>
            </w:r>
          </w:p>
        </w:tc>
        <w:tc>
          <w:tcPr>
            <w:tcW w:w="2835" w:type="dxa"/>
            <w:gridSpan w:val="3"/>
            <w:tcBorders>
              <w:top w:val="single" w:sz="8" w:space="0" w:color="auto"/>
              <w:left w:val="single" w:sz="8" w:space="0" w:color="auto"/>
              <w:bottom w:val="single" w:sz="8" w:space="0" w:color="auto"/>
              <w:right w:val="single" w:sz="8" w:space="0" w:color="auto"/>
            </w:tcBorders>
            <w:vAlign w:val="center"/>
          </w:tcPr>
          <w:p w:rsidR="00000000" w:rsidRDefault="00661157">
            <w:pPr>
              <w:jc w:val="center"/>
              <w:rPr>
                <w:rFonts w:eastAsia="楷体_GB2312" w:hint="eastAsia"/>
                <w:b/>
                <w:sz w:val="24"/>
              </w:rPr>
            </w:pPr>
            <w:r>
              <w:rPr>
                <w:rFonts w:eastAsia="楷体_GB2312" w:hint="eastAsia"/>
                <w:b/>
                <w:sz w:val="24"/>
              </w:rPr>
              <w:t>31.11%</w:t>
            </w:r>
          </w:p>
        </w:tc>
        <w:tc>
          <w:tcPr>
            <w:tcW w:w="2835" w:type="dxa"/>
            <w:gridSpan w:val="3"/>
            <w:tcBorders>
              <w:top w:val="single" w:sz="8" w:space="0" w:color="auto"/>
              <w:left w:val="single" w:sz="8" w:space="0" w:color="auto"/>
              <w:bottom w:val="single" w:sz="8" w:space="0" w:color="auto"/>
            </w:tcBorders>
            <w:vAlign w:val="center"/>
          </w:tcPr>
          <w:p w:rsidR="00000000" w:rsidRDefault="00661157">
            <w:pPr>
              <w:jc w:val="center"/>
              <w:rPr>
                <w:rFonts w:eastAsia="楷体_GB2312" w:hint="eastAsia"/>
                <w:b/>
                <w:sz w:val="24"/>
              </w:rPr>
            </w:pPr>
            <w:r>
              <w:rPr>
                <w:rFonts w:eastAsia="楷体_GB2312" w:hint="eastAsia"/>
                <w:b/>
                <w:sz w:val="24"/>
              </w:rPr>
              <w:t>20.03%</w:t>
            </w:r>
          </w:p>
        </w:tc>
      </w:tr>
      <w:tr w:rsidR="00000000">
        <w:tblPrEx>
          <w:tblCellMar>
            <w:top w:w="0" w:type="dxa"/>
            <w:bottom w:w="0" w:type="dxa"/>
          </w:tblCellMar>
        </w:tblPrEx>
        <w:trPr>
          <w:cantSplit/>
          <w:trHeight w:val="180"/>
        </w:trPr>
        <w:tc>
          <w:tcPr>
            <w:tcW w:w="1470" w:type="dxa"/>
            <w:gridSpan w:val="2"/>
            <w:tcBorders>
              <w:top w:val="single" w:sz="8" w:space="0" w:color="auto"/>
              <w:bottom w:val="single" w:sz="8" w:space="0" w:color="auto"/>
              <w:right w:val="single" w:sz="8" w:space="0" w:color="auto"/>
            </w:tcBorders>
            <w:vAlign w:val="center"/>
          </w:tcPr>
          <w:p w:rsidR="00000000" w:rsidRDefault="00661157">
            <w:pPr>
              <w:jc w:val="center"/>
              <w:rPr>
                <w:rFonts w:eastAsia="黑体" w:hint="eastAsia"/>
                <w:b/>
                <w:sz w:val="24"/>
              </w:rPr>
            </w:pPr>
            <w:r>
              <w:rPr>
                <w:rFonts w:eastAsia="黑体" w:hint="eastAsia"/>
                <w:b/>
                <w:sz w:val="24"/>
              </w:rPr>
              <w:t>本年首期</w:t>
            </w:r>
          </w:p>
          <w:p w:rsidR="00000000" w:rsidRDefault="00661157">
            <w:pPr>
              <w:jc w:val="center"/>
              <w:rPr>
                <w:rFonts w:eastAsia="黑体" w:hint="eastAsia"/>
                <w:b/>
                <w:sz w:val="24"/>
              </w:rPr>
            </w:pPr>
            <w:r>
              <w:rPr>
                <w:rFonts w:eastAsia="黑体" w:hint="eastAsia"/>
                <w:b/>
                <w:sz w:val="24"/>
              </w:rPr>
              <w:t>期初资产</w:t>
            </w:r>
          </w:p>
        </w:tc>
        <w:tc>
          <w:tcPr>
            <w:tcW w:w="2205" w:type="dxa"/>
            <w:gridSpan w:val="2"/>
            <w:tcBorders>
              <w:top w:val="single" w:sz="8" w:space="0" w:color="auto"/>
              <w:left w:val="single" w:sz="8" w:space="0" w:color="auto"/>
              <w:bottom w:val="single" w:sz="8" w:space="0" w:color="auto"/>
              <w:right w:val="single" w:sz="8" w:space="0" w:color="auto"/>
            </w:tcBorders>
            <w:vAlign w:val="center"/>
          </w:tcPr>
          <w:p w:rsidR="00000000" w:rsidRDefault="00661157">
            <w:pPr>
              <w:jc w:val="center"/>
              <w:rPr>
                <w:rFonts w:eastAsia="楷体_GB2312" w:hint="eastAsia"/>
                <w:b/>
                <w:i/>
                <w:sz w:val="24"/>
              </w:rPr>
            </w:pPr>
            <w:r>
              <w:rPr>
                <w:rFonts w:eastAsia="楷体_GB2312" w:hint="eastAsia"/>
                <w:b/>
                <w:i/>
                <w:sz w:val="24"/>
              </w:rPr>
              <w:t>1,200,000.00</w:t>
            </w:r>
          </w:p>
        </w:tc>
        <w:tc>
          <w:tcPr>
            <w:tcW w:w="2835" w:type="dxa"/>
            <w:gridSpan w:val="3"/>
            <w:tcBorders>
              <w:top w:val="single" w:sz="8" w:space="0" w:color="auto"/>
              <w:left w:val="single" w:sz="8" w:space="0" w:color="auto"/>
              <w:bottom w:val="single" w:sz="8" w:space="0" w:color="auto"/>
              <w:right w:val="single" w:sz="8" w:space="0" w:color="auto"/>
            </w:tcBorders>
            <w:vAlign w:val="center"/>
          </w:tcPr>
          <w:p w:rsidR="00000000" w:rsidRDefault="00661157">
            <w:pPr>
              <w:jc w:val="center"/>
              <w:rPr>
                <w:rFonts w:eastAsia="楷体_GB2312" w:hint="eastAsia"/>
                <w:b/>
                <w:i/>
                <w:sz w:val="24"/>
              </w:rPr>
            </w:pPr>
            <w:r>
              <w:rPr>
                <w:rFonts w:eastAsia="楷体_GB2312" w:hint="eastAsia"/>
                <w:b/>
                <w:i/>
                <w:sz w:val="24"/>
              </w:rPr>
              <w:t>960,558.63</w:t>
            </w:r>
          </w:p>
        </w:tc>
        <w:tc>
          <w:tcPr>
            <w:tcW w:w="2835" w:type="dxa"/>
            <w:gridSpan w:val="3"/>
            <w:tcBorders>
              <w:top w:val="single" w:sz="8" w:space="0" w:color="auto"/>
              <w:left w:val="single" w:sz="8" w:space="0" w:color="auto"/>
              <w:bottom w:val="single" w:sz="8" w:space="0" w:color="auto"/>
            </w:tcBorders>
            <w:vAlign w:val="center"/>
          </w:tcPr>
          <w:p w:rsidR="00000000" w:rsidRDefault="00661157">
            <w:pPr>
              <w:jc w:val="center"/>
              <w:rPr>
                <w:rFonts w:eastAsia="楷体_GB2312" w:hint="eastAsia"/>
                <w:b/>
                <w:i/>
                <w:sz w:val="24"/>
              </w:rPr>
            </w:pPr>
            <w:r>
              <w:rPr>
                <w:rFonts w:eastAsia="楷体_GB2312" w:hint="eastAsia"/>
                <w:b/>
                <w:i/>
                <w:sz w:val="24"/>
              </w:rPr>
              <w:t>682,621.65</w:t>
            </w:r>
          </w:p>
        </w:tc>
      </w:tr>
      <w:tr w:rsidR="00000000">
        <w:tblPrEx>
          <w:tblCellMar>
            <w:top w:w="0" w:type="dxa"/>
            <w:bottom w:w="0" w:type="dxa"/>
          </w:tblCellMar>
        </w:tblPrEx>
        <w:trPr>
          <w:cantSplit/>
          <w:trHeight w:val="255"/>
        </w:trPr>
        <w:tc>
          <w:tcPr>
            <w:tcW w:w="1470" w:type="dxa"/>
            <w:gridSpan w:val="2"/>
            <w:tcBorders>
              <w:top w:val="single" w:sz="8" w:space="0" w:color="auto"/>
              <w:bottom w:val="single" w:sz="8" w:space="0" w:color="auto"/>
              <w:right w:val="single" w:sz="8" w:space="0" w:color="auto"/>
            </w:tcBorders>
            <w:vAlign w:val="center"/>
          </w:tcPr>
          <w:p w:rsidR="00000000" w:rsidRDefault="00661157">
            <w:pPr>
              <w:jc w:val="center"/>
              <w:rPr>
                <w:rFonts w:eastAsia="黑体" w:hint="eastAsia"/>
                <w:b/>
                <w:sz w:val="24"/>
              </w:rPr>
            </w:pPr>
            <w:r>
              <w:rPr>
                <w:rFonts w:eastAsia="黑体" w:hint="eastAsia"/>
                <w:b/>
                <w:sz w:val="24"/>
              </w:rPr>
              <w:t>本年末期</w:t>
            </w:r>
          </w:p>
          <w:p w:rsidR="00000000" w:rsidRDefault="00661157">
            <w:pPr>
              <w:jc w:val="center"/>
              <w:rPr>
                <w:rFonts w:eastAsia="黑体" w:hint="eastAsia"/>
                <w:b/>
                <w:sz w:val="24"/>
              </w:rPr>
            </w:pPr>
            <w:r>
              <w:rPr>
                <w:rFonts w:eastAsia="黑体" w:hint="eastAsia"/>
                <w:b/>
                <w:sz w:val="24"/>
              </w:rPr>
              <w:t>期初资产</w:t>
            </w:r>
          </w:p>
        </w:tc>
        <w:tc>
          <w:tcPr>
            <w:tcW w:w="2205" w:type="dxa"/>
            <w:gridSpan w:val="2"/>
            <w:tcBorders>
              <w:top w:val="single" w:sz="8" w:space="0" w:color="auto"/>
              <w:left w:val="single" w:sz="8" w:space="0" w:color="auto"/>
              <w:bottom w:val="single" w:sz="8" w:space="0" w:color="auto"/>
              <w:right w:val="single" w:sz="8" w:space="0" w:color="auto"/>
            </w:tcBorders>
            <w:vAlign w:val="center"/>
          </w:tcPr>
          <w:p w:rsidR="00000000" w:rsidRDefault="00661157">
            <w:pPr>
              <w:jc w:val="center"/>
              <w:rPr>
                <w:rFonts w:eastAsia="楷体_GB2312" w:hint="eastAsia"/>
                <w:b/>
                <w:i/>
                <w:sz w:val="24"/>
              </w:rPr>
            </w:pPr>
            <w:r>
              <w:rPr>
                <w:rFonts w:eastAsia="楷体_GB2312" w:hint="eastAsia"/>
                <w:b/>
                <w:i/>
                <w:sz w:val="24"/>
              </w:rPr>
              <w:t>981,903.55</w:t>
            </w:r>
          </w:p>
        </w:tc>
        <w:tc>
          <w:tcPr>
            <w:tcW w:w="2835" w:type="dxa"/>
            <w:gridSpan w:val="3"/>
            <w:tcBorders>
              <w:top w:val="single" w:sz="8" w:space="0" w:color="auto"/>
              <w:left w:val="single" w:sz="8" w:space="0" w:color="auto"/>
              <w:bottom w:val="single" w:sz="8" w:space="0" w:color="auto"/>
              <w:right w:val="single" w:sz="8" w:space="0" w:color="auto"/>
            </w:tcBorders>
            <w:vAlign w:val="center"/>
          </w:tcPr>
          <w:p w:rsidR="00000000" w:rsidRDefault="00661157">
            <w:pPr>
              <w:jc w:val="center"/>
              <w:rPr>
                <w:rFonts w:eastAsia="楷体_GB2312" w:hint="eastAsia"/>
                <w:b/>
                <w:i/>
                <w:sz w:val="24"/>
              </w:rPr>
            </w:pPr>
            <w:r>
              <w:rPr>
                <w:rFonts w:eastAsia="楷体_GB2312" w:hint="eastAsia"/>
                <w:b/>
                <w:i/>
                <w:sz w:val="24"/>
              </w:rPr>
              <w:t>707,398.24</w:t>
            </w:r>
          </w:p>
        </w:tc>
        <w:tc>
          <w:tcPr>
            <w:tcW w:w="2835" w:type="dxa"/>
            <w:gridSpan w:val="3"/>
            <w:tcBorders>
              <w:top w:val="single" w:sz="8" w:space="0" w:color="auto"/>
              <w:left w:val="single" w:sz="8" w:space="0" w:color="auto"/>
              <w:bottom w:val="single" w:sz="8" w:space="0" w:color="auto"/>
            </w:tcBorders>
            <w:vAlign w:val="center"/>
          </w:tcPr>
          <w:p w:rsidR="00000000" w:rsidRDefault="00661157">
            <w:pPr>
              <w:jc w:val="center"/>
              <w:rPr>
                <w:rFonts w:eastAsia="楷体_GB2312" w:hint="eastAsia"/>
                <w:b/>
                <w:i/>
                <w:sz w:val="24"/>
              </w:rPr>
            </w:pPr>
            <w:r>
              <w:rPr>
                <w:rFonts w:eastAsia="楷体_GB2312" w:hint="eastAsia"/>
                <w:b/>
                <w:i/>
                <w:sz w:val="24"/>
              </w:rPr>
              <w:t>388,759.99</w:t>
            </w:r>
          </w:p>
        </w:tc>
      </w:tr>
      <w:tr w:rsidR="00000000">
        <w:tblPrEx>
          <w:tblCellMar>
            <w:top w:w="0" w:type="dxa"/>
            <w:bottom w:w="0" w:type="dxa"/>
          </w:tblCellMar>
        </w:tblPrEx>
        <w:trPr>
          <w:cantSplit/>
          <w:trHeight w:val="345"/>
        </w:trPr>
        <w:tc>
          <w:tcPr>
            <w:tcW w:w="1470" w:type="dxa"/>
            <w:gridSpan w:val="2"/>
            <w:tcBorders>
              <w:top w:val="single" w:sz="8" w:space="0" w:color="auto"/>
              <w:bottom w:val="single" w:sz="8" w:space="0" w:color="auto"/>
              <w:right w:val="single" w:sz="8" w:space="0" w:color="auto"/>
            </w:tcBorders>
            <w:vAlign w:val="center"/>
          </w:tcPr>
          <w:p w:rsidR="00000000" w:rsidRDefault="00661157">
            <w:pPr>
              <w:jc w:val="center"/>
              <w:rPr>
                <w:rFonts w:eastAsia="黑体" w:hint="eastAsia"/>
                <w:b/>
                <w:sz w:val="24"/>
              </w:rPr>
            </w:pPr>
            <w:r>
              <w:rPr>
                <w:rFonts w:eastAsia="黑体" w:hint="eastAsia"/>
                <w:b/>
                <w:sz w:val="24"/>
              </w:rPr>
              <w:t>本年平均</w:t>
            </w:r>
          </w:p>
          <w:p w:rsidR="00000000" w:rsidRDefault="00661157">
            <w:pPr>
              <w:jc w:val="center"/>
              <w:rPr>
                <w:rFonts w:eastAsia="黑体" w:hint="eastAsia"/>
                <w:b/>
                <w:sz w:val="24"/>
              </w:rPr>
            </w:pPr>
            <w:r>
              <w:rPr>
                <w:rFonts w:eastAsia="黑体" w:hint="eastAsia"/>
                <w:b/>
                <w:sz w:val="24"/>
              </w:rPr>
              <w:t>资产</w:t>
            </w:r>
          </w:p>
        </w:tc>
        <w:tc>
          <w:tcPr>
            <w:tcW w:w="2205" w:type="dxa"/>
            <w:gridSpan w:val="2"/>
            <w:tcBorders>
              <w:top w:val="single" w:sz="8" w:space="0" w:color="auto"/>
              <w:left w:val="single" w:sz="8" w:space="0" w:color="auto"/>
              <w:bottom w:val="single" w:sz="8" w:space="0" w:color="auto"/>
              <w:right w:val="single" w:sz="8" w:space="0" w:color="auto"/>
            </w:tcBorders>
            <w:vAlign w:val="center"/>
          </w:tcPr>
          <w:p w:rsidR="00000000" w:rsidRDefault="00661157">
            <w:pPr>
              <w:jc w:val="center"/>
              <w:rPr>
                <w:rFonts w:eastAsia="楷体_GB2312" w:hint="eastAsia"/>
                <w:b/>
                <w:i/>
                <w:sz w:val="24"/>
              </w:rPr>
            </w:pPr>
            <w:r>
              <w:rPr>
                <w:rFonts w:eastAsia="楷体_GB2312" w:hint="eastAsia"/>
                <w:b/>
                <w:i/>
                <w:sz w:val="24"/>
              </w:rPr>
              <w:t>1,090,951.78</w:t>
            </w:r>
          </w:p>
        </w:tc>
        <w:tc>
          <w:tcPr>
            <w:tcW w:w="2835" w:type="dxa"/>
            <w:gridSpan w:val="3"/>
            <w:tcBorders>
              <w:top w:val="single" w:sz="8" w:space="0" w:color="auto"/>
              <w:left w:val="single" w:sz="8" w:space="0" w:color="auto"/>
              <w:bottom w:val="single" w:sz="8" w:space="0" w:color="auto"/>
              <w:right w:val="single" w:sz="8" w:space="0" w:color="auto"/>
            </w:tcBorders>
            <w:vAlign w:val="center"/>
          </w:tcPr>
          <w:p w:rsidR="00000000" w:rsidRDefault="00661157">
            <w:pPr>
              <w:jc w:val="center"/>
              <w:rPr>
                <w:rFonts w:eastAsia="楷体_GB2312" w:hint="eastAsia"/>
                <w:b/>
                <w:i/>
                <w:sz w:val="24"/>
              </w:rPr>
            </w:pPr>
            <w:r>
              <w:rPr>
                <w:rFonts w:eastAsia="楷体_GB2312" w:hint="eastAsia"/>
                <w:b/>
                <w:i/>
                <w:sz w:val="24"/>
              </w:rPr>
              <w:t>833,978.44</w:t>
            </w:r>
          </w:p>
        </w:tc>
        <w:tc>
          <w:tcPr>
            <w:tcW w:w="2835" w:type="dxa"/>
            <w:gridSpan w:val="3"/>
            <w:tcBorders>
              <w:top w:val="single" w:sz="8" w:space="0" w:color="auto"/>
              <w:left w:val="single" w:sz="8" w:space="0" w:color="auto"/>
              <w:bottom w:val="single" w:sz="8" w:space="0" w:color="auto"/>
            </w:tcBorders>
            <w:vAlign w:val="center"/>
          </w:tcPr>
          <w:p w:rsidR="00000000" w:rsidRDefault="00661157">
            <w:pPr>
              <w:jc w:val="center"/>
              <w:rPr>
                <w:rFonts w:eastAsia="楷体_GB2312" w:hint="eastAsia"/>
                <w:b/>
                <w:i/>
                <w:sz w:val="24"/>
              </w:rPr>
            </w:pPr>
            <w:r>
              <w:rPr>
                <w:rFonts w:eastAsia="楷体_GB2312" w:hint="eastAsia"/>
                <w:b/>
                <w:i/>
                <w:sz w:val="24"/>
              </w:rPr>
              <w:t>535,690.82</w:t>
            </w:r>
          </w:p>
        </w:tc>
      </w:tr>
      <w:tr w:rsidR="00000000">
        <w:tblPrEx>
          <w:tblCellMar>
            <w:top w:w="0" w:type="dxa"/>
            <w:bottom w:w="0" w:type="dxa"/>
          </w:tblCellMar>
        </w:tblPrEx>
        <w:trPr>
          <w:cantSplit/>
          <w:trHeight w:val="381"/>
        </w:trPr>
        <w:tc>
          <w:tcPr>
            <w:tcW w:w="1470" w:type="dxa"/>
            <w:gridSpan w:val="2"/>
            <w:tcBorders>
              <w:top w:val="single" w:sz="8" w:space="0" w:color="auto"/>
              <w:right w:val="single" w:sz="8" w:space="0" w:color="auto"/>
            </w:tcBorders>
            <w:vAlign w:val="center"/>
          </w:tcPr>
          <w:p w:rsidR="00000000" w:rsidRDefault="00661157">
            <w:pPr>
              <w:jc w:val="center"/>
              <w:rPr>
                <w:rFonts w:eastAsia="黑体" w:hint="eastAsia"/>
                <w:b/>
                <w:sz w:val="24"/>
              </w:rPr>
            </w:pPr>
            <w:r>
              <w:rPr>
                <w:rFonts w:eastAsia="黑体" w:hint="eastAsia"/>
                <w:b/>
                <w:sz w:val="24"/>
              </w:rPr>
              <w:t>资产收益率</w:t>
            </w:r>
          </w:p>
        </w:tc>
        <w:tc>
          <w:tcPr>
            <w:tcW w:w="2205" w:type="dxa"/>
            <w:gridSpan w:val="2"/>
            <w:tcBorders>
              <w:top w:val="single" w:sz="8" w:space="0" w:color="auto"/>
              <w:left w:val="single" w:sz="8" w:space="0" w:color="auto"/>
              <w:right w:val="single" w:sz="8" w:space="0" w:color="auto"/>
            </w:tcBorders>
            <w:vAlign w:val="center"/>
          </w:tcPr>
          <w:p w:rsidR="00000000" w:rsidRDefault="00661157">
            <w:pPr>
              <w:jc w:val="center"/>
              <w:rPr>
                <w:rFonts w:eastAsia="楷体_GB2312" w:hint="eastAsia"/>
                <w:b/>
                <w:sz w:val="24"/>
              </w:rPr>
            </w:pPr>
            <w:r>
              <w:rPr>
                <w:rFonts w:eastAsia="楷体_GB2312" w:hint="eastAsia"/>
                <w:b/>
                <w:sz w:val="24"/>
              </w:rPr>
              <w:t>15.03%</w:t>
            </w:r>
          </w:p>
        </w:tc>
        <w:tc>
          <w:tcPr>
            <w:tcW w:w="2835" w:type="dxa"/>
            <w:gridSpan w:val="3"/>
            <w:tcBorders>
              <w:top w:val="single" w:sz="8" w:space="0" w:color="auto"/>
              <w:left w:val="single" w:sz="8" w:space="0" w:color="auto"/>
              <w:right w:val="single" w:sz="8" w:space="0" w:color="auto"/>
            </w:tcBorders>
            <w:vAlign w:val="center"/>
          </w:tcPr>
          <w:p w:rsidR="00000000" w:rsidRDefault="00661157">
            <w:pPr>
              <w:jc w:val="center"/>
              <w:rPr>
                <w:rFonts w:eastAsia="楷体_GB2312" w:hint="eastAsia"/>
                <w:b/>
                <w:sz w:val="24"/>
              </w:rPr>
            </w:pPr>
            <w:r>
              <w:rPr>
                <w:rFonts w:eastAsia="楷体_GB2312" w:hint="eastAsia"/>
                <w:b/>
                <w:sz w:val="24"/>
              </w:rPr>
              <w:t>15.05%</w:t>
            </w:r>
          </w:p>
        </w:tc>
        <w:tc>
          <w:tcPr>
            <w:tcW w:w="2835" w:type="dxa"/>
            <w:gridSpan w:val="3"/>
            <w:tcBorders>
              <w:top w:val="single" w:sz="8" w:space="0" w:color="auto"/>
              <w:left w:val="single" w:sz="8" w:space="0" w:color="auto"/>
            </w:tcBorders>
            <w:vAlign w:val="center"/>
          </w:tcPr>
          <w:p w:rsidR="00000000" w:rsidRDefault="00661157">
            <w:pPr>
              <w:jc w:val="center"/>
              <w:rPr>
                <w:rFonts w:eastAsia="楷体_GB2312" w:hint="eastAsia"/>
                <w:b/>
                <w:sz w:val="24"/>
              </w:rPr>
            </w:pPr>
            <w:r>
              <w:rPr>
                <w:rFonts w:eastAsia="楷体_GB2312" w:hint="eastAsia"/>
                <w:b/>
                <w:sz w:val="24"/>
              </w:rPr>
              <w:t>15.09%</w:t>
            </w:r>
          </w:p>
        </w:tc>
      </w:tr>
    </w:tbl>
    <w:p w:rsidR="00000000" w:rsidRDefault="00661157">
      <w:pPr>
        <w:rPr>
          <w:rFonts w:eastAsia="楷体_GB2312" w:hint="eastAsia"/>
          <w:b/>
          <w:sz w:val="24"/>
        </w:rPr>
      </w:pPr>
    </w:p>
    <w:p w:rsidR="00000000" w:rsidRDefault="00661157">
      <w:pPr>
        <w:ind w:firstLine="480"/>
        <w:rPr>
          <w:rFonts w:eastAsia="楷体_GB2312" w:hint="eastAsia"/>
          <w:b/>
          <w:sz w:val="24"/>
        </w:rPr>
      </w:pPr>
      <w:r>
        <w:rPr>
          <w:rFonts w:eastAsia="楷体_GB2312" w:hint="eastAsia"/>
          <w:b/>
          <w:sz w:val="24"/>
        </w:rPr>
        <w:t>上表数字确切地反映了该合同的资产毛收益率，可以消除内部人士的上述误解。然而，对于上市的租赁公司来说，由于所公布的只能是按照会计制度编制的财务报表。因此，经营租赁由于直线法折旧而使前期的每股毛收益远远低于后期这一点，仍然可能是灾难性的</w:t>
      </w:r>
      <w:r>
        <w:rPr>
          <w:rFonts w:eastAsia="楷体_GB2312" w:hint="eastAsia"/>
          <w:b/>
          <w:sz w:val="24"/>
        </w:rPr>
        <w:t>。</w:t>
      </w:r>
    </w:p>
    <w:p w:rsidR="00000000" w:rsidRDefault="00661157">
      <w:pPr>
        <w:rPr>
          <w:rFonts w:eastAsia="楷体_GB2312" w:hint="eastAsia"/>
          <w:b/>
          <w:sz w:val="24"/>
        </w:rPr>
      </w:pPr>
    </w:p>
    <w:p w:rsidR="00000000" w:rsidRDefault="00661157">
      <w:pPr>
        <w:rPr>
          <w:rFonts w:eastAsia="黑体" w:hint="eastAsia"/>
          <w:b/>
          <w:sz w:val="24"/>
        </w:rPr>
      </w:pPr>
      <w:r>
        <w:rPr>
          <w:rFonts w:eastAsia="楷体_GB2312" w:hint="eastAsia"/>
          <w:b/>
          <w:sz w:val="24"/>
        </w:rPr>
        <w:t xml:space="preserve">    </w:t>
      </w:r>
      <w:r>
        <w:rPr>
          <w:rFonts w:eastAsia="黑体" w:hint="eastAsia"/>
          <w:b/>
          <w:sz w:val="24"/>
        </w:rPr>
        <w:t>三、筹资风险</w:t>
      </w:r>
    </w:p>
    <w:p w:rsidR="00000000" w:rsidRDefault="00661157">
      <w:pPr>
        <w:rPr>
          <w:rFonts w:eastAsia="楷体_GB2312" w:hint="eastAsia"/>
          <w:b/>
          <w:sz w:val="24"/>
        </w:rPr>
      </w:pPr>
    </w:p>
    <w:p w:rsidR="00000000" w:rsidRDefault="00661157">
      <w:pPr>
        <w:ind w:firstLine="480"/>
        <w:rPr>
          <w:rFonts w:eastAsia="楷体_GB2312" w:hint="eastAsia"/>
          <w:b/>
          <w:sz w:val="24"/>
        </w:rPr>
      </w:pPr>
      <w:r>
        <w:rPr>
          <w:rFonts w:eastAsia="楷体_GB2312" w:hint="eastAsia"/>
          <w:b/>
          <w:sz w:val="24"/>
        </w:rPr>
        <w:t>为了说明这个问题，这里举两个十分简化（因而不完全符合实际情况）的例子。详见附表</w:t>
      </w:r>
      <w:r>
        <w:rPr>
          <w:rFonts w:eastAsia="楷体_GB2312" w:hint="eastAsia"/>
          <w:b/>
          <w:sz w:val="24"/>
        </w:rPr>
        <w:t>1</w:t>
      </w:r>
      <w:r>
        <w:rPr>
          <w:rFonts w:eastAsia="楷体_GB2312" w:hint="eastAsia"/>
          <w:b/>
          <w:sz w:val="24"/>
        </w:rPr>
        <w:t>和附表</w:t>
      </w:r>
      <w:r>
        <w:rPr>
          <w:rFonts w:eastAsia="楷体_GB2312" w:hint="eastAsia"/>
          <w:b/>
          <w:sz w:val="24"/>
        </w:rPr>
        <w:t>2</w:t>
      </w:r>
      <w:r>
        <w:rPr>
          <w:rFonts w:eastAsia="楷体_GB2312" w:hint="eastAsia"/>
          <w:b/>
          <w:sz w:val="24"/>
        </w:rPr>
        <w:t>。附表</w:t>
      </w:r>
      <w:r>
        <w:rPr>
          <w:rFonts w:eastAsia="楷体_GB2312" w:hint="eastAsia"/>
          <w:b/>
          <w:sz w:val="24"/>
        </w:rPr>
        <w:t>1</w:t>
      </w:r>
      <w:r>
        <w:rPr>
          <w:rFonts w:eastAsia="楷体_GB2312" w:hint="eastAsia"/>
          <w:b/>
          <w:sz w:val="24"/>
        </w:rPr>
        <w:t>：假设某租赁物，成本是</w:t>
      </w:r>
      <w:r>
        <w:rPr>
          <w:rFonts w:eastAsia="楷体_GB2312" w:hint="eastAsia"/>
          <w:b/>
          <w:sz w:val="24"/>
        </w:rPr>
        <w:t>1,200,000.00</w:t>
      </w:r>
      <w:r>
        <w:rPr>
          <w:rFonts w:eastAsia="楷体_GB2312" w:hint="eastAsia"/>
          <w:b/>
          <w:sz w:val="24"/>
        </w:rPr>
        <w:t>元，现在以融资租赁方式出租。租赁期限</w:t>
      </w:r>
      <w:r>
        <w:rPr>
          <w:rFonts w:eastAsia="楷体_GB2312" w:hint="eastAsia"/>
          <w:b/>
          <w:sz w:val="24"/>
        </w:rPr>
        <w:t>16</w:t>
      </w:r>
      <w:r>
        <w:rPr>
          <w:rFonts w:eastAsia="楷体_GB2312" w:hint="eastAsia"/>
          <w:b/>
          <w:sz w:val="24"/>
        </w:rPr>
        <w:t>个月，每月末付租一次，租赁年利率是</w:t>
      </w:r>
      <w:r>
        <w:rPr>
          <w:rFonts w:eastAsia="楷体_GB2312" w:hint="eastAsia"/>
          <w:b/>
          <w:sz w:val="24"/>
        </w:rPr>
        <w:t>10%</w:t>
      </w:r>
      <w:r>
        <w:rPr>
          <w:rFonts w:eastAsia="楷体_GB2312" w:hint="eastAsia"/>
          <w:b/>
          <w:sz w:val="24"/>
        </w:rPr>
        <w:t>，余值为</w:t>
      </w:r>
      <w:r>
        <w:rPr>
          <w:rFonts w:eastAsia="楷体_GB2312" w:hint="eastAsia"/>
          <w:b/>
          <w:sz w:val="24"/>
        </w:rPr>
        <w:t>0</w:t>
      </w:r>
      <w:r>
        <w:rPr>
          <w:rFonts w:eastAsia="楷体_GB2312" w:hint="eastAsia"/>
          <w:b/>
          <w:sz w:val="24"/>
        </w:rPr>
        <w:t>。附表</w:t>
      </w:r>
      <w:r>
        <w:rPr>
          <w:rFonts w:eastAsia="楷体_GB2312" w:hint="eastAsia"/>
          <w:b/>
          <w:sz w:val="24"/>
        </w:rPr>
        <w:t>2</w:t>
      </w:r>
      <w:r>
        <w:rPr>
          <w:rFonts w:eastAsia="楷体_GB2312" w:hint="eastAsia"/>
          <w:b/>
          <w:sz w:val="24"/>
        </w:rPr>
        <w:t>：假设某租赁物，成本是</w:t>
      </w:r>
      <w:r>
        <w:rPr>
          <w:rFonts w:eastAsia="楷体_GB2312" w:hint="eastAsia"/>
          <w:b/>
          <w:sz w:val="24"/>
        </w:rPr>
        <w:t>1,200,000.00</w:t>
      </w:r>
      <w:r>
        <w:rPr>
          <w:rFonts w:eastAsia="楷体_GB2312" w:hint="eastAsia"/>
          <w:b/>
          <w:sz w:val="24"/>
        </w:rPr>
        <w:t>元，以经营租赁方式出租。租赁期限</w:t>
      </w:r>
      <w:r>
        <w:rPr>
          <w:rFonts w:eastAsia="楷体_GB2312" w:hint="eastAsia"/>
          <w:b/>
          <w:sz w:val="24"/>
        </w:rPr>
        <w:t>16</w:t>
      </w:r>
      <w:r>
        <w:rPr>
          <w:rFonts w:eastAsia="楷体_GB2312" w:hint="eastAsia"/>
          <w:b/>
          <w:sz w:val="24"/>
        </w:rPr>
        <w:t>个月，每月末付租一次，租赁年利率是</w:t>
      </w:r>
      <w:r>
        <w:rPr>
          <w:rFonts w:eastAsia="楷体_GB2312" w:hint="eastAsia"/>
          <w:b/>
          <w:sz w:val="24"/>
        </w:rPr>
        <w:t>10%</w:t>
      </w:r>
      <w:r>
        <w:rPr>
          <w:rFonts w:eastAsia="楷体_GB2312" w:hint="eastAsia"/>
          <w:b/>
          <w:sz w:val="24"/>
        </w:rPr>
        <w:t>，估计期末余值为</w:t>
      </w:r>
      <w:r>
        <w:rPr>
          <w:rFonts w:eastAsia="楷体_GB2312" w:hint="eastAsia"/>
          <w:b/>
          <w:sz w:val="24"/>
        </w:rPr>
        <w:t>400,000.00</w:t>
      </w:r>
      <w:r>
        <w:rPr>
          <w:rFonts w:eastAsia="楷体_GB2312" w:hint="eastAsia"/>
          <w:b/>
          <w:sz w:val="24"/>
        </w:rPr>
        <w:t>，因此以</w:t>
      </w:r>
      <w:r>
        <w:rPr>
          <w:rFonts w:eastAsia="楷体_GB2312" w:hint="eastAsia"/>
          <w:b/>
          <w:sz w:val="24"/>
        </w:rPr>
        <w:t>800,000.00</w:t>
      </w:r>
      <w:r>
        <w:rPr>
          <w:rFonts w:eastAsia="楷体_GB2312" w:hint="eastAsia"/>
          <w:b/>
          <w:sz w:val="24"/>
        </w:rPr>
        <w:t>为本金来计算各期租金。</w:t>
      </w:r>
    </w:p>
    <w:p w:rsidR="00000000" w:rsidRDefault="00661157">
      <w:pPr>
        <w:ind w:firstLine="480"/>
        <w:rPr>
          <w:rFonts w:eastAsia="楷体_GB2312" w:hint="eastAsia"/>
          <w:b/>
          <w:sz w:val="24"/>
        </w:rPr>
      </w:pPr>
      <w:r>
        <w:rPr>
          <w:rFonts w:eastAsia="楷体_GB2312" w:hint="eastAsia"/>
          <w:b/>
          <w:sz w:val="24"/>
        </w:rPr>
        <w:t>现以筹资年利率</w:t>
      </w:r>
      <w:r>
        <w:rPr>
          <w:rFonts w:eastAsia="楷体_GB2312" w:hint="eastAsia"/>
          <w:b/>
          <w:sz w:val="24"/>
        </w:rPr>
        <w:t>8%</w:t>
      </w:r>
      <w:r>
        <w:rPr>
          <w:rFonts w:eastAsia="楷体_GB2312" w:hint="eastAsia"/>
          <w:b/>
          <w:sz w:val="24"/>
        </w:rPr>
        <w:t>为折现率来对比</w:t>
      </w:r>
      <w:r>
        <w:rPr>
          <w:rFonts w:eastAsia="楷体_GB2312" w:hint="eastAsia"/>
          <w:b/>
          <w:sz w:val="24"/>
        </w:rPr>
        <w:t>其效果：</w:t>
      </w:r>
    </w:p>
    <w:p w:rsidR="00000000" w:rsidRDefault="00661157">
      <w:pPr>
        <w:ind w:firstLine="480"/>
        <w:rPr>
          <w:rFonts w:eastAsia="楷体_GB2312" w:hint="eastAsia"/>
          <w:b/>
          <w:sz w:val="24"/>
        </w:rPr>
      </w:pPr>
    </w:p>
    <w:tbl>
      <w:tblPr>
        <w:tblW w:w="0" w:type="auto"/>
        <w:tblInd w:w="63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1260"/>
        <w:gridCol w:w="1575"/>
        <w:gridCol w:w="1470"/>
        <w:gridCol w:w="1905"/>
        <w:gridCol w:w="1485"/>
        <w:gridCol w:w="1425"/>
      </w:tblGrid>
      <w:tr w:rsidR="00000000">
        <w:tblPrEx>
          <w:tblCellMar>
            <w:top w:w="0" w:type="dxa"/>
            <w:bottom w:w="0" w:type="dxa"/>
          </w:tblCellMar>
        </w:tblPrEx>
        <w:trPr>
          <w:cantSplit/>
          <w:trHeight w:val="210"/>
        </w:trPr>
        <w:tc>
          <w:tcPr>
            <w:tcW w:w="1260" w:type="dxa"/>
            <w:vAlign w:val="center"/>
          </w:tcPr>
          <w:p w:rsidR="00000000" w:rsidRDefault="00661157">
            <w:pPr>
              <w:jc w:val="center"/>
              <w:rPr>
                <w:rFonts w:eastAsia="黑体" w:hint="eastAsia"/>
                <w:b/>
                <w:sz w:val="24"/>
              </w:rPr>
            </w:pPr>
            <w:r>
              <w:rPr>
                <w:rFonts w:eastAsia="黑体" w:hint="eastAsia"/>
                <w:b/>
                <w:sz w:val="24"/>
              </w:rPr>
              <w:t>附</w:t>
            </w:r>
            <w:r>
              <w:rPr>
                <w:rFonts w:eastAsia="黑体" w:hint="eastAsia"/>
                <w:b/>
                <w:sz w:val="24"/>
              </w:rPr>
              <w:t xml:space="preserve">  </w:t>
            </w:r>
            <w:r>
              <w:rPr>
                <w:rFonts w:eastAsia="黑体" w:hint="eastAsia"/>
                <w:b/>
                <w:sz w:val="24"/>
              </w:rPr>
              <w:t>表</w:t>
            </w:r>
          </w:p>
        </w:tc>
        <w:tc>
          <w:tcPr>
            <w:tcW w:w="1575" w:type="dxa"/>
            <w:vAlign w:val="center"/>
          </w:tcPr>
          <w:p w:rsidR="00000000" w:rsidRDefault="00661157">
            <w:pPr>
              <w:jc w:val="center"/>
              <w:rPr>
                <w:rFonts w:eastAsia="楷体_GB2312" w:hint="eastAsia"/>
                <w:b/>
                <w:sz w:val="24"/>
              </w:rPr>
            </w:pPr>
            <w:r>
              <w:rPr>
                <w:rFonts w:eastAsia="楷体_GB2312" w:hint="eastAsia"/>
                <w:b/>
                <w:sz w:val="24"/>
              </w:rPr>
              <w:t>1</w:t>
            </w:r>
          </w:p>
        </w:tc>
        <w:tc>
          <w:tcPr>
            <w:tcW w:w="1470" w:type="dxa"/>
            <w:vAlign w:val="center"/>
          </w:tcPr>
          <w:p w:rsidR="00000000" w:rsidRDefault="00661157">
            <w:pPr>
              <w:jc w:val="center"/>
              <w:rPr>
                <w:rFonts w:eastAsia="楷体_GB2312" w:hint="eastAsia"/>
                <w:b/>
                <w:sz w:val="24"/>
              </w:rPr>
            </w:pPr>
            <w:r>
              <w:rPr>
                <w:rFonts w:eastAsia="楷体_GB2312" w:hint="eastAsia"/>
                <w:b/>
                <w:sz w:val="24"/>
              </w:rPr>
              <w:t>2</w:t>
            </w:r>
          </w:p>
        </w:tc>
        <w:tc>
          <w:tcPr>
            <w:tcW w:w="1905" w:type="dxa"/>
            <w:tcBorders>
              <w:top w:val="single" w:sz="8" w:space="0" w:color="auto"/>
              <w:left w:val="single" w:sz="8" w:space="0" w:color="auto"/>
              <w:bottom w:val="single" w:sz="8" w:space="0" w:color="auto"/>
              <w:right w:val="single" w:sz="8" w:space="0" w:color="auto"/>
            </w:tcBorders>
          </w:tcPr>
          <w:p w:rsidR="00000000" w:rsidRDefault="00661157">
            <w:pPr>
              <w:jc w:val="center"/>
              <w:rPr>
                <w:rFonts w:eastAsia="黑体" w:hint="eastAsia"/>
                <w:b/>
                <w:sz w:val="24"/>
              </w:rPr>
            </w:pPr>
            <w:r>
              <w:rPr>
                <w:rFonts w:eastAsia="黑体" w:hint="eastAsia"/>
                <w:b/>
                <w:sz w:val="24"/>
              </w:rPr>
              <w:t>附</w:t>
            </w:r>
            <w:r>
              <w:rPr>
                <w:rFonts w:eastAsia="黑体" w:hint="eastAsia"/>
                <w:b/>
                <w:sz w:val="24"/>
              </w:rPr>
              <w:t xml:space="preserve">  </w:t>
            </w:r>
            <w:r>
              <w:rPr>
                <w:rFonts w:eastAsia="黑体" w:hint="eastAsia"/>
                <w:b/>
                <w:sz w:val="24"/>
              </w:rPr>
              <w:t>表</w:t>
            </w:r>
          </w:p>
        </w:tc>
        <w:tc>
          <w:tcPr>
            <w:tcW w:w="1485" w:type="dxa"/>
            <w:tcBorders>
              <w:top w:val="single" w:sz="8" w:space="0" w:color="auto"/>
              <w:left w:val="single" w:sz="8" w:space="0" w:color="auto"/>
              <w:bottom w:val="single" w:sz="8" w:space="0" w:color="auto"/>
              <w:right w:val="single" w:sz="8" w:space="0" w:color="auto"/>
            </w:tcBorders>
          </w:tcPr>
          <w:p w:rsidR="00000000" w:rsidRDefault="00661157">
            <w:pPr>
              <w:jc w:val="center"/>
              <w:rPr>
                <w:rFonts w:eastAsia="楷体_GB2312" w:hint="eastAsia"/>
                <w:b/>
                <w:sz w:val="24"/>
              </w:rPr>
            </w:pPr>
            <w:r>
              <w:rPr>
                <w:rFonts w:eastAsia="楷体_GB2312" w:hint="eastAsia"/>
                <w:b/>
                <w:sz w:val="24"/>
              </w:rPr>
              <w:t>1</w:t>
            </w:r>
          </w:p>
        </w:tc>
        <w:tc>
          <w:tcPr>
            <w:tcW w:w="1425" w:type="dxa"/>
            <w:tcBorders>
              <w:top w:val="single" w:sz="8" w:space="0" w:color="auto"/>
              <w:left w:val="single" w:sz="8" w:space="0" w:color="auto"/>
              <w:bottom w:val="single" w:sz="8" w:space="0" w:color="auto"/>
              <w:right w:val="single" w:sz="8" w:space="0" w:color="auto"/>
            </w:tcBorders>
          </w:tcPr>
          <w:p w:rsidR="00000000" w:rsidRDefault="00661157">
            <w:pPr>
              <w:jc w:val="center"/>
              <w:rPr>
                <w:rFonts w:eastAsia="楷体_GB2312" w:hint="eastAsia"/>
                <w:b/>
                <w:sz w:val="24"/>
              </w:rPr>
            </w:pPr>
            <w:r>
              <w:rPr>
                <w:rFonts w:eastAsia="楷体_GB2312" w:hint="eastAsia"/>
                <w:b/>
                <w:sz w:val="24"/>
              </w:rPr>
              <w:t>2</w:t>
            </w:r>
          </w:p>
        </w:tc>
      </w:tr>
      <w:tr w:rsidR="00000000">
        <w:tblPrEx>
          <w:tblCellMar>
            <w:top w:w="0" w:type="dxa"/>
            <w:bottom w:w="0" w:type="dxa"/>
          </w:tblCellMar>
        </w:tblPrEx>
        <w:trPr>
          <w:cantSplit/>
          <w:trHeight w:val="195"/>
        </w:trPr>
        <w:tc>
          <w:tcPr>
            <w:tcW w:w="1260" w:type="dxa"/>
            <w:vAlign w:val="center"/>
          </w:tcPr>
          <w:p w:rsidR="00000000" w:rsidRDefault="00661157">
            <w:pPr>
              <w:rPr>
                <w:rFonts w:eastAsia="楷体_GB2312" w:hint="eastAsia"/>
                <w:b/>
                <w:sz w:val="24"/>
              </w:rPr>
            </w:pPr>
            <w:r>
              <w:rPr>
                <w:rFonts w:eastAsia="楷体_GB2312" w:hint="eastAsia"/>
                <w:b/>
                <w:sz w:val="24"/>
              </w:rPr>
              <w:t>各期租金</w:t>
            </w:r>
          </w:p>
        </w:tc>
        <w:tc>
          <w:tcPr>
            <w:tcW w:w="1575" w:type="dxa"/>
            <w:vAlign w:val="center"/>
          </w:tcPr>
          <w:p w:rsidR="00000000" w:rsidRDefault="00661157">
            <w:pPr>
              <w:jc w:val="right"/>
              <w:rPr>
                <w:rFonts w:eastAsia="楷体_GB2312" w:hint="eastAsia"/>
                <w:b/>
                <w:i/>
                <w:sz w:val="24"/>
              </w:rPr>
            </w:pPr>
            <w:r>
              <w:rPr>
                <w:rFonts w:eastAsia="楷体_GB2312" w:hint="eastAsia"/>
                <w:b/>
                <w:i/>
                <w:sz w:val="24"/>
              </w:rPr>
              <w:t>80,422.69</w:t>
            </w:r>
          </w:p>
        </w:tc>
        <w:tc>
          <w:tcPr>
            <w:tcW w:w="1470" w:type="dxa"/>
            <w:vAlign w:val="center"/>
          </w:tcPr>
          <w:p w:rsidR="00000000" w:rsidRDefault="00661157">
            <w:pPr>
              <w:jc w:val="right"/>
              <w:rPr>
                <w:rFonts w:eastAsia="楷体_GB2312" w:hint="eastAsia"/>
                <w:b/>
                <w:i/>
                <w:sz w:val="24"/>
              </w:rPr>
            </w:pPr>
            <w:r>
              <w:rPr>
                <w:rFonts w:eastAsia="楷体_GB2312" w:hint="eastAsia"/>
                <w:b/>
                <w:i/>
                <w:sz w:val="24"/>
              </w:rPr>
              <w:t>53,615.12</w:t>
            </w:r>
          </w:p>
        </w:tc>
        <w:tc>
          <w:tcPr>
            <w:tcW w:w="1905" w:type="dxa"/>
            <w:tcBorders>
              <w:top w:val="single" w:sz="8" w:space="0" w:color="auto"/>
              <w:left w:val="single" w:sz="8" w:space="0" w:color="auto"/>
              <w:bottom w:val="single" w:sz="8" w:space="0" w:color="auto"/>
              <w:right w:val="single" w:sz="8" w:space="0" w:color="auto"/>
            </w:tcBorders>
          </w:tcPr>
          <w:p w:rsidR="00000000" w:rsidRDefault="00661157">
            <w:pPr>
              <w:rPr>
                <w:rFonts w:eastAsia="楷体_GB2312" w:hint="eastAsia"/>
                <w:b/>
                <w:sz w:val="24"/>
              </w:rPr>
            </w:pPr>
            <w:r>
              <w:rPr>
                <w:rFonts w:eastAsia="楷体_GB2312" w:hint="eastAsia"/>
                <w:b/>
                <w:sz w:val="24"/>
              </w:rPr>
              <w:t>租金折现值</w:t>
            </w:r>
          </w:p>
        </w:tc>
        <w:tc>
          <w:tcPr>
            <w:tcW w:w="1485" w:type="dxa"/>
            <w:tcBorders>
              <w:top w:val="single" w:sz="8" w:space="0" w:color="auto"/>
              <w:left w:val="single" w:sz="8" w:space="0" w:color="auto"/>
              <w:bottom w:val="single" w:sz="8" w:space="0" w:color="auto"/>
              <w:right w:val="single" w:sz="8" w:space="0" w:color="auto"/>
            </w:tcBorders>
          </w:tcPr>
          <w:p w:rsidR="00000000" w:rsidRDefault="00661157">
            <w:pPr>
              <w:jc w:val="right"/>
              <w:rPr>
                <w:rFonts w:eastAsia="楷体_GB2312" w:hint="eastAsia"/>
                <w:b/>
                <w:i/>
                <w:sz w:val="24"/>
              </w:rPr>
            </w:pPr>
            <w:r>
              <w:rPr>
                <w:rFonts w:eastAsia="楷体_GB2312" w:hint="eastAsia"/>
                <w:b/>
                <w:i/>
                <w:sz w:val="24"/>
              </w:rPr>
              <w:t>1,216,673.12</w:t>
            </w:r>
          </w:p>
        </w:tc>
        <w:tc>
          <w:tcPr>
            <w:tcW w:w="1425" w:type="dxa"/>
            <w:tcBorders>
              <w:top w:val="single" w:sz="8" w:space="0" w:color="auto"/>
              <w:left w:val="single" w:sz="8" w:space="0" w:color="auto"/>
              <w:bottom w:val="single" w:sz="8" w:space="0" w:color="auto"/>
              <w:right w:val="single" w:sz="8" w:space="0" w:color="auto"/>
            </w:tcBorders>
          </w:tcPr>
          <w:p w:rsidR="00000000" w:rsidRDefault="00661157">
            <w:pPr>
              <w:jc w:val="right"/>
              <w:rPr>
                <w:rFonts w:eastAsia="楷体_GB2312" w:hint="eastAsia"/>
                <w:b/>
                <w:i/>
                <w:sz w:val="24"/>
              </w:rPr>
            </w:pPr>
            <w:r>
              <w:rPr>
                <w:rFonts w:eastAsia="楷体_GB2312" w:hint="eastAsia"/>
                <w:b/>
                <w:i/>
                <w:sz w:val="24"/>
              </w:rPr>
              <w:t>811,115.41</w:t>
            </w:r>
          </w:p>
        </w:tc>
      </w:tr>
      <w:tr w:rsidR="00000000">
        <w:tblPrEx>
          <w:tblCellMar>
            <w:top w:w="0" w:type="dxa"/>
            <w:bottom w:w="0" w:type="dxa"/>
          </w:tblCellMar>
        </w:tblPrEx>
        <w:trPr>
          <w:cantSplit/>
          <w:trHeight w:val="210"/>
        </w:trPr>
        <w:tc>
          <w:tcPr>
            <w:tcW w:w="1260" w:type="dxa"/>
            <w:vAlign w:val="center"/>
          </w:tcPr>
          <w:p w:rsidR="00000000" w:rsidRDefault="00661157">
            <w:pPr>
              <w:rPr>
                <w:rFonts w:eastAsia="楷体_GB2312" w:hint="eastAsia"/>
                <w:b/>
                <w:sz w:val="24"/>
              </w:rPr>
            </w:pPr>
            <w:r>
              <w:rPr>
                <w:rFonts w:eastAsia="楷体_GB2312" w:hint="eastAsia"/>
                <w:b/>
                <w:sz w:val="24"/>
              </w:rPr>
              <w:t>租金合计</w:t>
            </w:r>
          </w:p>
        </w:tc>
        <w:tc>
          <w:tcPr>
            <w:tcW w:w="1575" w:type="dxa"/>
            <w:vAlign w:val="center"/>
          </w:tcPr>
          <w:p w:rsidR="00000000" w:rsidRDefault="00661157">
            <w:pPr>
              <w:jc w:val="right"/>
              <w:rPr>
                <w:rFonts w:eastAsia="楷体_GB2312" w:hint="eastAsia"/>
                <w:b/>
                <w:i/>
                <w:sz w:val="24"/>
              </w:rPr>
            </w:pPr>
            <w:r>
              <w:rPr>
                <w:rFonts w:eastAsia="楷体_GB2312" w:hint="eastAsia"/>
                <w:b/>
                <w:i/>
                <w:sz w:val="24"/>
              </w:rPr>
              <w:t>1,286,762.98</w:t>
            </w:r>
          </w:p>
        </w:tc>
        <w:tc>
          <w:tcPr>
            <w:tcW w:w="1470" w:type="dxa"/>
            <w:vAlign w:val="center"/>
          </w:tcPr>
          <w:p w:rsidR="00000000" w:rsidRDefault="00661157">
            <w:pPr>
              <w:jc w:val="right"/>
              <w:rPr>
                <w:rFonts w:eastAsia="楷体_GB2312" w:hint="eastAsia"/>
                <w:b/>
                <w:i/>
                <w:sz w:val="24"/>
              </w:rPr>
            </w:pPr>
            <w:r>
              <w:rPr>
                <w:rFonts w:eastAsia="楷体_GB2312" w:hint="eastAsia"/>
                <w:b/>
                <w:i/>
                <w:sz w:val="24"/>
              </w:rPr>
              <w:t>857,841.98</w:t>
            </w:r>
          </w:p>
        </w:tc>
        <w:tc>
          <w:tcPr>
            <w:tcW w:w="1905" w:type="dxa"/>
            <w:tcBorders>
              <w:top w:val="single" w:sz="8" w:space="0" w:color="auto"/>
              <w:left w:val="single" w:sz="8" w:space="0" w:color="auto"/>
              <w:bottom w:val="single" w:sz="8" w:space="0" w:color="auto"/>
              <w:right w:val="single" w:sz="8" w:space="0" w:color="auto"/>
            </w:tcBorders>
          </w:tcPr>
          <w:p w:rsidR="00000000" w:rsidRDefault="00661157">
            <w:pPr>
              <w:rPr>
                <w:rFonts w:eastAsia="楷体_GB2312" w:hint="eastAsia"/>
                <w:b/>
                <w:sz w:val="24"/>
              </w:rPr>
            </w:pPr>
            <w:r>
              <w:rPr>
                <w:rFonts w:eastAsia="楷体_GB2312" w:hint="eastAsia"/>
                <w:b/>
                <w:sz w:val="24"/>
              </w:rPr>
              <w:t>收益净现值</w:t>
            </w:r>
          </w:p>
        </w:tc>
        <w:tc>
          <w:tcPr>
            <w:tcW w:w="1485" w:type="dxa"/>
            <w:tcBorders>
              <w:top w:val="single" w:sz="8" w:space="0" w:color="auto"/>
              <w:left w:val="single" w:sz="8" w:space="0" w:color="auto"/>
              <w:bottom w:val="single" w:sz="8" w:space="0" w:color="auto"/>
              <w:right w:val="single" w:sz="8" w:space="0" w:color="auto"/>
            </w:tcBorders>
          </w:tcPr>
          <w:p w:rsidR="00000000" w:rsidRDefault="00661157">
            <w:pPr>
              <w:jc w:val="right"/>
              <w:rPr>
                <w:rFonts w:eastAsia="楷体_GB2312" w:hint="eastAsia"/>
                <w:b/>
                <w:i/>
                <w:sz w:val="24"/>
              </w:rPr>
            </w:pPr>
            <w:r>
              <w:rPr>
                <w:rFonts w:eastAsia="楷体_GB2312" w:hint="eastAsia"/>
                <w:b/>
                <w:i/>
                <w:sz w:val="24"/>
              </w:rPr>
              <w:t>16,673.12</w:t>
            </w:r>
          </w:p>
        </w:tc>
        <w:tc>
          <w:tcPr>
            <w:tcW w:w="1425" w:type="dxa"/>
            <w:tcBorders>
              <w:top w:val="single" w:sz="8" w:space="0" w:color="auto"/>
              <w:left w:val="single" w:sz="8" w:space="0" w:color="auto"/>
              <w:bottom w:val="single" w:sz="8" w:space="0" w:color="auto"/>
              <w:right w:val="single" w:sz="8" w:space="0" w:color="auto"/>
            </w:tcBorders>
          </w:tcPr>
          <w:p w:rsidR="00000000" w:rsidRDefault="00661157">
            <w:pPr>
              <w:jc w:val="right"/>
              <w:rPr>
                <w:rFonts w:eastAsia="楷体_GB2312" w:hint="eastAsia"/>
                <w:b/>
                <w:i/>
                <w:sz w:val="24"/>
              </w:rPr>
            </w:pPr>
            <w:r>
              <w:rPr>
                <w:rFonts w:eastAsia="楷体_GB2312" w:hint="eastAsia"/>
                <w:b/>
                <w:i/>
                <w:sz w:val="24"/>
              </w:rPr>
              <w:t>11,115.41</w:t>
            </w:r>
          </w:p>
        </w:tc>
      </w:tr>
      <w:tr w:rsidR="00000000">
        <w:tblPrEx>
          <w:tblCellMar>
            <w:top w:w="0" w:type="dxa"/>
            <w:bottom w:w="0" w:type="dxa"/>
          </w:tblCellMar>
        </w:tblPrEx>
        <w:trPr>
          <w:cantSplit/>
          <w:trHeight w:val="195"/>
        </w:trPr>
        <w:tc>
          <w:tcPr>
            <w:tcW w:w="1260" w:type="dxa"/>
            <w:vAlign w:val="center"/>
          </w:tcPr>
          <w:p w:rsidR="00000000" w:rsidRDefault="00661157">
            <w:pPr>
              <w:rPr>
                <w:rFonts w:eastAsia="楷体_GB2312" w:hint="eastAsia"/>
                <w:b/>
                <w:sz w:val="24"/>
              </w:rPr>
            </w:pPr>
            <w:r>
              <w:rPr>
                <w:rFonts w:eastAsia="楷体_GB2312" w:hint="eastAsia"/>
                <w:b/>
                <w:sz w:val="24"/>
              </w:rPr>
              <w:t>回收本金</w:t>
            </w:r>
          </w:p>
        </w:tc>
        <w:tc>
          <w:tcPr>
            <w:tcW w:w="1575" w:type="dxa"/>
            <w:vAlign w:val="center"/>
          </w:tcPr>
          <w:p w:rsidR="00000000" w:rsidRDefault="00661157">
            <w:pPr>
              <w:jc w:val="right"/>
              <w:rPr>
                <w:rFonts w:eastAsia="楷体_GB2312" w:hint="eastAsia"/>
                <w:b/>
                <w:i/>
                <w:sz w:val="24"/>
              </w:rPr>
            </w:pPr>
            <w:r>
              <w:rPr>
                <w:rFonts w:eastAsia="楷体_GB2312" w:hint="eastAsia"/>
                <w:b/>
                <w:i/>
                <w:sz w:val="24"/>
              </w:rPr>
              <w:t>1,200,000.00</w:t>
            </w:r>
          </w:p>
        </w:tc>
        <w:tc>
          <w:tcPr>
            <w:tcW w:w="1470" w:type="dxa"/>
            <w:vAlign w:val="center"/>
          </w:tcPr>
          <w:p w:rsidR="00000000" w:rsidRDefault="00661157">
            <w:pPr>
              <w:jc w:val="right"/>
              <w:rPr>
                <w:rFonts w:eastAsia="楷体_GB2312" w:hint="eastAsia"/>
                <w:b/>
                <w:i/>
                <w:sz w:val="24"/>
              </w:rPr>
            </w:pPr>
            <w:r>
              <w:rPr>
                <w:rFonts w:eastAsia="楷体_GB2312" w:hint="eastAsia"/>
                <w:b/>
                <w:i/>
                <w:sz w:val="24"/>
              </w:rPr>
              <w:t>800,000.00</w:t>
            </w:r>
          </w:p>
        </w:tc>
        <w:tc>
          <w:tcPr>
            <w:tcW w:w="1905" w:type="dxa"/>
            <w:tcBorders>
              <w:top w:val="single" w:sz="8" w:space="0" w:color="auto"/>
              <w:left w:val="single" w:sz="8" w:space="0" w:color="auto"/>
              <w:bottom w:val="single" w:sz="8" w:space="0" w:color="auto"/>
              <w:right w:val="single" w:sz="8" w:space="0" w:color="auto"/>
            </w:tcBorders>
          </w:tcPr>
          <w:p w:rsidR="00000000" w:rsidRDefault="00661157">
            <w:pPr>
              <w:rPr>
                <w:rFonts w:eastAsia="楷体_GB2312" w:hint="eastAsia"/>
                <w:b/>
                <w:sz w:val="24"/>
              </w:rPr>
            </w:pPr>
            <w:r>
              <w:rPr>
                <w:rFonts w:eastAsia="楷体_GB2312" w:hint="eastAsia"/>
                <w:b/>
                <w:sz w:val="24"/>
              </w:rPr>
              <w:t>所留余值</w:t>
            </w:r>
          </w:p>
        </w:tc>
        <w:tc>
          <w:tcPr>
            <w:tcW w:w="1485" w:type="dxa"/>
            <w:tcBorders>
              <w:top w:val="single" w:sz="8" w:space="0" w:color="auto"/>
              <w:left w:val="single" w:sz="8" w:space="0" w:color="auto"/>
              <w:bottom w:val="single" w:sz="8" w:space="0" w:color="auto"/>
              <w:right w:val="single" w:sz="8" w:space="0" w:color="auto"/>
            </w:tcBorders>
          </w:tcPr>
          <w:p w:rsidR="00000000" w:rsidRDefault="00661157">
            <w:pPr>
              <w:jc w:val="right"/>
              <w:rPr>
                <w:rFonts w:eastAsia="楷体_GB2312" w:hint="eastAsia"/>
                <w:b/>
                <w:i/>
                <w:sz w:val="24"/>
              </w:rPr>
            </w:pPr>
            <w:r>
              <w:rPr>
                <w:rFonts w:eastAsia="楷体_GB2312" w:hint="eastAsia"/>
                <w:b/>
                <w:i/>
                <w:sz w:val="24"/>
              </w:rPr>
              <w:t>0.00</w:t>
            </w:r>
          </w:p>
        </w:tc>
        <w:tc>
          <w:tcPr>
            <w:tcW w:w="1425" w:type="dxa"/>
            <w:tcBorders>
              <w:top w:val="single" w:sz="8" w:space="0" w:color="auto"/>
              <w:left w:val="single" w:sz="8" w:space="0" w:color="auto"/>
              <w:bottom w:val="single" w:sz="8" w:space="0" w:color="auto"/>
              <w:right w:val="single" w:sz="8" w:space="0" w:color="auto"/>
            </w:tcBorders>
          </w:tcPr>
          <w:p w:rsidR="00000000" w:rsidRDefault="00661157">
            <w:pPr>
              <w:jc w:val="right"/>
              <w:rPr>
                <w:rFonts w:eastAsia="楷体_GB2312" w:hint="eastAsia"/>
                <w:b/>
                <w:i/>
                <w:sz w:val="24"/>
              </w:rPr>
            </w:pPr>
            <w:r>
              <w:rPr>
                <w:rFonts w:eastAsia="楷体_GB2312" w:hint="eastAsia"/>
                <w:b/>
                <w:i/>
                <w:sz w:val="24"/>
              </w:rPr>
              <w:t>400,000.00</w:t>
            </w:r>
          </w:p>
        </w:tc>
      </w:tr>
      <w:tr w:rsidR="00000000">
        <w:tblPrEx>
          <w:tblCellMar>
            <w:top w:w="0" w:type="dxa"/>
            <w:bottom w:w="0" w:type="dxa"/>
          </w:tblCellMar>
        </w:tblPrEx>
        <w:trPr>
          <w:cantSplit/>
          <w:trHeight w:val="210"/>
        </w:trPr>
        <w:tc>
          <w:tcPr>
            <w:tcW w:w="1260" w:type="dxa"/>
            <w:vAlign w:val="center"/>
          </w:tcPr>
          <w:p w:rsidR="00000000" w:rsidRDefault="00661157">
            <w:pPr>
              <w:rPr>
                <w:rFonts w:eastAsia="楷体_GB2312" w:hint="eastAsia"/>
                <w:b/>
                <w:sz w:val="24"/>
              </w:rPr>
            </w:pPr>
            <w:r>
              <w:rPr>
                <w:rFonts w:eastAsia="楷体_GB2312" w:hint="eastAsia"/>
                <w:b/>
                <w:sz w:val="24"/>
              </w:rPr>
              <w:t>毛收益</w:t>
            </w:r>
          </w:p>
        </w:tc>
        <w:tc>
          <w:tcPr>
            <w:tcW w:w="1575" w:type="dxa"/>
            <w:vAlign w:val="center"/>
          </w:tcPr>
          <w:p w:rsidR="00000000" w:rsidRDefault="00661157">
            <w:pPr>
              <w:jc w:val="right"/>
              <w:rPr>
                <w:rFonts w:eastAsia="楷体_GB2312" w:hint="eastAsia"/>
                <w:b/>
                <w:i/>
                <w:sz w:val="24"/>
              </w:rPr>
            </w:pPr>
            <w:r>
              <w:rPr>
                <w:rFonts w:eastAsia="楷体_GB2312" w:hint="eastAsia"/>
                <w:b/>
                <w:i/>
                <w:sz w:val="24"/>
              </w:rPr>
              <w:t>86,762.98</w:t>
            </w:r>
          </w:p>
        </w:tc>
        <w:tc>
          <w:tcPr>
            <w:tcW w:w="1470" w:type="dxa"/>
            <w:vAlign w:val="center"/>
          </w:tcPr>
          <w:p w:rsidR="00000000" w:rsidRDefault="00661157">
            <w:pPr>
              <w:jc w:val="right"/>
              <w:rPr>
                <w:rFonts w:eastAsia="楷体_GB2312" w:hint="eastAsia"/>
                <w:b/>
                <w:i/>
                <w:sz w:val="24"/>
              </w:rPr>
            </w:pPr>
            <w:r>
              <w:rPr>
                <w:rFonts w:eastAsia="楷体_GB2312" w:hint="eastAsia"/>
                <w:b/>
                <w:i/>
                <w:sz w:val="24"/>
              </w:rPr>
              <w:t>57,841.98</w:t>
            </w:r>
          </w:p>
        </w:tc>
        <w:tc>
          <w:tcPr>
            <w:tcW w:w="1905" w:type="dxa"/>
            <w:tcBorders>
              <w:top w:val="single" w:sz="8" w:space="0" w:color="auto"/>
              <w:left w:val="single" w:sz="8" w:space="0" w:color="auto"/>
              <w:bottom w:val="single" w:sz="8" w:space="0" w:color="auto"/>
              <w:right w:val="single" w:sz="8" w:space="0" w:color="auto"/>
            </w:tcBorders>
          </w:tcPr>
          <w:p w:rsidR="00000000" w:rsidRDefault="00661157">
            <w:pPr>
              <w:widowControl/>
              <w:jc w:val="left"/>
              <w:rPr>
                <w:rFonts w:eastAsia="楷体_GB2312" w:hint="eastAsia"/>
                <w:b/>
                <w:sz w:val="24"/>
              </w:rPr>
            </w:pPr>
          </w:p>
        </w:tc>
        <w:tc>
          <w:tcPr>
            <w:tcW w:w="1485" w:type="dxa"/>
            <w:tcBorders>
              <w:top w:val="single" w:sz="8" w:space="0" w:color="auto"/>
              <w:left w:val="single" w:sz="8" w:space="0" w:color="auto"/>
              <w:bottom w:val="single" w:sz="8" w:space="0" w:color="auto"/>
              <w:right w:val="single" w:sz="8" w:space="0" w:color="auto"/>
            </w:tcBorders>
          </w:tcPr>
          <w:p w:rsidR="00000000" w:rsidRDefault="00661157">
            <w:pPr>
              <w:widowControl/>
              <w:jc w:val="left"/>
              <w:rPr>
                <w:rFonts w:eastAsia="楷体_GB2312" w:hint="eastAsia"/>
                <w:b/>
                <w:sz w:val="24"/>
              </w:rPr>
            </w:pPr>
          </w:p>
        </w:tc>
        <w:tc>
          <w:tcPr>
            <w:tcW w:w="1425" w:type="dxa"/>
            <w:tcBorders>
              <w:top w:val="single" w:sz="8" w:space="0" w:color="auto"/>
              <w:left w:val="single" w:sz="8" w:space="0" w:color="auto"/>
              <w:bottom w:val="single" w:sz="8" w:space="0" w:color="auto"/>
              <w:right w:val="single" w:sz="8" w:space="0" w:color="auto"/>
            </w:tcBorders>
          </w:tcPr>
          <w:p w:rsidR="00000000" w:rsidRDefault="00661157">
            <w:pPr>
              <w:widowControl/>
              <w:jc w:val="left"/>
              <w:rPr>
                <w:rFonts w:eastAsia="楷体_GB2312" w:hint="eastAsia"/>
                <w:b/>
                <w:sz w:val="24"/>
              </w:rPr>
            </w:pPr>
          </w:p>
        </w:tc>
      </w:tr>
    </w:tbl>
    <w:p w:rsidR="00000000" w:rsidRDefault="00661157">
      <w:pPr>
        <w:jc w:val="left"/>
        <w:rPr>
          <w:rFonts w:eastAsia="楷体_GB2312" w:hint="eastAsia"/>
          <w:b/>
          <w:sz w:val="24"/>
        </w:rPr>
      </w:pPr>
    </w:p>
    <w:p w:rsidR="00000000" w:rsidRDefault="00661157">
      <w:pPr>
        <w:ind w:firstLine="480"/>
        <w:jc w:val="left"/>
        <w:rPr>
          <w:rFonts w:eastAsia="楷体_GB2312" w:hint="eastAsia"/>
          <w:b/>
          <w:sz w:val="24"/>
        </w:rPr>
      </w:pPr>
      <w:r>
        <w:rPr>
          <w:rFonts w:eastAsia="楷体_GB2312" w:hint="eastAsia"/>
          <w:b/>
          <w:sz w:val="24"/>
        </w:rPr>
        <w:lastRenderedPageBreak/>
        <w:t>附表</w:t>
      </w:r>
      <w:r>
        <w:rPr>
          <w:rFonts w:eastAsia="楷体_GB2312" w:hint="eastAsia"/>
          <w:b/>
          <w:sz w:val="24"/>
        </w:rPr>
        <w:t>2</w:t>
      </w:r>
      <w:r>
        <w:rPr>
          <w:rFonts w:eastAsia="楷体_GB2312" w:hint="eastAsia"/>
          <w:b/>
          <w:sz w:val="24"/>
        </w:rPr>
        <w:t>的收益净现值只及附表</w:t>
      </w:r>
      <w:r>
        <w:rPr>
          <w:rFonts w:eastAsia="楷体_GB2312" w:hint="eastAsia"/>
          <w:b/>
          <w:sz w:val="24"/>
        </w:rPr>
        <w:t>1</w:t>
      </w:r>
      <w:r>
        <w:rPr>
          <w:rFonts w:eastAsia="楷体_GB2312" w:hint="eastAsia"/>
          <w:b/>
          <w:sz w:val="24"/>
        </w:rPr>
        <w:t>的三分之二，但是由于承租人返还租赁物，出租人可以通</w:t>
      </w:r>
      <w:r>
        <w:rPr>
          <w:rFonts w:eastAsia="楷体_GB2312" w:hint="eastAsia"/>
          <w:b/>
          <w:sz w:val="24"/>
        </w:rPr>
        <w:t>过对其估计价值为</w:t>
      </w:r>
      <w:r>
        <w:rPr>
          <w:rFonts w:eastAsia="楷体_GB2312" w:hint="eastAsia"/>
          <w:b/>
          <w:sz w:val="24"/>
        </w:rPr>
        <w:t>400,000</w:t>
      </w:r>
      <w:r>
        <w:rPr>
          <w:rFonts w:eastAsia="楷体_GB2312" w:hint="eastAsia"/>
          <w:b/>
          <w:sz w:val="24"/>
        </w:rPr>
        <w:t>元租赁物的再处置来得到补偿。然而，对于出租人的贷款人来说，如果该余值不能实现，则出租人的还贷将受不利影响。因此，对于留有余值的经营租赁交易，贷款人很可能不愿意给出租人以余值部分的贷款。换句话说，出租人或者是动用其自有资金，因而使得其财务杠杆效应减弱，或者是不得不面对贷款人报出的较高的筹资利率，因而不得不提高自己的租赁利率，而减弱自己的竞争力。</w:t>
      </w:r>
    </w:p>
    <w:p w:rsidR="00000000" w:rsidRDefault="00661157">
      <w:pPr>
        <w:jc w:val="left"/>
        <w:rPr>
          <w:rFonts w:eastAsia="楷体_GB2312" w:hint="eastAsia"/>
          <w:b/>
          <w:sz w:val="24"/>
        </w:rPr>
      </w:pPr>
    </w:p>
    <w:p w:rsidR="00000000" w:rsidRDefault="00661157">
      <w:pPr>
        <w:jc w:val="left"/>
        <w:rPr>
          <w:rFonts w:eastAsia="楷体_GB2312" w:hint="eastAsia"/>
          <w:b/>
          <w:sz w:val="24"/>
        </w:rPr>
      </w:pPr>
    </w:p>
    <w:p w:rsidR="00000000" w:rsidRDefault="00661157">
      <w:pPr>
        <w:ind w:firstLine="495"/>
        <w:jc w:val="left"/>
        <w:rPr>
          <w:rFonts w:ascii="黑体" w:eastAsia="黑体" w:hint="eastAsia"/>
          <w:b/>
          <w:sz w:val="24"/>
        </w:rPr>
      </w:pPr>
      <w:r>
        <w:rPr>
          <w:rFonts w:ascii="黑体" w:eastAsia="黑体" w:hint="eastAsia"/>
          <w:b/>
          <w:sz w:val="24"/>
        </w:rPr>
        <w:t>附表</w:t>
      </w:r>
      <w:r>
        <w:rPr>
          <w:rFonts w:ascii="黑体" w:eastAsia="黑体" w:hint="eastAsia"/>
          <w:b/>
          <w:sz w:val="24"/>
        </w:rPr>
        <w:t>1</w:t>
      </w:r>
      <w:r>
        <w:rPr>
          <w:rFonts w:ascii="黑体" w:eastAsia="黑体" w:hint="eastAsia"/>
          <w:b/>
          <w:sz w:val="24"/>
        </w:rPr>
        <w:t>：融资租赁合同资金占用、租金构成、收益净现值及资金年净收益率</w:t>
      </w:r>
    </w:p>
    <w:p w:rsidR="00000000" w:rsidRDefault="00661157">
      <w:pPr>
        <w:ind w:firstLine="495"/>
        <w:jc w:val="left"/>
        <w:rPr>
          <w:rFonts w:ascii="黑体" w:eastAsia="黑体" w:hint="eastAsia"/>
          <w:b/>
          <w:sz w:val="24"/>
        </w:rPr>
      </w:pPr>
      <w:r>
        <w:rPr>
          <w:rFonts w:ascii="黑体" w:eastAsia="黑体" w:hint="eastAsia"/>
          <w:b/>
          <w:sz w:val="24"/>
        </w:rPr>
        <w:t>附表</w:t>
      </w:r>
      <w:r>
        <w:rPr>
          <w:rFonts w:ascii="黑体" w:eastAsia="黑体" w:hint="eastAsia"/>
          <w:b/>
          <w:sz w:val="24"/>
        </w:rPr>
        <w:t>2</w:t>
      </w:r>
      <w:r>
        <w:rPr>
          <w:rFonts w:ascii="黑体" w:eastAsia="黑体" w:hint="eastAsia"/>
          <w:b/>
          <w:sz w:val="24"/>
        </w:rPr>
        <w:t>：经营租赁合同资金占用、租金构成、收益净现值及资金年净收益</w:t>
      </w:r>
      <w:r>
        <w:rPr>
          <w:rFonts w:ascii="黑体" w:eastAsia="黑体" w:hint="eastAsia"/>
          <w:b/>
          <w:sz w:val="24"/>
        </w:rPr>
        <w:t>率</w:t>
      </w:r>
    </w:p>
    <w:p w:rsidR="00000000" w:rsidRDefault="00661157">
      <w:pPr>
        <w:jc w:val="left"/>
        <w:rPr>
          <w:rFonts w:eastAsia="楷体_GB2312" w:hint="eastAsia"/>
          <w:b/>
          <w:sz w:val="24"/>
        </w:rPr>
      </w:pPr>
      <w:r>
        <w:rPr>
          <w:rFonts w:eastAsia="楷体_GB2312" w:hint="eastAsia"/>
          <w:b/>
          <w:sz w:val="24"/>
        </w:rPr>
        <w:t xml:space="preserve">                                                         </w:t>
      </w:r>
    </w:p>
    <w:p w:rsidR="00000000" w:rsidRDefault="00661157">
      <w:pPr>
        <w:jc w:val="left"/>
        <w:rPr>
          <w:rFonts w:eastAsia="楷体_GB2312" w:hint="eastAsia"/>
          <w:b/>
          <w:sz w:val="24"/>
        </w:rPr>
      </w:pPr>
    </w:p>
    <w:p w:rsidR="00000000" w:rsidRDefault="00661157">
      <w:pPr>
        <w:jc w:val="left"/>
        <w:rPr>
          <w:rFonts w:eastAsia="楷体_GB2312" w:hint="eastAsia"/>
          <w:b/>
          <w:sz w:val="24"/>
        </w:rPr>
      </w:pPr>
    </w:p>
    <w:p w:rsidR="00000000" w:rsidRDefault="00661157">
      <w:pPr>
        <w:jc w:val="left"/>
        <w:rPr>
          <w:rFonts w:ascii="黑体" w:eastAsia="黑体" w:hint="eastAsia"/>
          <w:b/>
          <w:sz w:val="28"/>
        </w:rPr>
      </w:pPr>
      <w:r>
        <w:rPr>
          <w:rFonts w:eastAsia="楷体_GB2312" w:hint="eastAsia"/>
          <w:b/>
          <w:sz w:val="24"/>
        </w:rPr>
        <w:t xml:space="preserve">                                                           </w:t>
      </w:r>
      <w:r>
        <w:rPr>
          <w:rFonts w:ascii="黑体" w:eastAsia="黑体" w:hint="eastAsia"/>
          <w:b/>
          <w:sz w:val="28"/>
        </w:rPr>
        <w:t>裘</w:t>
      </w:r>
      <w:r>
        <w:rPr>
          <w:rFonts w:ascii="黑体" w:eastAsia="黑体" w:hint="eastAsia"/>
          <w:b/>
          <w:sz w:val="28"/>
        </w:rPr>
        <w:t xml:space="preserve"> </w:t>
      </w:r>
      <w:r>
        <w:rPr>
          <w:rFonts w:ascii="黑体" w:eastAsia="黑体" w:hint="eastAsia"/>
          <w:b/>
          <w:sz w:val="28"/>
        </w:rPr>
        <w:t>企</w:t>
      </w:r>
      <w:r>
        <w:rPr>
          <w:rFonts w:ascii="黑体" w:eastAsia="黑体" w:hint="eastAsia"/>
          <w:b/>
          <w:sz w:val="28"/>
        </w:rPr>
        <w:t xml:space="preserve"> </w:t>
      </w:r>
      <w:r>
        <w:rPr>
          <w:rFonts w:ascii="黑体" w:eastAsia="黑体" w:hint="eastAsia"/>
          <w:b/>
          <w:sz w:val="28"/>
        </w:rPr>
        <w:t>阳</w:t>
      </w:r>
    </w:p>
    <w:p w:rsidR="00000000" w:rsidRDefault="00661157">
      <w:pPr>
        <w:jc w:val="left"/>
        <w:rPr>
          <w:rFonts w:ascii="黑体" w:eastAsia="黑体" w:hint="eastAsia"/>
          <w:b/>
          <w:sz w:val="28"/>
        </w:rPr>
      </w:pPr>
    </w:p>
    <w:p w:rsidR="00661157" w:rsidRDefault="00661157">
      <w:pPr>
        <w:jc w:val="left"/>
        <w:rPr>
          <w:rFonts w:eastAsia="黑体" w:hint="eastAsia"/>
          <w:b/>
          <w:sz w:val="28"/>
        </w:rPr>
      </w:pPr>
      <w:r>
        <w:rPr>
          <w:rFonts w:ascii="黑体" w:eastAsia="黑体" w:hint="eastAsia"/>
          <w:b/>
          <w:sz w:val="28"/>
        </w:rPr>
        <w:t xml:space="preserve">                                                  </w:t>
      </w:r>
      <w:r>
        <w:rPr>
          <w:rFonts w:eastAsia="黑体" w:hint="eastAsia"/>
          <w:b/>
          <w:sz w:val="28"/>
        </w:rPr>
        <w:t>2002.03.12</w:t>
      </w:r>
    </w:p>
    <w:sectPr w:rsidR="00661157">
      <w:footerReference w:type="even" r:id="rId7"/>
      <w:footerReference w:type="default" r:id="rId8"/>
      <w:pgSz w:w="11906" w:h="16838" w:code="9"/>
      <w:pgMar w:top="1134" w:right="1134" w:bottom="1134" w:left="1134"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157" w:rsidRDefault="00661157">
      <w:r>
        <w:separator/>
      </w:r>
    </w:p>
  </w:endnote>
  <w:endnote w:type="continuationSeparator" w:id="0">
    <w:p w:rsidR="00661157" w:rsidRDefault="00661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楷体_GB2312">
    <w:panose1 w:val="02010609030101010101"/>
    <w:charset w:val="86"/>
    <w:family w:val="modern"/>
    <w:pitch w:val="fixed"/>
    <w:sig w:usb0="00000001" w:usb1="080E0000" w:usb2="00000010" w:usb3="00000000" w:csb0="00040000" w:csb1="00000000"/>
  </w:font>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希望仿宋">
    <w:altName w:val="黑体"/>
    <w:charset w:val="86"/>
    <w:family w:val="roman"/>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61157">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000000" w:rsidRDefault="00661157">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61157">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6B7C88">
      <w:rPr>
        <w:rStyle w:val="a4"/>
        <w:noProof/>
      </w:rPr>
      <w:t>9</w:t>
    </w:r>
    <w:r>
      <w:rPr>
        <w:rStyle w:val="a4"/>
      </w:rPr>
      <w:fldChar w:fldCharType="end"/>
    </w:r>
  </w:p>
  <w:p w:rsidR="00000000" w:rsidRDefault="0066115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157" w:rsidRDefault="00661157">
      <w:r>
        <w:separator/>
      </w:r>
    </w:p>
  </w:footnote>
  <w:footnote w:type="continuationSeparator" w:id="0">
    <w:p w:rsidR="00661157" w:rsidRDefault="006611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0965"/>
    <w:multiLevelType w:val="singleLevel"/>
    <w:tmpl w:val="41167568"/>
    <w:lvl w:ilvl="0">
      <w:start w:val="1"/>
      <w:numFmt w:val="bullet"/>
      <w:lvlText w:val="▲"/>
      <w:lvlJc w:val="left"/>
      <w:pPr>
        <w:tabs>
          <w:tab w:val="num" w:pos="945"/>
        </w:tabs>
        <w:ind w:left="945" w:hanging="375"/>
      </w:pPr>
      <w:rPr>
        <w:rFonts w:ascii="楷体_GB2312" w:hint="eastAsia"/>
      </w:rPr>
    </w:lvl>
  </w:abstractNum>
  <w:abstractNum w:abstractNumId="1" w15:restartNumberingAfterBreak="0">
    <w:nsid w:val="26AB3813"/>
    <w:multiLevelType w:val="singleLevel"/>
    <w:tmpl w:val="D19856D2"/>
    <w:lvl w:ilvl="0">
      <w:start w:val="1"/>
      <w:numFmt w:val="japaneseCounting"/>
      <w:lvlText w:val="%1、"/>
      <w:lvlJc w:val="left"/>
      <w:pPr>
        <w:tabs>
          <w:tab w:val="num" w:pos="1050"/>
        </w:tabs>
        <w:ind w:left="1050" w:hanging="480"/>
      </w:pPr>
      <w:rPr>
        <w:rFonts w:hint="eastAsia"/>
      </w:rPr>
    </w:lvl>
  </w:abstractNum>
  <w:abstractNum w:abstractNumId="2" w15:restartNumberingAfterBreak="0">
    <w:nsid w:val="2EFE7C7A"/>
    <w:multiLevelType w:val="singleLevel"/>
    <w:tmpl w:val="45565380"/>
    <w:lvl w:ilvl="0">
      <w:start w:val="1"/>
      <w:numFmt w:val="japaneseCounting"/>
      <w:lvlText w:val="（%1）"/>
      <w:lvlJc w:val="left"/>
      <w:pPr>
        <w:tabs>
          <w:tab w:val="num" w:pos="1170"/>
        </w:tabs>
        <w:ind w:left="1170" w:hanging="690"/>
      </w:pPr>
      <w:rPr>
        <w:rFonts w:hint="eastAsia"/>
      </w:rPr>
    </w:lvl>
  </w:abstractNum>
  <w:abstractNum w:abstractNumId="3" w15:restartNumberingAfterBreak="0">
    <w:nsid w:val="30241E0E"/>
    <w:multiLevelType w:val="singleLevel"/>
    <w:tmpl w:val="7C7E93FA"/>
    <w:lvl w:ilvl="0">
      <w:start w:val="2"/>
      <w:numFmt w:val="japaneseCounting"/>
      <w:lvlText w:val="%1．"/>
      <w:lvlJc w:val="left"/>
      <w:pPr>
        <w:tabs>
          <w:tab w:val="num" w:pos="480"/>
        </w:tabs>
        <w:ind w:left="480" w:hanging="480"/>
      </w:pPr>
      <w:rPr>
        <w:rFonts w:hint="eastAsia"/>
      </w:rPr>
    </w:lvl>
  </w:abstractNum>
  <w:abstractNum w:abstractNumId="4" w15:restartNumberingAfterBreak="0">
    <w:nsid w:val="34183472"/>
    <w:multiLevelType w:val="singleLevel"/>
    <w:tmpl w:val="7EAC2494"/>
    <w:lvl w:ilvl="0">
      <w:numFmt w:val="bullet"/>
      <w:lvlText w:val="▲"/>
      <w:lvlJc w:val="left"/>
      <w:pPr>
        <w:tabs>
          <w:tab w:val="num" w:pos="855"/>
        </w:tabs>
        <w:ind w:left="855" w:hanging="375"/>
      </w:pPr>
      <w:rPr>
        <w:rFonts w:ascii="楷体_GB2312" w:hint="eastAsia"/>
      </w:rPr>
    </w:lvl>
  </w:abstractNum>
  <w:abstractNum w:abstractNumId="5" w15:restartNumberingAfterBreak="0">
    <w:nsid w:val="355D6080"/>
    <w:multiLevelType w:val="singleLevel"/>
    <w:tmpl w:val="BE9C1400"/>
    <w:lvl w:ilvl="0">
      <w:start w:val="1"/>
      <w:numFmt w:val="japaneseCounting"/>
      <w:lvlText w:val="%1、"/>
      <w:lvlJc w:val="left"/>
      <w:pPr>
        <w:tabs>
          <w:tab w:val="num" w:pos="960"/>
        </w:tabs>
        <w:ind w:left="960" w:hanging="480"/>
      </w:pPr>
      <w:rPr>
        <w:rFonts w:hint="eastAsia"/>
      </w:rPr>
    </w:lvl>
  </w:abstractNum>
  <w:abstractNum w:abstractNumId="6" w15:restartNumberingAfterBreak="0">
    <w:nsid w:val="35DC722F"/>
    <w:multiLevelType w:val="singleLevel"/>
    <w:tmpl w:val="A9A6B8B6"/>
    <w:lvl w:ilvl="0">
      <w:start w:val="1"/>
      <w:numFmt w:val="japaneseCounting"/>
      <w:lvlText w:val="%1）"/>
      <w:lvlJc w:val="left"/>
      <w:pPr>
        <w:tabs>
          <w:tab w:val="num" w:pos="960"/>
        </w:tabs>
        <w:ind w:left="960" w:hanging="480"/>
      </w:pPr>
      <w:rPr>
        <w:rFonts w:hint="eastAsia"/>
      </w:rPr>
    </w:lvl>
  </w:abstractNum>
  <w:abstractNum w:abstractNumId="7" w15:restartNumberingAfterBreak="0">
    <w:nsid w:val="3A4D5171"/>
    <w:multiLevelType w:val="singleLevel"/>
    <w:tmpl w:val="202ECAB6"/>
    <w:lvl w:ilvl="0">
      <w:start w:val="2"/>
      <w:numFmt w:val="japaneseCounting"/>
      <w:lvlText w:val="%1、"/>
      <w:lvlJc w:val="left"/>
      <w:pPr>
        <w:tabs>
          <w:tab w:val="num" w:pos="1050"/>
        </w:tabs>
        <w:ind w:left="1050" w:hanging="480"/>
      </w:pPr>
      <w:rPr>
        <w:rFonts w:hint="eastAsia"/>
      </w:rPr>
    </w:lvl>
  </w:abstractNum>
  <w:abstractNum w:abstractNumId="8" w15:restartNumberingAfterBreak="0">
    <w:nsid w:val="451913B4"/>
    <w:multiLevelType w:val="singleLevel"/>
    <w:tmpl w:val="0E38F586"/>
    <w:lvl w:ilvl="0">
      <w:start w:val="1"/>
      <w:numFmt w:val="japaneseCounting"/>
      <w:lvlText w:val="%1、"/>
      <w:lvlJc w:val="left"/>
      <w:pPr>
        <w:tabs>
          <w:tab w:val="num" w:pos="960"/>
        </w:tabs>
        <w:ind w:left="960" w:hanging="480"/>
      </w:pPr>
      <w:rPr>
        <w:rFonts w:hint="eastAsia"/>
      </w:rPr>
    </w:lvl>
  </w:abstractNum>
  <w:abstractNum w:abstractNumId="9" w15:restartNumberingAfterBreak="0">
    <w:nsid w:val="46463DA8"/>
    <w:multiLevelType w:val="singleLevel"/>
    <w:tmpl w:val="2730B8FE"/>
    <w:lvl w:ilvl="0">
      <w:start w:val="1"/>
      <w:numFmt w:val="japaneseCounting"/>
      <w:lvlText w:val="%1、"/>
      <w:lvlJc w:val="left"/>
      <w:pPr>
        <w:tabs>
          <w:tab w:val="num" w:pos="960"/>
        </w:tabs>
        <w:ind w:left="960" w:hanging="480"/>
      </w:pPr>
      <w:rPr>
        <w:rFonts w:hint="eastAsia"/>
      </w:rPr>
    </w:lvl>
  </w:abstractNum>
  <w:abstractNum w:abstractNumId="10" w15:restartNumberingAfterBreak="0">
    <w:nsid w:val="4AA26980"/>
    <w:multiLevelType w:val="singleLevel"/>
    <w:tmpl w:val="5E126574"/>
    <w:lvl w:ilvl="0">
      <w:numFmt w:val="bullet"/>
      <w:lvlText w:val="▲"/>
      <w:lvlJc w:val="left"/>
      <w:pPr>
        <w:tabs>
          <w:tab w:val="num" w:pos="870"/>
        </w:tabs>
        <w:ind w:left="870" w:hanging="375"/>
      </w:pPr>
      <w:rPr>
        <w:rFonts w:hint="eastAsia"/>
      </w:rPr>
    </w:lvl>
  </w:abstractNum>
  <w:abstractNum w:abstractNumId="11" w15:restartNumberingAfterBreak="0">
    <w:nsid w:val="56F66356"/>
    <w:multiLevelType w:val="singleLevel"/>
    <w:tmpl w:val="3A38EB0E"/>
    <w:lvl w:ilvl="0">
      <w:start w:val="1"/>
      <w:numFmt w:val="japaneseCounting"/>
      <w:lvlText w:val="%1、"/>
      <w:lvlJc w:val="left"/>
      <w:pPr>
        <w:tabs>
          <w:tab w:val="num" w:pos="570"/>
        </w:tabs>
        <w:ind w:left="570" w:hanging="570"/>
      </w:pPr>
      <w:rPr>
        <w:rFonts w:hint="eastAsia"/>
      </w:rPr>
    </w:lvl>
  </w:abstractNum>
  <w:abstractNum w:abstractNumId="12" w15:restartNumberingAfterBreak="0">
    <w:nsid w:val="5CEA3876"/>
    <w:multiLevelType w:val="singleLevel"/>
    <w:tmpl w:val="7010A132"/>
    <w:lvl w:ilvl="0">
      <w:numFmt w:val="bullet"/>
      <w:lvlText w:val="★"/>
      <w:lvlJc w:val="left"/>
      <w:pPr>
        <w:tabs>
          <w:tab w:val="num" w:pos="1110"/>
        </w:tabs>
        <w:ind w:left="1110" w:hanging="255"/>
      </w:pPr>
      <w:rPr>
        <w:rFonts w:ascii="楷体_GB2312" w:hint="eastAsia"/>
      </w:rPr>
    </w:lvl>
  </w:abstractNum>
  <w:abstractNum w:abstractNumId="13" w15:restartNumberingAfterBreak="0">
    <w:nsid w:val="5F602DC3"/>
    <w:multiLevelType w:val="singleLevel"/>
    <w:tmpl w:val="771C0962"/>
    <w:lvl w:ilvl="0">
      <w:start w:val="3"/>
      <w:numFmt w:val="none"/>
      <w:lvlText w:val="三、"/>
      <w:lvlJc w:val="left"/>
      <w:pPr>
        <w:tabs>
          <w:tab w:val="num" w:pos="825"/>
        </w:tabs>
        <w:ind w:left="825" w:hanging="825"/>
      </w:pPr>
      <w:rPr>
        <w:rFonts w:hint="eastAsia"/>
      </w:rPr>
    </w:lvl>
  </w:abstractNum>
  <w:abstractNum w:abstractNumId="14" w15:restartNumberingAfterBreak="0">
    <w:nsid w:val="705D5F41"/>
    <w:multiLevelType w:val="singleLevel"/>
    <w:tmpl w:val="1F72D6C4"/>
    <w:lvl w:ilvl="0">
      <w:start w:val="1"/>
      <w:numFmt w:val="bullet"/>
      <w:lvlText w:val="▲"/>
      <w:lvlJc w:val="left"/>
      <w:pPr>
        <w:tabs>
          <w:tab w:val="num" w:pos="720"/>
        </w:tabs>
        <w:ind w:left="720" w:hanging="225"/>
      </w:pPr>
      <w:rPr>
        <w:rFonts w:ascii="楷体_GB2312" w:hint="eastAsia"/>
      </w:rPr>
    </w:lvl>
  </w:abstractNum>
  <w:abstractNum w:abstractNumId="15" w15:restartNumberingAfterBreak="0">
    <w:nsid w:val="774D1029"/>
    <w:multiLevelType w:val="singleLevel"/>
    <w:tmpl w:val="B6B25226"/>
    <w:lvl w:ilvl="0">
      <w:start w:val="5"/>
      <w:numFmt w:val="none"/>
      <w:lvlText w:val="五、"/>
      <w:lvlJc w:val="left"/>
      <w:pPr>
        <w:tabs>
          <w:tab w:val="num" w:pos="960"/>
        </w:tabs>
        <w:ind w:left="960" w:hanging="480"/>
      </w:pPr>
      <w:rPr>
        <w:rFonts w:hint="eastAsia"/>
      </w:rPr>
    </w:lvl>
  </w:abstractNum>
  <w:num w:numId="1">
    <w:abstractNumId w:val="8"/>
  </w:num>
  <w:num w:numId="2">
    <w:abstractNumId w:val="9"/>
  </w:num>
  <w:num w:numId="3">
    <w:abstractNumId w:val="2"/>
  </w:num>
  <w:num w:numId="4">
    <w:abstractNumId w:val="13"/>
  </w:num>
  <w:num w:numId="5">
    <w:abstractNumId w:val="5"/>
  </w:num>
  <w:num w:numId="6">
    <w:abstractNumId w:val="4"/>
  </w:num>
  <w:num w:numId="7">
    <w:abstractNumId w:val="12"/>
  </w:num>
  <w:num w:numId="8">
    <w:abstractNumId w:val="10"/>
  </w:num>
  <w:num w:numId="9">
    <w:abstractNumId w:val="14"/>
  </w:num>
  <w:num w:numId="10">
    <w:abstractNumId w:val="6"/>
  </w:num>
  <w:num w:numId="11">
    <w:abstractNumId w:val="11"/>
  </w:num>
  <w:num w:numId="12">
    <w:abstractNumId w:val="1"/>
  </w:num>
  <w:num w:numId="13">
    <w:abstractNumId w:val="3"/>
  </w:num>
  <w:num w:numId="14">
    <w:abstractNumId w:val="15"/>
  </w:num>
  <w:num w:numId="15">
    <w:abstractNumId w:val="0"/>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proofState w:grammar="clean"/>
  <w:defaultTabStop w:val="425"/>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836"/>
    <w:rsid w:val="00162836"/>
    <w:rsid w:val="00661157"/>
    <w:rsid w:val="006B7C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35E4C8F-5347-4F45-9401-073438261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jc w:val="left"/>
    </w:pPr>
    <w:rPr>
      <w:sz w:val="18"/>
    </w:rPr>
  </w:style>
  <w:style w:type="character" w:styleId="a4">
    <w:name w:val="page number"/>
    <w:basedOn w:val="a0"/>
    <w:semiHidden/>
  </w:style>
  <w:style w:type="paragraph" w:styleId="a5">
    <w:name w:val="Body Text Indent"/>
    <w:basedOn w:val="a"/>
    <w:semiHidden/>
    <w:pPr>
      <w:ind w:firstLine="540"/>
    </w:pPr>
    <w:rPr>
      <w:rFonts w:ascii="楷体_GB2312" w:eastAsia="楷体_GB2312"/>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2198</Words>
  <Characters>12533</Characters>
  <Application>Microsoft Office Word</Application>
  <DocSecurity>0</DocSecurity>
  <Lines>104</Lines>
  <Paragraphs>29</Paragraphs>
  <ScaleCrop>false</ScaleCrop>
  <HeadingPairs>
    <vt:vector size="2" baseType="variant">
      <vt:variant>
        <vt:lpstr>题目</vt:lpstr>
      </vt:variant>
      <vt:variant>
        <vt:i4>1</vt:i4>
      </vt:variant>
    </vt:vector>
  </HeadingPairs>
  <TitlesOfParts>
    <vt:vector size="1" baseType="lpstr">
      <vt:lpstr>问  题  探  讨</vt:lpstr>
    </vt:vector>
  </TitlesOfParts>
  <Company>kf</Company>
  <LinksUpToDate>false</LinksUpToDate>
  <CharactersWithSpaces>14702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问  题  探  讨</dc:title>
  <dc:subject/>
  <dc:creator>kf</dc:creator>
  <cp:keywords/>
  <cp:lastModifiedBy>坤FL</cp:lastModifiedBy>
  <cp:revision>3</cp:revision>
  <cp:lastPrinted>2002-03-13T22:47:00Z</cp:lastPrinted>
  <dcterms:created xsi:type="dcterms:W3CDTF">2016-01-29T03:10:00Z</dcterms:created>
  <dcterms:modified xsi:type="dcterms:W3CDTF">2016-01-29T03:10:00Z</dcterms:modified>
</cp:coreProperties>
</file>