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0F6" w:rsidRPr="00C53CBB" w:rsidRDefault="00EE20F6" w:rsidP="00C53CBB">
      <w:pPr>
        <w:spacing w:line="360" w:lineRule="auto"/>
        <w:jc w:val="center"/>
        <w:rPr>
          <w:rFonts w:eastAsia="黑体"/>
          <w:bCs/>
          <w:sz w:val="44"/>
        </w:rPr>
      </w:pPr>
    </w:p>
    <w:p w:rsidR="00EE20F6" w:rsidRPr="00C53CBB" w:rsidRDefault="00EE20F6" w:rsidP="00C53CBB">
      <w:pPr>
        <w:spacing w:line="360" w:lineRule="auto"/>
        <w:jc w:val="center"/>
        <w:rPr>
          <w:rFonts w:eastAsia="黑体"/>
          <w:bCs/>
          <w:sz w:val="44"/>
        </w:rPr>
      </w:pPr>
    </w:p>
    <w:p w:rsidR="00EE20F6" w:rsidRPr="00C53CBB" w:rsidRDefault="00EF1F15" w:rsidP="006E511C">
      <w:pPr>
        <w:spacing w:line="360" w:lineRule="auto"/>
        <w:jc w:val="center"/>
        <w:rPr>
          <w:rFonts w:eastAsia="黑体"/>
          <w:bCs/>
          <w:sz w:val="44"/>
        </w:rPr>
      </w:pPr>
      <w:bookmarkStart w:id="0" w:name="_GoBack"/>
      <w:r w:rsidRPr="00C53CBB">
        <w:rPr>
          <w:rFonts w:eastAsia="黑体" w:hint="eastAsia"/>
          <w:bCs/>
          <w:sz w:val="44"/>
        </w:rPr>
        <w:t>金融租赁公司人员绩效考核问题探讨</w:t>
      </w:r>
    </w:p>
    <w:bookmarkEnd w:id="0"/>
    <w:p w:rsidR="00EE20F6" w:rsidRPr="00C53CBB" w:rsidRDefault="00EE20F6" w:rsidP="00C53CBB">
      <w:pPr>
        <w:spacing w:line="360" w:lineRule="auto"/>
        <w:jc w:val="center"/>
        <w:rPr>
          <w:rFonts w:eastAsia="黑体"/>
          <w:bCs/>
          <w:sz w:val="36"/>
        </w:rPr>
      </w:pPr>
    </w:p>
    <w:p w:rsidR="00EE20F6" w:rsidRPr="00C53CBB" w:rsidRDefault="00EE20F6" w:rsidP="00C53CBB">
      <w:pPr>
        <w:spacing w:line="360" w:lineRule="auto"/>
        <w:rPr>
          <w:bCs/>
        </w:rPr>
      </w:pPr>
    </w:p>
    <w:p w:rsidR="00EE20F6" w:rsidRPr="00C53CBB" w:rsidRDefault="00EE20F6" w:rsidP="00C53CBB">
      <w:pPr>
        <w:spacing w:line="360" w:lineRule="auto"/>
        <w:rPr>
          <w:rFonts w:eastAsia="楷体_GB2312"/>
          <w:bCs/>
          <w:sz w:val="24"/>
        </w:rPr>
      </w:pPr>
    </w:p>
    <w:p w:rsidR="00EE20F6" w:rsidRPr="00C53CBB" w:rsidRDefault="00EF1F15" w:rsidP="00C53CBB">
      <w:pPr>
        <w:numPr>
          <w:ilvl w:val="0"/>
          <w:numId w:val="1"/>
        </w:numPr>
        <w:spacing w:line="360" w:lineRule="auto"/>
        <w:jc w:val="center"/>
        <w:rPr>
          <w:rFonts w:eastAsia="黑体"/>
          <w:bCs/>
          <w:sz w:val="28"/>
        </w:rPr>
      </w:pPr>
      <w:r w:rsidRPr="00C53CBB">
        <w:rPr>
          <w:rFonts w:eastAsia="黑体" w:hint="eastAsia"/>
          <w:bCs/>
          <w:sz w:val="28"/>
        </w:rPr>
        <w:t>可以考虑的量化考核指标</w:t>
      </w:r>
    </w:p>
    <w:p w:rsidR="00EE20F6" w:rsidRPr="00C53CBB" w:rsidRDefault="00EE20F6" w:rsidP="00C53CBB">
      <w:pPr>
        <w:spacing w:line="360" w:lineRule="auto"/>
        <w:rPr>
          <w:rFonts w:eastAsia="楷体_GB2312"/>
          <w:bCs/>
          <w:sz w:val="24"/>
        </w:rPr>
      </w:pPr>
    </w:p>
    <w:p w:rsidR="00EE20F6" w:rsidRPr="00C53CBB" w:rsidRDefault="00093CE3" w:rsidP="00C53CBB">
      <w:pPr>
        <w:spacing w:line="360" w:lineRule="auto"/>
        <w:ind w:firstLineChars="200" w:firstLine="480"/>
        <w:rPr>
          <w:rFonts w:eastAsia="楷体_GB2312"/>
          <w:bCs/>
          <w:sz w:val="24"/>
        </w:rPr>
      </w:pPr>
      <w:r w:rsidRPr="00C53CBB">
        <w:rPr>
          <w:rFonts w:eastAsia="楷体_GB2312" w:hint="eastAsia"/>
          <w:bCs/>
          <w:sz w:val="24"/>
        </w:rPr>
        <w:t>融资</w:t>
      </w:r>
      <w:r w:rsidR="00EF1F15" w:rsidRPr="00C53CBB">
        <w:rPr>
          <w:rFonts w:eastAsia="楷体_GB2312" w:hint="eastAsia"/>
          <w:bCs/>
          <w:sz w:val="24"/>
        </w:rPr>
        <w:t>租赁公司是通过一个一个租赁合同来创造效益的。因此，第一个指标当然可以是，在该统计期间（或会计年度），你（某个承办人或部门），在已签署生效的合同中，能够为本公司带来怎样的收益。</w:t>
      </w:r>
    </w:p>
    <w:p w:rsidR="00EE20F6" w:rsidRPr="00C53CBB" w:rsidRDefault="00EF1F15" w:rsidP="00C53CBB">
      <w:pPr>
        <w:spacing w:line="360" w:lineRule="auto"/>
        <w:ind w:firstLineChars="200" w:firstLine="480"/>
        <w:rPr>
          <w:rFonts w:eastAsia="楷体_GB2312"/>
          <w:bCs/>
          <w:sz w:val="24"/>
        </w:rPr>
      </w:pPr>
      <w:r w:rsidRPr="00C53CBB">
        <w:rPr>
          <w:rFonts w:eastAsia="楷体_GB2312" w:hint="eastAsia"/>
          <w:bCs/>
          <w:sz w:val="24"/>
        </w:rPr>
        <w:t>对于每一个已签署生效的融资租赁合同，我们都可以依据该合同以及相关的买卖合同的具体条件，求出它的租赁综合收益率（也就是人们熟知的“内部收益率”）。租赁综合收益率的含义是，假设除了收取租金外，该合同以及相关的买卖合同所约定的任何别的条件都不存在，而金融租赁公司还想得到同样的收益，那么，亮在明处的租赁年利率应该是多少。</w:t>
      </w:r>
    </w:p>
    <w:p w:rsidR="00EE20F6" w:rsidRPr="00C53CBB" w:rsidRDefault="00EF1F15" w:rsidP="00C53CBB">
      <w:pPr>
        <w:spacing w:line="360" w:lineRule="auto"/>
        <w:ind w:firstLineChars="200" w:firstLine="480"/>
        <w:rPr>
          <w:rFonts w:eastAsia="楷体_GB2312"/>
          <w:bCs/>
          <w:sz w:val="24"/>
        </w:rPr>
      </w:pPr>
      <w:r w:rsidRPr="00C53CBB">
        <w:rPr>
          <w:rFonts w:eastAsia="楷体_GB2312" w:hint="eastAsia"/>
          <w:bCs/>
          <w:sz w:val="24"/>
        </w:rPr>
        <w:t>对于以营利为目的的金融租赁公司来说，当然是租赁综合收益率越高越好。但是，还必须考虑这样的租赁综合收益率到底会给金融租赁公司带来多少实实在在的现金收益。如果，夸张地说，张三一共做了</w:t>
      </w:r>
      <w:r w:rsidRPr="00C53CBB">
        <w:rPr>
          <w:rFonts w:eastAsia="楷体_GB2312"/>
          <w:bCs/>
          <w:sz w:val="24"/>
        </w:rPr>
        <w:t>1</w:t>
      </w:r>
      <w:r w:rsidRPr="00C53CBB">
        <w:rPr>
          <w:rFonts w:eastAsia="楷体_GB2312" w:hint="eastAsia"/>
          <w:bCs/>
          <w:sz w:val="24"/>
        </w:rPr>
        <w:t>0,000</w:t>
      </w:r>
      <w:r w:rsidRPr="00C53CBB">
        <w:rPr>
          <w:rFonts w:eastAsia="楷体_GB2312" w:hint="eastAsia"/>
          <w:bCs/>
          <w:sz w:val="24"/>
        </w:rPr>
        <w:t>元的项目，其租赁综合收益率是</w:t>
      </w:r>
      <w:r w:rsidRPr="00C53CBB">
        <w:rPr>
          <w:rFonts w:eastAsia="楷体_GB2312" w:hint="eastAsia"/>
          <w:bCs/>
          <w:sz w:val="24"/>
        </w:rPr>
        <w:t>10%</w:t>
      </w:r>
      <w:r w:rsidRPr="00C53CBB">
        <w:rPr>
          <w:rFonts w:eastAsia="楷体_GB2312" w:hint="eastAsia"/>
          <w:bCs/>
          <w:sz w:val="24"/>
        </w:rPr>
        <w:t>，而李四做了</w:t>
      </w:r>
      <w:r w:rsidRPr="00C53CBB">
        <w:rPr>
          <w:rFonts w:eastAsia="楷体_GB2312" w:hint="eastAsia"/>
          <w:bCs/>
          <w:sz w:val="24"/>
        </w:rPr>
        <w:t>80,000,000</w:t>
      </w:r>
      <w:r w:rsidRPr="00C53CBB">
        <w:rPr>
          <w:rFonts w:eastAsia="楷体_GB2312" w:hint="eastAsia"/>
          <w:bCs/>
          <w:sz w:val="24"/>
        </w:rPr>
        <w:t>元的项目，其租赁综合收益率只有</w:t>
      </w:r>
      <w:r w:rsidRPr="00C53CBB">
        <w:rPr>
          <w:rFonts w:eastAsia="楷体_GB2312" w:hint="eastAsia"/>
          <w:bCs/>
          <w:sz w:val="24"/>
        </w:rPr>
        <w:t>8.5000%</w:t>
      </w:r>
      <w:r w:rsidRPr="00C53CBB">
        <w:rPr>
          <w:rFonts w:eastAsia="楷体_GB2312" w:hint="eastAsia"/>
          <w:bCs/>
          <w:sz w:val="24"/>
        </w:rPr>
        <w:t>。我们应该如何评价呢？说张三好？可他赚的那点钱实在可怜，连一次出差费都不够。说李四好？可他花的每一分钱明明没有张三挣得多嘛！</w:t>
      </w:r>
    </w:p>
    <w:p w:rsidR="00EE20F6" w:rsidRPr="00C53CBB" w:rsidRDefault="00EF1F15" w:rsidP="00C53CBB">
      <w:pPr>
        <w:spacing w:line="360" w:lineRule="auto"/>
        <w:ind w:firstLineChars="200" w:firstLine="480"/>
        <w:rPr>
          <w:rFonts w:eastAsia="楷体_GB2312"/>
          <w:bCs/>
          <w:sz w:val="24"/>
        </w:rPr>
      </w:pPr>
      <w:r w:rsidRPr="00C53CBB">
        <w:rPr>
          <w:rFonts w:eastAsia="楷体_GB2312" w:hint="eastAsia"/>
          <w:bCs/>
          <w:sz w:val="24"/>
        </w:rPr>
        <w:t>对此，我想，是否可以采用“税后收益净现值”和“税后资金年净收益率”这两个指标来考核。我的理由是，这两个指标是可以横向对比的。前者回答的问题是我这一年里所做的新项目到底能给公司赚多少钱；后者回答的问题是，我每赚一个货币单位的钱，到底要占用公司多少资金。也就是说，要你公司付出多大代价。在诸合同、诸项目、各个承办人和各个部门之间，这两个指标都是可以横向对比的。</w:t>
      </w:r>
    </w:p>
    <w:p w:rsidR="00EE20F6" w:rsidRPr="00C53CBB" w:rsidRDefault="00EF1F15" w:rsidP="00C53CBB">
      <w:pPr>
        <w:spacing w:line="360" w:lineRule="auto"/>
        <w:ind w:firstLineChars="200" w:firstLine="480"/>
        <w:rPr>
          <w:rFonts w:eastAsia="楷体_GB2312"/>
          <w:bCs/>
          <w:sz w:val="24"/>
        </w:rPr>
      </w:pPr>
      <w:r w:rsidRPr="00C53CBB">
        <w:rPr>
          <w:rFonts w:eastAsia="楷体_GB2312" w:hint="eastAsia"/>
          <w:bCs/>
          <w:sz w:val="24"/>
        </w:rPr>
        <w:t>有一点必须强调，用这两个指标来考核已签署生效的融资租赁合同，所回答的是，假如该合同被一丝不苟地严格履行，以及，假如测算中所采用的筹资综合年利率将完全符合事实的话，其绩效将是如此。同任何计划相比，融资租赁合同的签署生效的确是前进了一大步，因为公司因此有了取得某种经济效益的法定权利。但是，毕竟该合同还有待履行，其中难免</w:t>
      </w:r>
      <w:r w:rsidRPr="00C53CBB">
        <w:rPr>
          <w:rFonts w:eastAsia="楷体_GB2312" w:hint="eastAsia"/>
          <w:bCs/>
          <w:sz w:val="24"/>
        </w:rPr>
        <w:lastRenderedPageBreak/>
        <w:t>没有变数，到底最终的效果如何，还不好说。因此，这时的考核还只具有相对的意义。另外，金融租赁公司的收益不仅取决于融资租赁合同和相关的买卖合同的条件，同时还取决于公司自己的筹资成本。因此，对负责筹措和调度资金的部门的考核，也是很重要的。</w:t>
      </w:r>
    </w:p>
    <w:p w:rsidR="00EE20F6" w:rsidRPr="00C53CBB" w:rsidRDefault="00EF1F15" w:rsidP="00C53CBB">
      <w:pPr>
        <w:spacing w:line="360" w:lineRule="auto"/>
        <w:ind w:firstLineChars="200" w:firstLine="480"/>
        <w:rPr>
          <w:rFonts w:eastAsia="楷体_GB2312"/>
          <w:bCs/>
          <w:sz w:val="24"/>
        </w:rPr>
      </w:pPr>
      <w:r w:rsidRPr="00C53CBB">
        <w:rPr>
          <w:rFonts w:eastAsia="楷体_GB2312" w:hint="eastAsia"/>
          <w:bCs/>
          <w:sz w:val="24"/>
        </w:rPr>
        <w:t>最有意义的考核，是对已结束合同的考核。因为这时已经水落石出，一切都是既成事实，是骡子是马已经无须争论。指标还是上面这两个。但是在测算时，除了资金成本外，一概用真实发生的数据代入。只是为了不使得核算过分烦琐，采取税前数据。</w:t>
      </w:r>
    </w:p>
    <w:p w:rsidR="00EE20F6" w:rsidRPr="00C53CBB" w:rsidRDefault="00EF1F15" w:rsidP="00C53CBB">
      <w:pPr>
        <w:spacing w:line="360" w:lineRule="auto"/>
        <w:ind w:firstLineChars="200" w:firstLine="480"/>
        <w:rPr>
          <w:rFonts w:eastAsia="楷体_GB2312"/>
          <w:bCs/>
          <w:sz w:val="24"/>
        </w:rPr>
      </w:pPr>
      <w:r w:rsidRPr="00C53CBB">
        <w:rPr>
          <w:rFonts w:eastAsia="楷体_GB2312" w:hint="eastAsia"/>
          <w:bCs/>
          <w:sz w:val="24"/>
        </w:rPr>
        <w:t>上面说了两头，合同开始时和合同结束时，其间将相隔若干年，一段不短的时间。如果不是对合同履行的过程进行实时监控，被动地等待结果，那恐怕会是很危险的。这期间的监控，从量化的角度看，可以有以下指标：累计回收率、结欠金额、逾期债权率、加权平均账龄和会计成本余额风险分类。</w:t>
      </w:r>
    </w:p>
    <w:p w:rsidR="00EE20F6" w:rsidRPr="00C53CBB" w:rsidRDefault="00EF1F15" w:rsidP="00C53CBB">
      <w:pPr>
        <w:spacing w:line="360" w:lineRule="auto"/>
        <w:ind w:firstLineChars="200" w:firstLine="480"/>
        <w:rPr>
          <w:rFonts w:eastAsia="楷体_GB2312"/>
          <w:bCs/>
          <w:sz w:val="24"/>
        </w:rPr>
      </w:pPr>
      <w:r w:rsidRPr="00C53CBB">
        <w:rPr>
          <w:rFonts w:eastAsia="楷体_GB2312" w:hint="eastAsia"/>
          <w:bCs/>
          <w:sz w:val="24"/>
        </w:rPr>
        <w:t>对于每一家金融租赁公司来说，编制年度预算是必不可少一道程序。在年度预算中，下一会计年度的新投放额，是其核心指标。一旦该预算经董事会批准，就须要分解到各业务开发部门，因而也将是业绩考核的一个内容。</w:t>
      </w:r>
    </w:p>
    <w:p w:rsidR="00EE20F6" w:rsidRPr="00C53CBB" w:rsidRDefault="00EE20F6" w:rsidP="00C53CBB">
      <w:pPr>
        <w:spacing w:line="360" w:lineRule="auto"/>
        <w:rPr>
          <w:rFonts w:eastAsia="楷体_GB2312"/>
          <w:bCs/>
          <w:sz w:val="24"/>
        </w:rPr>
      </w:pPr>
    </w:p>
    <w:p w:rsidR="00EE20F6" w:rsidRPr="00C53CBB" w:rsidRDefault="00EF1F15" w:rsidP="00C53CBB">
      <w:pPr>
        <w:numPr>
          <w:ilvl w:val="0"/>
          <w:numId w:val="1"/>
        </w:numPr>
        <w:spacing w:line="360" w:lineRule="auto"/>
        <w:jc w:val="center"/>
        <w:rPr>
          <w:rFonts w:eastAsia="黑体"/>
          <w:bCs/>
          <w:sz w:val="30"/>
        </w:rPr>
      </w:pPr>
      <w:r w:rsidRPr="00C53CBB">
        <w:rPr>
          <w:rFonts w:eastAsia="黑体" w:hint="eastAsia"/>
          <w:bCs/>
          <w:sz w:val="30"/>
        </w:rPr>
        <w:t>量化考核指标测算方法</w:t>
      </w:r>
    </w:p>
    <w:p w:rsidR="00EE20F6" w:rsidRPr="00C53CBB" w:rsidRDefault="00EE20F6" w:rsidP="00C53CBB">
      <w:pPr>
        <w:spacing w:line="360" w:lineRule="auto"/>
        <w:rPr>
          <w:rFonts w:eastAsia="楷体_GB2312"/>
          <w:bCs/>
          <w:sz w:val="24"/>
        </w:rPr>
      </w:pPr>
    </w:p>
    <w:p w:rsidR="00EE20F6" w:rsidRPr="00C53CBB" w:rsidRDefault="00EF1F15" w:rsidP="00C53CBB">
      <w:pPr>
        <w:spacing w:line="360" w:lineRule="auto"/>
        <w:ind w:firstLineChars="200" w:firstLine="480"/>
        <w:rPr>
          <w:rFonts w:eastAsia="楷体_GB2312"/>
          <w:bCs/>
          <w:sz w:val="24"/>
        </w:rPr>
      </w:pPr>
      <w:r w:rsidRPr="00C53CBB">
        <w:rPr>
          <w:rFonts w:eastAsia="楷体_GB2312" w:hint="eastAsia"/>
          <w:bCs/>
          <w:sz w:val="24"/>
        </w:rPr>
        <w:t>量化考核指标测算方法见我整理的资料。现简单说明如下：</w:t>
      </w:r>
    </w:p>
    <w:p w:rsidR="00EE20F6" w:rsidRPr="00C53CBB" w:rsidRDefault="00EE20F6" w:rsidP="00C53CBB">
      <w:pPr>
        <w:spacing w:line="360" w:lineRule="auto"/>
        <w:ind w:firstLineChars="200" w:firstLine="480"/>
        <w:rPr>
          <w:rFonts w:eastAsia="楷体_GB2312"/>
          <w:bCs/>
          <w:sz w:val="24"/>
        </w:rPr>
      </w:pPr>
    </w:p>
    <w:p w:rsidR="00EE20F6" w:rsidRPr="00C53CBB" w:rsidRDefault="00EF1F15" w:rsidP="00C53CBB">
      <w:pPr>
        <w:spacing w:line="360" w:lineRule="auto"/>
        <w:ind w:firstLine="480"/>
        <w:rPr>
          <w:rFonts w:eastAsia="楷体_GB2312"/>
          <w:bCs/>
          <w:sz w:val="24"/>
        </w:rPr>
      </w:pPr>
      <w:r w:rsidRPr="00C53CBB">
        <w:rPr>
          <w:rFonts w:eastAsia="楷体_GB2312" w:hint="eastAsia"/>
          <w:bCs/>
          <w:sz w:val="24"/>
        </w:rPr>
        <w:t>《</w:t>
      </w:r>
      <w:r w:rsidRPr="00C53CBB">
        <w:rPr>
          <w:rFonts w:eastAsia="黑体" w:hint="eastAsia"/>
          <w:bCs/>
          <w:sz w:val="24"/>
        </w:rPr>
        <w:t>融资租赁业务内控指标体系概论</w:t>
      </w:r>
      <w:r w:rsidRPr="00C53CBB">
        <w:rPr>
          <w:rFonts w:eastAsia="楷体_GB2312" w:hint="eastAsia"/>
          <w:bCs/>
          <w:sz w:val="24"/>
        </w:rPr>
        <w:t>》一文，是对内控指标体系的综合介绍。</w:t>
      </w:r>
    </w:p>
    <w:p w:rsidR="00EE20F6" w:rsidRPr="00C53CBB" w:rsidRDefault="00EF1F15" w:rsidP="00C53CBB">
      <w:pPr>
        <w:spacing w:line="360" w:lineRule="auto"/>
        <w:ind w:firstLineChars="200" w:firstLine="480"/>
        <w:rPr>
          <w:rFonts w:eastAsia="黑体"/>
          <w:bCs/>
          <w:sz w:val="24"/>
        </w:rPr>
      </w:pPr>
      <w:r w:rsidRPr="00C53CBB">
        <w:rPr>
          <w:rFonts w:eastAsia="楷体_GB2312" w:hint="eastAsia"/>
          <w:bCs/>
          <w:sz w:val="24"/>
        </w:rPr>
        <w:t>对已签署生效的融资租赁合同的</w:t>
      </w:r>
      <w:r w:rsidRPr="00C53CBB">
        <w:rPr>
          <w:rFonts w:eastAsia="楷体_GB2312" w:hint="eastAsia"/>
          <w:bCs/>
          <w:sz w:val="24"/>
          <w:u w:val="single"/>
        </w:rPr>
        <w:t>租赁综合利率</w:t>
      </w:r>
      <w:r w:rsidRPr="00C53CBB">
        <w:rPr>
          <w:rFonts w:eastAsia="楷体_GB2312" w:hint="eastAsia"/>
          <w:bCs/>
          <w:sz w:val="24"/>
        </w:rPr>
        <w:t>的测算</w:t>
      </w:r>
      <w:r w:rsidRPr="00C53CBB">
        <w:rPr>
          <w:rFonts w:eastAsia="黑体" w:hint="eastAsia"/>
          <w:bCs/>
          <w:sz w:val="24"/>
        </w:rPr>
        <w:t>见《筹资综合利率和租赁综合利率的测算》</w:t>
      </w:r>
      <w:r w:rsidRPr="00C53CBB">
        <w:rPr>
          <w:rFonts w:eastAsia="楷体_GB2312" w:hint="eastAsia"/>
          <w:bCs/>
          <w:sz w:val="24"/>
        </w:rPr>
        <w:t>一文和</w:t>
      </w:r>
      <w:r w:rsidRPr="00C53CBB">
        <w:rPr>
          <w:rFonts w:eastAsia="黑体" w:hint="eastAsia"/>
          <w:bCs/>
          <w:sz w:val="24"/>
        </w:rPr>
        <w:t>《租赁综合利率的测算表》。</w:t>
      </w:r>
    </w:p>
    <w:p w:rsidR="00EE20F6" w:rsidRPr="00C53CBB" w:rsidRDefault="00EF1F15" w:rsidP="00C53CBB">
      <w:pPr>
        <w:spacing w:line="360" w:lineRule="auto"/>
        <w:ind w:firstLineChars="200" w:firstLine="480"/>
        <w:rPr>
          <w:rFonts w:eastAsia="黑体"/>
          <w:bCs/>
          <w:sz w:val="24"/>
        </w:rPr>
      </w:pPr>
      <w:r w:rsidRPr="00C53CBB">
        <w:rPr>
          <w:rFonts w:eastAsia="楷体_GB2312" w:hint="eastAsia"/>
          <w:bCs/>
          <w:sz w:val="24"/>
        </w:rPr>
        <w:t>对</w:t>
      </w:r>
      <w:r w:rsidRPr="00C53CBB">
        <w:rPr>
          <w:rFonts w:eastAsia="楷体_GB2312" w:hint="eastAsia"/>
          <w:bCs/>
          <w:sz w:val="24"/>
          <w:u w:val="single"/>
        </w:rPr>
        <w:t>筹资综合利率</w:t>
      </w:r>
      <w:r w:rsidRPr="00C53CBB">
        <w:rPr>
          <w:rFonts w:eastAsia="楷体_GB2312" w:hint="eastAsia"/>
          <w:bCs/>
          <w:sz w:val="24"/>
        </w:rPr>
        <w:t>的测算见上文和</w:t>
      </w:r>
      <w:r w:rsidRPr="00C53CBB">
        <w:rPr>
          <w:rFonts w:eastAsia="黑体" w:hint="eastAsia"/>
          <w:bCs/>
          <w:sz w:val="24"/>
        </w:rPr>
        <w:t>《筹资综合利率测算表》</w:t>
      </w:r>
      <w:r w:rsidRPr="00C53CBB">
        <w:rPr>
          <w:rFonts w:eastAsia="楷体_GB2312" w:hint="eastAsia"/>
          <w:bCs/>
          <w:sz w:val="24"/>
        </w:rPr>
        <w:t>。</w:t>
      </w:r>
    </w:p>
    <w:p w:rsidR="00EE20F6" w:rsidRPr="00C53CBB" w:rsidRDefault="00EF1F15" w:rsidP="00C53CBB">
      <w:pPr>
        <w:spacing w:line="360" w:lineRule="auto"/>
        <w:ind w:firstLineChars="200" w:firstLine="480"/>
        <w:rPr>
          <w:rFonts w:eastAsia="楷体_GB2312"/>
          <w:bCs/>
          <w:sz w:val="24"/>
        </w:rPr>
      </w:pPr>
      <w:r w:rsidRPr="00C53CBB">
        <w:rPr>
          <w:rFonts w:eastAsia="楷体_GB2312" w:hint="eastAsia"/>
          <w:bCs/>
          <w:sz w:val="24"/>
        </w:rPr>
        <w:t>对已签署生效的融资租赁合同的</w:t>
      </w:r>
      <w:r w:rsidRPr="00C53CBB">
        <w:rPr>
          <w:rFonts w:eastAsia="楷体_GB2312" w:hint="eastAsia"/>
          <w:bCs/>
          <w:sz w:val="24"/>
          <w:u w:val="single"/>
        </w:rPr>
        <w:t>收益净现值</w:t>
      </w:r>
      <w:r w:rsidRPr="00C53CBB">
        <w:rPr>
          <w:rFonts w:eastAsia="楷体_GB2312" w:hint="eastAsia"/>
          <w:bCs/>
          <w:sz w:val="24"/>
        </w:rPr>
        <w:t>和</w:t>
      </w:r>
      <w:r w:rsidRPr="00C53CBB">
        <w:rPr>
          <w:rFonts w:eastAsia="楷体_GB2312" w:hint="eastAsia"/>
          <w:bCs/>
          <w:sz w:val="24"/>
          <w:u w:val="single"/>
        </w:rPr>
        <w:t>资金年净收益率</w:t>
      </w:r>
      <w:r w:rsidRPr="00C53CBB">
        <w:rPr>
          <w:rFonts w:eastAsia="楷体_GB2312" w:hint="eastAsia"/>
          <w:bCs/>
          <w:sz w:val="24"/>
        </w:rPr>
        <w:t>的测算见</w:t>
      </w:r>
      <w:r w:rsidRPr="00C53CBB">
        <w:rPr>
          <w:rFonts w:eastAsia="黑体" w:hint="eastAsia"/>
          <w:bCs/>
          <w:sz w:val="24"/>
        </w:rPr>
        <w:t>《融资租赁业务的收益预测》</w:t>
      </w:r>
      <w:r w:rsidRPr="00C53CBB">
        <w:rPr>
          <w:rFonts w:eastAsia="楷体_GB2312" w:hint="eastAsia"/>
          <w:bCs/>
          <w:sz w:val="24"/>
        </w:rPr>
        <w:t>一文和</w:t>
      </w:r>
      <w:r w:rsidRPr="00C53CBB">
        <w:rPr>
          <w:rFonts w:eastAsia="黑体" w:hint="eastAsia"/>
          <w:bCs/>
          <w:sz w:val="24"/>
        </w:rPr>
        <w:t>《收益净现值和资金年净收益率测算对照表》。</w:t>
      </w:r>
      <w:r w:rsidRPr="00C53CBB">
        <w:rPr>
          <w:rFonts w:eastAsia="楷体_GB2312" w:hint="eastAsia"/>
          <w:bCs/>
          <w:sz w:val="24"/>
        </w:rPr>
        <w:t>这里要特别强调的是，代入表中的租赁年利率，并不一定是合同上的数字，而是上面说的可能与之不同的租赁综合利率。因此，表内的本期租金也多半不是合同上的数字。</w:t>
      </w:r>
    </w:p>
    <w:p w:rsidR="00EE20F6" w:rsidRPr="00C53CBB" w:rsidRDefault="00EF1F15" w:rsidP="00C53CBB">
      <w:pPr>
        <w:spacing w:line="360" w:lineRule="auto"/>
        <w:ind w:firstLineChars="200" w:firstLine="480"/>
        <w:rPr>
          <w:rFonts w:eastAsia="楷体_GB2312"/>
          <w:bCs/>
          <w:sz w:val="24"/>
        </w:rPr>
      </w:pPr>
      <w:r w:rsidRPr="00C53CBB">
        <w:rPr>
          <w:rFonts w:eastAsia="楷体_GB2312" w:hint="eastAsia"/>
          <w:bCs/>
          <w:sz w:val="24"/>
        </w:rPr>
        <w:t>对已结束合同的效益核算见</w:t>
      </w:r>
      <w:r w:rsidRPr="00C53CBB">
        <w:rPr>
          <w:rFonts w:eastAsia="黑体" w:hint="eastAsia"/>
          <w:bCs/>
          <w:sz w:val="24"/>
        </w:rPr>
        <w:t>《已结束合同的效益核算》</w:t>
      </w:r>
      <w:r w:rsidRPr="00C53CBB">
        <w:rPr>
          <w:rFonts w:eastAsia="楷体_GB2312" w:hint="eastAsia"/>
          <w:bCs/>
          <w:sz w:val="24"/>
        </w:rPr>
        <w:t>一文和</w:t>
      </w:r>
      <w:r w:rsidRPr="00C53CBB">
        <w:rPr>
          <w:rFonts w:eastAsia="黑体" w:hint="eastAsia"/>
          <w:bCs/>
          <w:sz w:val="24"/>
        </w:rPr>
        <w:t>《已结束合同的效益核算表》。</w:t>
      </w:r>
      <w:r w:rsidRPr="00C53CBB">
        <w:rPr>
          <w:rFonts w:eastAsia="楷体_GB2312" w:hint="eastAsia"/>
          <w:bCs/>
          <w:sz w:val="24"/>
        </w:rPr>
        <w:t>指标是（税前）</w:t>
      </w:r>
      <w:r w:rsidRPr="00C53CBB">
        <w:rPr>
          <w:rFonts w:eastAsia="楷体_GB2312" w:hint="eastAsia"/>
          <w:bCs/>
          <w:sz w:val="24"/>
          <w:u w:val="single"/>
        </w:rPr>
        <w:t>收益净现值</w:t>
      </w:r>
      <w:r w:rsidRPr="00C53CBB">
        <w:rPr>
          <w:rFonts w:eastAsia="楷体_GB2312" w:hint="eastAsia"/>
          <w:bCs/>
          <w:sz w:val="24"/>
        </w:rPr>
        <w:t>和（税前）</w:t>
      </w:r>
      <w:r w:rsidRPr="00C53CBB">
        <w:rPr>
          <w:rFonts w:eastAsia="楷体_GB2312" w:hint="eastAsia"/>
          <w:bCs/>
          <w:sz w:val="24"/>
          <w:u w:val="single"/>
        </w:rPr>
        <w:t>资金年净收益率</w:t>
      </w:r>
      <w:r w:rsidRPr="00C53CBB">
        <w:rPr>
          <w:rFonts w:eastAsia="楷体_GB2312" w:hint="eastAsia"/>
          <w:bCs/>
          <w:sz w:val="24"/>
        </w:rPr>
        <w:t>。之所以改用税前指标，是为了在可以横向对比的前提下，不使得计算过于复杂。</w:t>
      </w:r>
    </w:p>
    <w:p w:rsidR="00EE20F6" w:rsidRPr="00C53CBB" w:rsidRDefault="00EF1F15" w:rsidP="00C53CBB">
      <w:pPr>
        <w:spacing w:line="360" w:lineRule="auto"/>
        <w:ind w:firstLineChars="200" w:firstLine="480"/>
        <w:rPr>
          <w:rFonts w:eastAsia="楷体_GB2312"/>
          <w:bCs/>
          <w:sz w:val="24"/>
        </w:rPr>
      </w:pPr>
      <w:r w:rsidRPr="00C53CBB">
        <w:rPr>
          <w:rFonts w:eastAsia="楷体_GB2312" w:hint="eastAsia"/>
          <w:bCs/>
          <w:sz w:val="24"/>
        </w:rPr>
        <w:t>公司各会计期间的</w:t>
      </w:r>
      <w:r w:rsidRPr="00C53CBB">
        <w:rPr>
          <w:rFonts w:eastAsia="楷体_GB2312" w:hint="eastAsia"/>
          <w:bCs/>
          <w:sz w:val="24"/>
          <w:u w:val="single"/>
        </w:rPr>
        <w:t>加权平均借款利率</w:t>
      </w:r>
      <w:r w:rsidRPr="00C53CBB">
        <w:rPr>
          <w:rFonts w:eastAsia="楷体_GB2312" w:hint="eastAsia"/>
          <w:bCs/>
          <w:sz w:val="24"/>
        </w:rPr>
        <w:t>以及</w:t>
      </w:r>
      <w:r w:rsidRPr="00C53CBB">
        <w:rPr>
          <w:rFonts w:eastAsia="楷体_GB2312" w:hint="eastAsia"/>
          <w:bCs/>
          <w:sz w:val="24"/>
          <w:u w:val="single"/>
        </w:rPr>
        <w:t>借入资金的占用额</w:t>
      </w:r>
      <w:r w:rsidRPr="00C53CBB">
        <w:rPr>
          <w:rFonts w:eastAsia="楷体_GB2312" w:hint="eastAsia"/>
          <w:bCs/>
          <w:sz w:val="24"/>
        </w:rPr>
        <w:t>的测算方法见</w:t>
      </w:r>
      <w:r w:rsidRPr="00C53CBB">
        <w:rPr>
          <w:rFonts w:eastAsia="黑体" w:hint="eastAsia"/>
          <w:bCs/>
          <w:sz w:val="24"/>
        </w:rPr>
        <w:t>《资金占用及</w:t>
      </w:r>
      <w:r w:rsidRPr="00C53CBB">
        <w:rPr>
          <w:rFonts w:eastAsia="黑体" w:hint="eastAsia"/>
          <w:bCs/>
          <w:sz w:val="24"/>
        </w:rPr>
        <w:lastRenderedPageBreak/>
        <w:t>资金成本核算方法》</w:t>
      </w:r>
      <w:r w:rsidRPr="00C53CBB">
        <w:rPr>
          <w:rFonts w:eastAsia="楷体_GB2312" w:hint="eastAsia"/>
          <w:bCs/>
          <w:sz w:val="24"/>
        </w:rPr>
        <w:t>及</w:t>
      </w:r>
      <w:r w:rsidRPr="00C53CBB">
        <w:rPr>
          <w:rFonts w:eastAsia="黑体" w:hint="eastAsia"/>
          <w:bCs/>
          <w:sz w:val="24"/>
        </w:rPr>
        <w:t>《资金占用及资金成本核算表》。</w:t>
      </w:r>
      <w:r w:rsidRPr="00C53CBB">
        <w:rPr>
          <w:rFonts w:eastAsia="楷体_GB2312" w:hint="eastAsia"/>
          <w:bCs/>
          <w:sz w:val="24"/>
        </w:rPr>
        <w:t>前者可用于对资金筹集及调度部门的考核，后者则用于编制年度预算及考核其执行情况。</w:t>
      </w:r>
    </w:p>
    <w:p w:rsidR="00EE20F6" w:rsidRPr="00C53CBB" w:rsidRDefault="00EF1F15" w:rsidP="00C53CBB">
      <w:pPr>
        <w:spacing w:line="360" w:lineRule="auto"/>
        <w:ind w:firstLineChars="200" w:firstLine="480"/>
        <w:rPr>
          <w:rFonts w:eastAsia="楷体_GB2312"/>
          <w:bCs/>
          <w:sz w:val="24"/>
        </w:rPr>
      </w:pPr>
      <w:r w:rsidRPr="00C53CBB">
        <w:rPr>
          <w:rFonts w:eastAsia="楷体_GB2312" w:hint="eastAsia"/>
          <w:bCs/>
          <w:sz w:val="24"/>
        </w:rPr>
        <w:t>履行中合同的</w:t>
      </w:r>
      <w:r w:rsidRPr="00C53CBB">
        <w:rPr>
          <w:rFonts w:eastAsia="楷体_GB2312" w:hint="eastAsia"/>
          <w:bCs/>
          <w:sz w:val="24"/>
          <w:u w:val="single"/>
        </w:rPr>
        <w:t>保本点</w:t>
      </w:r>
      <w:r w:rsidRPr="00C53CBB">
        <w:rPr>
          <w:rFonts w:eastAsia="楷体_GB2312" w:hint="eastAsia"/>
          <w:bCs/>
          <w:sz w:val="24"/>
        </w:rPr>
        <w:t>的测算见《</w:t>
      </w:r>
      <w:r w:rsidRPr="00C53CBB">
        <w:rPr>
          <w:rFonts w:eastAsia="黑体" w:hint="eastAsia"/>
          <w:bCs/>
          <w:sz w:val="24"/>
        </w:rPr>
        <w:t>保本概念和保本点测算方法</w:t>
      </w:r>
      <w:r w:rsidRPr="00C53CBB">
        <w:rPr>
          <w:rFonts w:eastAsia="楷体_GB2312" w:hint="eastAsia"/>
          <w:bCs/>
          <w:sz w:val="24"/>
        </w:rPr>
        <w:t>》及《</w:t>
      </w:r>
      <w:r w:rsidRPr="00C53CBB">
        <w:rPr>
          <w:rFonts w:eastAsia="黑体" w:hint="eastAsia"/>
          <w:bCs/>
          <w:sz w:val="24"/>
        </w:rPr>
        <w:t>保本点测算表</w:t>
      </w:r>
      <w:r w:rsidRPr="00C53CBB">
        <w:rPr>
          <w:rFonts w:eastAsia="楷体_GB2312" w:hint="eastAsia"/>
          <w:bCs/>
          <w:sz w:val="24"/>
        </w:rPr>
        <w:t>》。这一指标只是在合同不能继续履行时使用。</w:t>
      </w:r>
    </w:p>
    <w:p w:rsidR="00EE20F6" w:rsidRPr="00C53CBB" w:rsidRDefault="00EF1F15" w:rsidP="00C53CBB">
      <w:pPr>
        <w:spacing w:line="360" w:lineRule="auto"/>
        <w:ind w:firstLine="480"/>
        <w:rPr>
          <w:rFonts w:eastAsia="楷体_GB2312"/>
          <w:bCs/>
          <w:sz w:val="24"/>
        </w:rPr>
      </w:pPr>
      <w:r w:rsidRPr="00C53CBB">
        <w:rPr>
          <w:rFonts w:eastAsia="楷体_GB2312" w:hint="eastAsia"/>
          <w:bCs/>
          <w:sz w:val="24"/>
          <w:u w:val="single"/>
        </w:rPr>
        <w:t>累计回收率</w:t>
      </w:r>
      <w:r w:rsidRPr="00C53CBB">
        <w:rPr>
          <w:rFonts w:eastAsia="楷体_GB2312" w:hint="eastAsia"/>
          <w:bCs/>
          <w:sz w:val="24"/>
        </w:rPr>
        <w:t>、</w:t>
      </w:r>
      <w:r w:rsidRPr="00C53CBB">
        <w:rPr>
          <w:rFonts w:eastAsia="楷体_GB2312" w:hint="eastAsia"/>
          <w:bCs/>
          <w:sz w:val="24"/>
          <w:u w:val="single"/>
        </w:rPr>
        <w:t>结欠金额</w:t>
      </w:r>
      <w:r w:rsidRPr="00C53CBB">
        <w:rPr>
          <w:rFonts w:eastAsia="楷体_GB2312" w:hint="eastAsia"/>
          <w:bCs/>
          <w:sz w:val="24"/>
        </w:rPr>
        <w:t>、</w:t>
      </w:r>
      <w:r w:rsidRPr="00C53CBB">
        <w:rPr>
          <w:rFonts w:eastAsia="楷体_GB2312" w:hint="eastAsia"/>
          <w:bCs/>
          <w:sz w:val="24"/>
          <w:u w:val="single"/>
        </w:rPr>
        <w:t>逾期债权率</w:t>
      </w:r>
      <w:r w:rsidRPr="00C53CBB">
        <w:rPr>
          <w:rFonts w:eastAsia="楷体_GB2312" w:hint="eastAsia"/>
          <w:bCs/>
          <w:sz w:val="24"/>
        </w:rPr>
        <w:t>、</w:t>
      </w:r>
      <w:r w:rsidRPr="00C53CBB">
        <w:rPr>
          <w:rFonts w:eastAsia="楷体_GB2312" w:hint="eastAsia"/>
          <w:bCs/>
          <w:sz w:val="24"/>
          <w:u w:val="single"/>
        </w:rPr>
        <w:t>加权平均账龄</w:t>
      </w:r>
      <w:r w:rsidRPr="00C53CBB">
        <w:rPr>
          <w:rFonts w:eastAsia="楷体_GB2312" w:hint="eastAsia"/>
          <w:bCs/>
          <w:sz w:val="24"/>
        </w:rPr>
        <w:t>和</w:t>
      </w:r>
      <w:r w:rsidRPr="00C53CBB">
        <w:rPr>
          <w:rFonts w:eastAsia="楷体_GB2312" w:hint="eastAsia"/>
          <w:bCs/>
          <w:sz w:val="24"/>
          <w:u w:val="single"/>
        </w:rPr>
        <w:t>会计成本余额风险分类</w:t>
      </w:r>
      <w:r w:rsidRPr="00C53CBB">
        <w:rPr>
          <w:rFonts w:eastAsia="楷体_GB2312" w:hint="eastAsia"/>
          <w:bCs/>
          <w:sz w:val="24"/>
        </w:rPr>
        <w:t>等指标可取自公司各月的常规报表《</w:t>
      </w:r>
      <w:r w:rsidRPr="00C53CBB">
        <w:rPr>
          <w:rFonts w:eastAsia="黑体" w:hint="eastAsia"/>
          <w:bCs/>
          <w:sz w:val="24"/>
        </w:rPr>
        <w:t>融资租赁项目主要指标汇总表</w:t>
      </w:r>
      <w:r w:rsidRPr="00C53CBB">
        <w:rPr>
          <w:rFonts w:eastAsia="楷体_GB2312" w:hint="eastAsia"/>
          <w:bCs/>
          <w:sz w:val="24"/>
        </w:rPr>
        <w:t>》。</w:t>
      </w:r>
    </w:p>
    <w:p w:rsidR="00EE20F6" w:rsidRPr="00C53CBB" w:rsidRDefault="00EF1F15" w:rsidP="00C53CBB">
      <w:pPr>
        <w:spacing w:line="360" w:lineRule="auto"/>
        <w:ind w:firstLineChars="200" w:firstLine="480"/>
        <w:rPr>
          <w:rFonts w:eastAsia="黑体"/>
          <w:bCs/>
          <w:sz w:val="24"/>
        </w:rPr>
      </w:pPr>
      <w:r w:rsidRPr="00C53CBB">
        <w:rPr>
          <w:rFonts w:eastAsia="楷体_GB2312" w:hint="eastAsia"/>
          <w:bCs/>
          <w:sz w:val="24"/>
        </w:rPr>
        <w:t>在编制公司年度预算时，可参考《</w:t>
      </w:r>
      <w:r w:rsidRPr="00C53CBB">
        <w:rPr>
          <w:rFonts w:eastAsia="黑体" w:hint="eastAsia"/>
          <w:bCs/>
          <w:sz w:val="24"/>
        </w:rPr>
        <w:t>融资租赁业务年度预算编制中的测算方法</w:t>
      </w:r>
      <w:r w:rsidRPr="00C53CBB">
        <w:rPr>
          <w:rFonts w:eastAsia="楷体_GB2312" w:hint="eastAsia"/>
          <w:bCs/>
          <w:sz w:val="24"/>
        </w:rPr>
        <w:t>》、</w:t>
      </w:r>
      <w:r w:rsidRPr="00C53CBB">
        <w:rPr>
          <w:rFonts w:eastAsia="黑体" w:hint="eastAsia"/>
          <w:bCs/>
          <w:sz w:val="24"/>
        </w:rPr>
        <w:t>《不同条件下融资租赁合同收益预测表》、《不同条件下资金占用效果》、《静态计算解说》</w:t>
      </w:r>
      <w:r w:rsidRPr="00C53CBB">
        <w:rPr>
          <w:rFonts w:eastAsia="楷体_GB2312" w:hint="eastAsia"/>
          <w:bCs/>
          <w:sz w:val="24"/>
        </w:rPr>
        <w:t>和</w:t>
      </w:r>
      <w:r w:rsidRPr="00C53CBB">
        <w:rPr>
          <w:rFonts w:eastAsia="黑体" w:hint="eastAsia"/>
          <w:bCs/>
          <w:sz w:val="24"/>
        </w:rPr>
        <w:t>《静态计算表、资金占用系数表及各年回收测算》。</w:t>
      </w:r>
    </w:p>
    <w:p w:rsidR="00EE20F6" w:rsidRPr="00C53CBB" w:rsidRDefault="00EE20F6" w:rsidP="00C53CBB">
      <w:pPr>
        <w:spacing w:line="360" w:lineRule="auto"/>
        <w:rPr>
          <w:rFonts w:eastAsia="黑体"/>
          <w:bCs/>
          <w:sz w:val="24"/>
        </w:rPr>
      </w:pPr>
    </w:p>
    <w:p w:rsidR="00EE20F6" w:rsidRPr="00C53CBB" w:rsidRDefault="00EF1F15" w:rsidP="00C53CBB">
      <w:pPr>
        <w:numPr>
          <w:ilvl w:val="0"/>
          <w:numId w:val="1"/>
        </w:numPr>
        <w:spacing w:line="360" w:lineRule="auto"/>
        <w:jc w:val="center"/>
        <w:rPr>
          <w:rFonts w:eastAsia="黑体"/>
          <w:bCs/>
          <w:sz w:val="28"/>
        </w:rPr>
      </w:pPr>
      <w:r w:rsidRPr="00C53CBB">
        <w:rPr>
          <w:rFonts w:eastAsia="黑体" w:hint="eastAsia"/>
          <w:bCs/>
          <w:sz w:val="28"/>
        </w:rPr>
        <w:t>一些想法</w:t>
      </w:r>
    </w:p>
    <w:p w:rsidR="00EE20F6" w:rsidRPr="00C53CBB" w:rsidRDefault="00EE20F6" w:rsidP="00C53CBB">
      <w:pPr>
        <w:spacing w:line="360" w:lineRule="auto"/>
        <w:rPr>
          <w:rFonts w:eastAsia="黑体"/>
          <w:bCs/>
          <w:sz w:val="24"/>
        </w:rPr>
      </w:pPr>
    </w:p>
    <w:p w:rsidR="00EE20F6" w:rsidRPr="00C53CBB" w:rsidRDefault="00EF1F15" w:rsidP="00C53CBB">
      <w:pPr>
        <w:pStyle w:val="a5"/>
        <w:numPr>
          <w:ilvl w:val="1"/>
          <w:numId w:val="1"/>
        </w:numPr>
        <w:spacing w:line="360" w:lineRule="auto"/>
        <w:ind w:firstLineChars="0"/>
        <w:rPr>
          <w:bCs/>
        </w:rPr>
      </w:pPr>
      <w:r w:rsidRPr="00C53CBB">
        <w:rPr>
          <w:rFonts w:hint="eastAsia"/>
          <w:bCs/>
        </w:rPr>
        <w:t>公司的业务有一线和二线、前方和后方之分。这里说的前方，包括业务开发和管理部门以及资金筹集和调度部门。至于后方，则至少会有财务会计部门、审查稽核部门、统计核算部门、法律事务部门、人力资源部门和行政后勤部门等等。而可以对其绩效进行量化考核的，只能是前方部门的人员。对后方部门人员，其业绩无从量化。而公司是一个整体，离了谁都不行，谁要是懈怠，都会给公司带来实实在在的损失。例如，法律事务部门对合同文本审查的疏漏或财会人员对某项结算的延误之类，都会给公司带来不可弥补的损失。所以我的逻辑是，千万不要在绩效考核中热了前者，冷了后者。我倾向于让全员实实在在感觉到，只有公司得益了，自己才能得益。所要争取的，主要不是自己比身边的同事多得多少，而是要争取水涨船高，使得我们西部人比同业中的东部人、南部人、北部人等多得多少。也就是说，是否宜于在公司内部实行“大平均、小差异”的原则。</w:t>
      </w:r>
    </w:p>
    <w:p w:rsidR="00EE20F6" w:rsidRPr="00C53CBB" w:rsidRDefault="00EF1F15" w:rsidP="00C53CBB">
      <w:pPr>
        <w:pStyle w:val="a5"/>
        <w:numPr>
          <w:ilvl w:val="1"/>
          <w:numId w:val="1"/>
        </w:numPr>
        <w:spacing w:line="360" w:lineRule="auto"/>
        <w:ind w:firstLineChars="0"/>
        <w:rPr>
          <w:bCs/>
        </w:rPr>
      </w:pPr>
      <w:r w:rsidRPr="00C53CBB">
        <w:rPr>
          <w:rFonts w:hint="eastAsia"/>
          <w:bCs/>
        </w:rPr>
        <w:t>具体地说，每年制订年度预算时，要同董事会敲定将从全年税后利润中拿出来用于员工奖励的百分比。这个比例当然没有一定之规。不过，有一点可以肯定。只要是董事会越抠门，股东所能收进腰包的收益将越少。因为，在实实在在的收益中，你股东总是占着大头嘛。在奖励基金中，留出一小块由总经理机动掌握。其余部分用（除了由股东直接奖励的管理层以外的）人员的加权总数去除，得出加权后人均奖励金额。这里所说的权数或许可以按职务和职称来定。然后，</w:t>
      </w:r>
      <w:r w:rsidRPr="00C53CBB">
        <w:rPr>
          <w:rFonts w:hint="eastAsia"/>
          <w:bCs/>
        </w:rPr>
        <w:lastRenderedPageBreak/>
        <w:t>对于二线部门，可以按加权人数直接分配。对于一线人员，则总的奖励金额是确定的。但是，由于有量化的考核指标，部门之间、人员之间会有差别。</w:t>
      </w:r>
    </w:p>
    <w:p w:rsidR="00EE20F6" w:rsidRPr="00C53CBB" w:rsidRDefault="00EF1F15" w:rsidP="00C53CBB">
      <w:pPr>
        <w:pStyle w:val="a5"/>
        <w:numPr>
          <w:ilvl w:val="1"/>
          <w:numId w:val="1"/>
        </w:numPr>
        <w:spacing w:line="360" w:lineRule="auto"/>
        <w:ind w:firstLineChars="0"/>
        <w:rPr>
          <w:bCs/>
        </w:rPr>
      </w:pPr>
      <w:r w:rsidRPr="00C53CBB">
        <w:rPr>
          <w:rFonts w:hint="eastAsia"/>
          <w:bCs/>
        </w:rPr>
        <w:t>对一线业务开发管理人员的考核，可否考虑</w:t>
      </w:r>
      <w:r w:rsidRPr="00C53CBB">
        <w:rPr>
          <w:rFonts w:hint="eastAsia"/>
          <w:bCs/>
        </w:rPr>
        <w:t>30%</w:t>
      </w:r>
      <w:r w:rsidRPr="00C53CBB">
        <w:rPr>
          <w:rFonts w:hint="eastAsia"/>
          <w:bCs/>
        </w:rPr>
        <w:t>的奖金用于已签署生效的合同，</w:t>
      </w:r>
      <w:r w:rsidRPr="00C53CBB">
        <w:rPr>
          <w:rFonts w:hint="eastAsia"/>
          <w:bCs/>
        </w:rPr>
        <w:t>70%</w:t>
      </w:r>
      <w:r w:rsidRPr="00C53CBB">
        <w:rPr>
          <w:rFonts w:hint="eastAsia"/>
          <w:bCs/>
        </w:rPr>
        <w:t>的奖金用于已结束的合同。至于说差别对待，大致可以是，一半用资金净现值考核，一半用资金年净收益率考核。举例而言，如果可用于考核已结束合同的资金净现值的可分配奖金是</w:t>
      </w:r>
      <w:r w:rsidRPr="00C53CBB">
        <w:rPr>
          <w:rFonts w:hint="eastAsia"/>
          <w:bCs/>
        </w:rPr>
        <w:t>50,000</w:t>
      </w:r>
      <w:r w:rsidRPr="00C53CBB">
        <w:rPr>
          <w:rFonts w:hint="eastAsia"/>
          <w:bCs/>
        </w:rPr>
        <w:t>，涉及</w:t>
      </w:r>
      <w:r w:rsidRPr="00C53CBB">
        <w:rPr>
          <w:rFonts w:hint="eastAsia"/>
          <w:bCs/>
        </w:rPr>
        <w:t>12</w:t>
      </w:r>
      <w:r w:rsidRPr="00C53CBB">
        <w:rPr>
          <w:rFonts w:hint="eastAsia"/>
          <w:bCs/>
        </w:rPr>
        <w:t>个人，则人均是</w:t>
      </w:r>
      <w:r w:rsidRPr="00C53CBB">
        <w:rPr>
          <w:rFonts w:hint="eastAsia"/>
          <w:bCs/>
        </w:rPr>
        <w:t>4,166.67</w:t>
      </w:r>
      <w:r w:rsidRPr="00C53CBB">
        <w:rPr>
          <w:rFonts w:hint="eastAsia"/>
          <w:bCs/>
        </w:rPr>
        <w:t>。又如果资金净现值合计是</w:t>
      </w:r>
      <w:r w:rsidRPr="00C53CBB">
        <w:rPr>
          <w:rFonts w:hint="eastAsia"/>
          <w:bCs/>
        </w:rPr>
        <w:t>3,360,000</w:t>
      </w:r>
      <w:r w:rsidRPr="00C53CBB">
        <w:rPr>
          <w:rFonts w:hint="eastAsia"/>
          <w:bCs/>
        </w:rPr>
        <w:t>，则人均是</w:t>
      </w:r>
      <w:r w:rsidRPr="00C53CBB">
        <w:rPr>
          <w:rFonts w:hint="eastAsia"/>
          <w:bCs/>
        </w:rPr>
        <w:t>280,000</w:t>
      </w:r>
      <w:r w:rsidRPr="00C53CBB">
        <w:rPr>
          <w:rFonts w:hint="eastAsia"/>
          <w:bCs/>
        </w:rPr>
        <w:t>。现在，张三承办的项目的合计资金净现值如果是</w:t>
      </w:r>
      <w:r w:rsidRPr="00C53CBB">
        <w:rPr>
          <w:rFonts w:hint="eastAsia"/>
          <w:bCs/>
        </w:rPr>
        <w:t>340,000</w:t>
      </w:r>
      <w:r w:rsidRPr="00C53CBB">
        <w:rPr>
          <w:rFonts w:hint="eastAsia"/>
          <w:bCs/>
        </w:rPr>
        <w:t>，则他应得人均数的</w:t>
      </w:r>
      <w:r w:rsidRPr="00C53CBB">
        <w:rPr>
          <w:rFonts w:hint="eastAsia"/>
          <w:bCs/>
        </w:rPr>
        <w:t>1.2143</w:t>
      </w:r>
      <w:r w:rsidRPr="00C53CBB">
        <w:rPr>
          <w:rFonts w:hint="eastAsia"/>
          <w:bCs/>
        </w:rPr>
        <w:t>，即</w:t>
      </w:r>
      <w:r w:rsidRPr="00C53CBB">
        <w:rPr>
          <w:rFonts w:hint="eastAsia"/>
          <w:bCs/>
        </w:rPr>
        <w:t>5,059.58</w:t>
      </w:r>
      <w:r w:rsidRPr="00C53CBB">
        <w:rPr>
          <w:rFonts w:hint="eastAsia"/>
          <w:bCs/>
        </w:rPr>
        <w:t>；李四承办的项目的合计资金净现值如果是</w:t>
      </w:r>
      <w:r w:rsidRPr="00C53CBB">
        <w:rPr>
          <w:rFonts w:hint="eastAsia"/>
          <w:bCs/>
        </w:rPr>
        <w:t>220,000</w:t>
      </w:r>
      <w:r w:rsidRPr="00C53CBB">
        <w:rPr>
          <w:rFonts w:hint="eastAsia"/>
          <w:bCs/>
        </w:rPr>
        <w:t>，则他应得人均数的</w:t>
      </w:r>
      <w:r w:rsidRPr="00C53CBB">
        <w:rPr>
          <w:rFonts w:hint="eastAsia"/>
          <w:bCs/>
        </w:rPr>
        <w:t>0.7857</w:t>
      </w:r>
      <w:r w:rsidRPr="00C53CBB">
        <w:rPr>
          <w:rFonts w:hint="eastAsia"/>
          <w:bCs/>
        </w:rPr>
        <w:t>，即</w:t>
      </w:r>
      <w:r w:rsidRPr="00C53CBB">
        <w:rPr>
          <w:rFonts w:hint="eastAsia"/>
          <w:bCs/>
        </w:rPr>
        <w:t>3,273.75</w:t>
      </w:r>
      <w:r w:rsidRPr="00C53CBB">
        <w:rPr>
          <w:rFonts w:hint="eastAsia"/>
          <w:bCs/>
        </w:rPr>
        <w:t>。</w:t>
      </w:r>
    </w:p>
    <w:p w:rsidR="00EE20F6" w:rsidRPr="00C53CBB" w:rsidRDefault="00EF1F15" w:rsidP="00C53CBB">
      <w:pPr>
        <w:pStyle w:val="a5"/>
        <w:numPr>
          <w:ilvl w:val="1"/>
          <w:numId w:val="1"/>
        </w:numPr>
        <w:spacing w:line="360" w:lineRule="auto"/>
        <w:ind w:firstLineChars="0"/>
        <w:rPr>
          <w:bCs/>
        </w:rPr>
      </w:pPr>
      <w:r w:rsidRPr="00C53CBB">
        <w:rPr>
          <w:rFonts w:hint="eastAsia"/>
          <w:bCs/>
        </w:rPr>
        <w:t>对于资金筹集和调度部门和人员，可以按年初确定的借款年利率指标考核。如果公司全年实际承担的借款加权平均利率低于该指标，则按节约的幅度给予奖励。例如，如果分到资金筹集和调度部门和人员的加权人均奖金数是</w:t>
      </w:r>
      <w:r w:rsidRPr="00C53CBB">
        <w:rPr>
          <w:rFonts w:hint="eastAsia"/>
          <w:bCs/>
        </w:rPr>
        <w:t>12,000</w:t>
      </w:r>
      <w:r w:rsidRPr="00C53CBB">
        <w:rPr>
          <w:rFonts w:hint="eastAsia"/>
          <w:bCs/>
        </w:rPr>
        <w:t>，年初确定的借款年利率指标是</w:t>
      </w:r>
      <w:r w:rsidRPr="00C53CBB">
        <w:rPr>
          <w:rFonts w:hint="eastAsia"/>
          <w:bCs/>
        </w:rPr>
        <w:t>6.0000%</w:t>
      </w:r>
      <w:r w:rsidRPr="00C53CBB">
        <w:rPr>
          <w:rFonts w:hint="eastAsia"/>
          <w:bCs/>
        </w:rPr>
        <w:t>，该年公司实际承担的借款加权平均利率是</w:t>
      </w:r>
      <w:r w:rsidRPr="00C53CBB">
        <w:rPr>
          <w:rFonts w:hint="eastAsia"/>
          <w:bCs/>
        </w:rPr>
        <w:t>5.5800%</w:t>
      </w:r>
      <w:r w:rsidRPr="00C53CBB">
        <w:rPr>
          <w:rFonts w:hint="eastAsia"/>
          <w:bCs/>
        </w:rPr>
        <w:t>，则加权人均奖金数将是</w:t>
      </w:r>
      <w:r w:rsidRPr="00C53CBB">
        <w:rPr>
          <w:rFonts w:hint="eastAsia"/>
          <w:bCs/>
        </w:rPr>
        <w:t>12,000</w:t>
      </w:r>
      <w:r w:rsidRPr="00C53CBB">
        <w:rPr>
          <w:rFonts w:hint="eastAsia"/>
          <w:bCs/>
        </w:rPr>
        <w:t>×（</w:t>
      </w:r>
      <w:r w:rsidRPr="00C53CBB">
        <w:rPr>
          <w:rFonts w:hint="eastAsia"/>
          <w:bCs/>
        </w:rPr>
        <w:t>6.0000%</w:t>
      </w:r>
      <w:r w:rsidRPr="00C53CBB">
        <w:rPr>
          <w:rFonts w:hint="eastAsia"/>
          <w:bCs/>
        </w:rPr>
        <w:t>÷</w:t>
      </w:r>
      <w:r w:rsidRPr="00C53CBB">
        <w:rPr>
          <w:rFonts w:hint="eastAsia"/>
          <w:bCs/>
        </w:rPr>
        <w:t>5.5800%</w:t>
      </w:r>
      <w:r w:rsidRPr="00C53CBB">
        <w:rPr>
          <w:rFonts w:hint="eastAsia"/>
          <w:bCs/>
        </w:rPr>
        <w:t>）</w:t>
      </w:r>
      <w:r w:rsidRPr="00C53CBB">
        <w:rPr>
          <w:rFonts w:hint="eastAsia"/>
          <w:bCs/>
        </w:rPr>
        <w:t>=12,903.23</w:t>
      </w:r>
      <w:r w:rsidRPr="00C53CBB">
        <w:rPr>
          <w:rFonts w:hint="eastAsia"/>
          <w:bCs/>
        </w:rPr>
        <w:t>。超出部分从总经理机动掌握的金额中拨。</w:t>
      </w:r>
    </w:p>
    <w:p w:rsidR="00EE20F6" w:rsidRPr="00C53CBB" w:rsidRDefault="00EF1F15" w:rsidP="00C53CBB">
      <w:pPr>
        <w:pStyle w:val="a5"/>
        <w:numPr>
          <w:ilvl w:val="1"/>
          <w:numId w:val="1"/>
        </w:numPr>
        <w:spacing w:line="360" w:lineRule="auto"/>
        <w:ind w:firstLineChars="0"/>
        <w:rPr>
          <w:bCs/>
        </w:rPr>
      </w:pPr>
      <w:r w:rsidRPr="00C53CBB">
        <w:rPr>
          <w:rFonts w:hint="eastAsia"/>
          <w:bCs/>
        </w:rPr>
        <w:t>联合租赁、杠杆租赁、委托租赁业务怎么考核？我认为，这些业务中的本公司不承担风险部分的业务，对于公司而言，将是单纯的服务费收入。因此是税后利润和奖励福利基金数额的扩大。所以，似乎可以不必单独考核。</w:t>
      </w:r>
    </w:p>
    <w:p w:rsidR="00EE20F6" w:rsidRPr="00C53CBB" w:rsidRDefault="00EF1F15" w:rsidP="00C53CBB">
      <w:pPr>
        <w:pStyle w:val="a5"/>
        <w:numPr>
          <w:ilvl w:val="1"/>
          <w:numId w:val="1"/>
        </w:numPr>
        <w:spacing w:line="360" w:lineRule="auto"/>
        <w:ind w:firstLineChars="0"/>
        <w:rPr>
          <w:bCs/>
        </w:rPr>
      </w:pPr>
      <w:r w:rsidRPr="00C53CBB">
        <w:rPr>
          <w:rFonts w:hint="eastAsia"/>
          <w:bCs/>
        </w:rPr>
        <w:t>在全部核算中，对于一线人员来说，都有一个营业费用的问题。对此，我没有成熟的、万全的主张。首先我声明，在测算效益时，按资金占用额来确定营业费用的作法，是大可商榷的。作为权宜之计，是否可以考虑按历年各部门实际发生的营业费用，作为一个指标，来一个“包干”？</w:t>
      </w:r>
    </w:p>
    <w:p w:rsidR="00EE20F6" w:rsidRPr="00C53CBB" w:rsidRDefault="00EF1F15" w:rsidP="00C53CBB">
      <w:pPr>
        <w:pStyle w:val="a5"/>
        <w:numPr>
          <w:ilvl w:val="1"/>
          <w:numId w:val="1"/>
        </w:numPr>
        <w:spacing w:line="360" w:lineRule="auto"/>
        <w:ind w:firstLineChars="0"/>
        <w:rPr>
          <w:bCs/>
        </w:rPr>
      </w:pPr>
      <w:r w:rsidRPr="00C53CBB">
        <w:rPr>
          <w:rFonts w:hint="eastAsia"/>
          <w:bCs/>
        </w:rPr>
        <w:t>对经营租赁业务怎么办？别的办法我没有。我只有一条，看你所预测的这个合同结束时的租赁物余值能否实现。以此作为奖惩的依据。</w:t>
      </w:r>
    </w:p>
    <w:p w:rsidR="00EE20F6" w:rsidRPr="00C53CBB" w:rsidRDefault="00EF1F15" w:rsidP="00C53CBB">
      <w:pPr>
        <w:pStyle w:val="a5"/>
        <w:numPr>
          <w:ilvl w:val="1"/>
          <w:numId w:val="1"/>
        </w:numPr>
        <w:spacing w:line="360" w:lineRule="auto"/>
        <w:ind w:firstLineChars="0"/>
        <w:rPr>
          <w:bCs/>
        </w:rPr>
      </w:pPr>
      <w:r w:rsidRPr="00C53CBB">
        <w:rPr>
          <w:rFonts w:hint="eastAsia"/>
          <w:bCs/>
        </w:rPr>
        <w:t>金融租赁公司除了租赁业务外，还会有其它业务，例如证券、投资业务之类。对于这些业务的考核和奖励，不在本文的讨论范围之内。是否可以考虑专账处理。</w:t>
      </w:r>
    </w:p>
    <w:p w:rsidR="00EF1F15" w:rsidRPr="00C53CBB" w:rsidRDefault="00EF1F15" w:rsidP="00C53CBB">
      <w:pPr>
        <w:pStyle w:val="a5"/>
        <w:numPr>
          <w:ilvl w:val="1"/>
          <w:numId w:val="1"/>
        </w:numPr>
        <w:spacing w:line="360" w:lineRule="auto"/>
        <w:ind w:firstLineChars="0"/>
        <w:rPr>
          <w:bCs/>
        </w:rPr>
      </w:pPr>
      <w:r w:rsidRPr="00C53CBB">
        <w:rPr>
          <w:rFonts w:hint="eastAsia"/>
          <w:bCs/>
        </w:rPr>
        <w:t>在上面所有的讨论中，讲的都是如何地“奖”，却根本不提如何地“罚”。为什么？我认为，这是因为，任何金融租赁公司，想要通过对任何员工（自然人）的惩罚，来弥补自己的损失，都是“天方夜谭”！例如，某公司所有者权益是</w:t>
      </w:r>
      <w:r w:rsidRPr="00C53CBB">
        <w:rPr>
          <w:rFonts w:hint="eastAsia"/>
          <w:bCs/>
        </w:rPr>
        <w:lastRenderedPageBreak/>
        <w:t>500,000,000</w:t>
      </w:r>
      <w:r w:rsidRPr="00C53CBB">
        <w:rPr>
          <w:rFonts w:hint="eastAsia"/>
          <w:bCs/>
        </w:rPr>
        <w:t>，当年的投放额是</w:t>
      </w:r>
      <w:r w:rsidRPr="00C53CBB">
        <w:rPr>
          <w:rFonts w:hint="eastAsia"/>
          <w:bCs/>
        </w:rPr>
        <w:t>175,000,000</w:t>
      </w:r>
      <w:r w:rsidRPr="00C53CBB">
        <w:rPr>
          <w:rFonts w:hint="eastAsia"/>
          <w:bCs/>
        </w:rPr>
        <w:t>。如果其中的</w:t>
      </w:r>
      <w:r w:rsidRPr="00C53CBB">
        <w:rPr>
          <w:rFonts w:hint="eastAsia"/>
          <w:bCs/>
        </w:rPr>
        <w:t>3%</w:t>
      </w:r>
      <w:r w:rsidRPr="00C53CBB">
        <w:rPr>
          <w:rFonts w:hint="eastAsia"/>
          <w:bCs/>
        </w:rPr>
        <w:t>失败，损失将是</w:t>
      </w:r>
      <w:r w:rsidRPr="00C53CBB">
        <w:rPr>
          <w:rFonts w:hint="eastAsia"/>
          <w:bCs/>
        </w:rPr>
        <w:t>5,250,000</w:t>
      </w:r>
      <w:r w:rsidRPr="00C53CBB">
        <w:rPr>
          <w:rFonts w:hint="eastAsia"/>
          <w:bCs/>
        </w:rPr>
        <w:t>。试问，这是任何一家金融租赁公司的普通职员所能够承担的吗？即使分解到十个人头上，每人承担</w:t>
      </w:r>
      <w:r w:rsidRPr="00C53CBB">
        <w:rPr>
          <w:rFonts w:hint="eastAsia"/>
          <w:bCs/>
        </w:rPr>
        <w:t>525,000</w:t>
      </w:r>
      <w:r w:rsidRPr="00C53CBB">
        <w:rPr>
          <w:rFonts w:hint="eastAsia"/>
          <w:bCs/>
        </w:rPr>
        <w:t>。难道是可行的吗？所以，如果也要罚，当然谈不上弥补损失，至少是为了坚持原则罢。是否可以考虑取消其前面所述的应得奖金。例如，逾期债权超过多少以及加权平均账龄超过多少，就不给奖励之类。</w:t>
      </w:r>
    </w:p>
    <w:sectPr w:rsidR="00EF1F15" w:rsidRPr="00C53CBB">
      <w:footerReference w:type="even" r:id="rId7"/>
      <w:footerReference w:type="default" r:id="rId8"/>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1253" w:rsidRDefault="00841253">
      <w:r>
        <w:separator/>
      </w:r>
    </w:p>
  </w:endnote>
  <w:endnote w:type="continuationSeparator" w:id="0">
    <w:p w:rsidR="00841253" w:rsidRDefault="00841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0F6" w:rsidRDefault="00EF1F1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E20F6" w:rsidRDefault="00EE20F6">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0F6" w:rsidRDefault="00EF1F1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E511C">
      <w:rPr>
        <w:rStyle w:val="a4"/>
        <w:noProof/>
      </w:rPr>
      <w:t>1</w:t>
    </w:r>
    <w:r>
      <w:rPr>
        <w:rStyle w:val="a4"/>
      </w:rPr>
      <w:fldChar w:fldCharType="end"/>
    </w:r>
  </w:p>
  <w:p w:rsidR="00EE20F6" w:rsidRDefault="00EE20F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1253" w:rsidRDefault="00841253">
      <w:r>
        <w:separator/>
      </w:r>
    </w:p>
  </w:footnote>
  <w:footnote w:type="continuationSeparator" w:id="0">
    <w:p w:rsidR="00841253" w:rsidRDefault="008412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033CF3"/>
    <w:multiLevelType w:val="hybridMultilevel"/>
    <w:tmpl w:val="035C3F74"/>
    <w:lvl w:ilvl="0" w:tplc="9DCE56E6">
      <w:start w:val="1"/>
      <w:numFmt w:val="japaneseCounting"/>
      <w:lvlText w:val="%1、"/>
      <w:lvlJc w:val="left"/>
      <w:pPr>
        <w:tabs>
          <w:tab w:val="num" w:pos="480"/>
        </w:tabs>
        <w:ind w:left="480" w:hanging="480"/>
      </w:pPr>
      <w:rPr>
        <w:rFonts w:hint="eastAsia"/>
      </w:rPr>
    </w:lvl>
    <w:lvl w:ilvl="1" w:tplc="C8504F5C">
      <w:start w:val="1"/>
      <w:numFmt w:val="japaneseCounting"/>
      <w:lvlText w:val="%2、"/>
      <w:lvlJc w:val="left"/>
      <w:pPr>
        <w:tabs>
          <w:tab w:val="num" w:pos="1380"/>
        </w:tabs>
        <w:ind w:left="1380" w:hanging="9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93CE3"/>
    <w:rsid w:val="00093CE3"/>
    <w:rsid w:val="006E511C"/>
    <w:rsid w:val="00841253"/>
    <w:rsid w:val="00B85643"/>
    <w:rsid w:val="00C53CBB"/>
    <w:rsid w:val="00EE20F6"/>
    <w:rsid w:val="00EF1F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4E1EBB"/>
  <w15:docId w15:val="{1B7E812D-B3E1-46ED-B5A1-8BE962304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szCs w:val="18"/>
    </w:rPr>
  </w:style>
  <w:style w:type="character" w:styleId="a4">
    <w:name w:val="page number"/>
    <w:basedOn w:val="a0"/>
    <w:semiHidden/>
  </w:style>
  <w:style w:type="paragraph" w:styleId="a5">
    <w:name w:val="Body Text Indent"/>
    <w:basedOn w:val="a"/>
    <w:semiHidden/>
    <w:pPr>
      <w:ind w:firstLineChars="200" w:firstLine="480"/>
    </w:pPr>
    <w:rPr>
      <w:rFonts w:eastAsia="楷体_GB2312"/>
      <w:sz w:val="24"/>
    </w:rPr>
  </w:style>
  <w:style w:type="paragraph" w:styleId="a6">
    <w:name w:val="header"/>
    <w:basedOn w:val="a"/>
    <w:link w:val="a7"/>
    <w:uiPriority w:val="99"/>
    <w:semiHidden/>
    <w:unhideWhenUsed/>
    <w:rsid w:val="00093CE3"/>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semiHidden/>
    <w:rsid w:val="00093CE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573</Words>
  <Characters>3271</Characters>
  <Application>Microsoft Office Word</Application>
  <DocSecurity>0</DocSecurity>
  <Lines>27</Lines>
  <Paragraphs>7</Paragraphs>
  <ScaleCrop>false</ScaleCrop>
  <HeadingPairs>
    <vt:vector size="2" baseType="variant">
      <vt:variant>
        <vt:lpstr>题目</vt:lpstr>
      </vt:variant>
      <vt:variant>
        <vt:i4>1</vt:i4>
      </vt:variant>
    </vt:vector>
  </HeadingPairs>
  <TitlesOfParts>
    <vt:vector size="1" baseType="lpstr">
      <vt:lpstr>租赁公司人员绩效考核问题探讨</vt:lpstr>
    </vt:vector>
  </TitlesOfParts>
  <Company>qiuqiyang</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租赁公司人员绩效考核问题探讨</dc:title>
  <dc:creator>qiuqiyang</dc:creator>
  <cp:lastModifiedBy>坤FL</cp:lastModifiedBy>
  <cp:revision>5</cp:revision>
  <dcterms:created xsi:type="dcterms:W3CDTF">2012-06-24T03:07:00Z</dcterms:created>
  <dcterms:modified xsi:type="dcterms:W3CDTF">2016-01-12T09:00:00Z</dcterms:modified>
</cp:coreProperties>
</file>