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2D16" w:rsidRPr="00D3274C" w:rsidRDefault="00B42D16" w:rsidP="00D3274C">
      <w:pPr>
        <w:rPr>
          <w:rFonts w:hint="eastAsia"/>
        </w:rPr>
      </w:pPr>
    </w:p>
    <w:p w:rsidR="00B42D16" w:rsidRPr="00D3274C" w:rsidRDefault="00B42D16" w:rsidP="00D3274C">
      <w:r w:rsidRPr="00D3274C">
        <w:t>KMV</w:t>
      </w:r>
      <w:r w:rsidRPr="00D3274C">
        <w:t>模型主要是基于以下两点建立起来的：</w:t>
      </w:r>
      <w:r w:rsidRPr="00D3274C">
        <w:br/>
        <w:t>      1) KMV</w:t>
      </w:r>
      <w:r w:rsidRPr="00D3274C">
        <w:t>通过模拟，证明了历史平均违约率及转移概率与实际情况相去甚远；</w:t>
      </w:r>
      <w:r w:rsidRPr="00D3274C">
        <w:br/>
        <w:t xml:space="preserve">      2) </w:t>
      </w:r>
      <w:r w:rsidRPr="00D3274C">
        <w:t>处于同一信用等级的公司，其违约率也存在较大的差异，即违约概率在等级之间存在较大的重叠区域，如某些</w:t>
      </w:r>
      <w:r w:rsidRPr="00D3274C">
        <w:t>BBB</w:t>
      </w:r>
      <w:r w:rsidRPr="00D3274C">
        <w:t>级的债券很可能与</w:t>
      </w:r>
      <w:r w:rsidRPr="00D3274C">
        <w:t>AA</w:t>
      </w:r>
      <w:r w:rsidRPr="00D3274C">
        <w:t>级的债券具有相同的违约概率；</w:t>
      </w:r>
      <w:r w:rsidRPr="00D3274C">
        <w:br/>
        <w:t>      KMV</w:t>
      </w:r>
      <w:r w:rsidRPr="00D3274C">
        <w:t>没有使用</w:t>
      </w:r>
      <w:r w:rsidRPr="00D3274C">
        <w:t>Moody</w:t>
      </w:r>
      <w:r w:rsidRPr="00D3274C">
        <w:t>或</w:t>
      </w:r>
      <w:r w:rsidRPr="00D3274C">
        <w:t>S&amp;P</w:t>
      </w:r>
      <w:r w:rsidRPr="00D3274C">
        <w:t>的统计数据来赋予违约概率，而是根据</w:t>
      </w:r>
      <w:r w:rsidRPr="00D3274C">
        <w:t>Merton</w:t>
      </w:r>
      <w:r w:rsidRPr="00D3274C">
        <w:t>在</w:t>
      </w:r>
      <w:r w:rsidRPr="00D3274C">
        <w:t>1974</w:t>
      </w:r>
      <w:r w:rsidRPr="00D3274C">
        <w:t>年提出的模型来推导每个债务人的实际违约概率</w:t>
      </w:r>
      <w:r w:rsidRPr="00D3274C">
        <w:t>——</w:t>
      </w:r>
      <w:r w:rsidRPr="00D3274C">
        <w:t>期望违约率</w:t>
      </w:r>
      <w:r w:rsidRPr="00D3274C">
        <w:t>EDF</w:t>
      </w:r>
      <w:r w:rsidRPr="00D3274C">
        <w:t>（</w:t>
      </w:r>
      <w:r w:rsidRPr="00D3274C">
        <w:t>Expected Default Frequency</w:t>
      </w:r>
      <w:r w:rsidRPr="00D3274C">
        <w:t>），即违约概率是公司资本结构、资产收益波动率、资产现值等变量的函数，因而</w:t>
      </w:r>
      <w:r w:rsidRPr="00D3274C">
        <w:t>KMV</w:t>
      </w:r>
      <w:r w:rsidRPr="00D3274C">
        <w:t>模型主要是利用期权定价理论建立监控模型，用来对上市公司和上市银行的信用风险进行预测。</w:t>
      </w:r>
      <w:r w:rsidRPr="00D3274C">
        <w:br/>
        <w:t xml:space="preserve">     </w:t>
      </w:r>
      <w:r w:rsidRPr="00D3274C">
        <w:t>一、贷款和期权之间的关系</w:t>
      </w:r>
      <w:r w:rsidRPr="00D3274C">
        <w:br/>
        <w:t xml:space="preserve">      </w:t>
      </w:r>
      <w:r w:rsidRPr="00D3274C">
        <w:t>将一笔贷款借给债务人，在这项债务到期时会出现两种结果：一是债务人资金充足，能够按时归还本金与利息；二是债务人资不抵债，债务人在这种情况下只能通过资产清算来偿还部分债务。结合期权的概念，可以将这种债权债务关系分解为两个合约：</w:t>
      </w:r>
      <w:r w:rsidRPr="00D3274C">
        <w:br/>
        <w:t>     1</w:t>
      </w:r>
      <w:r w:rsidRPr="00D3274C">
        <w:t>）债务到期时，债务人必须无条件的支付给债权人全额的借款（包括本金与利息，设为</w:t>
      </w:r>
      <w:r w:rsidRPr="00D3274C">
        <w:t>L</w:t>
      </w:r>
      <w:r w:rsidRPr="00D3274C">
        <w:t>）；</w:t>
      </w:r>
      <w:r w:rsidRPr="00D3274C">
        <w:br/>
        <w:t>     2</w:t>
      </w:r>
      <w:r w:rsidRPr="00D3274C">
        <w:t>）债权人售给债务人一个</w:t>
      </w:r>
      <w:r w:rsidRPr="00D3274C">
        <w:t>“</w:t>
      </w:r>
      <w:r w:rsidRPr="00D3274C">
        <w:t>卖权</w:t>
      </w:r>
      <w:r w:rsidRPr="00D3274C">
        <w:t>”</w:t>
      </w:r>
      <w:r w:rsidRPr="00D3274C">
        <w:t>合约：当债务人的资产总额（设为</w:t>
      </w:r>
      <w:r w:rsidRPr="00D3274C">
        <w:t>V</w:t>
      </w:r>
      <w:r w:rsidRPr="00D3274C">
        <w:t>）小于其负债时执行该期权，标的资产为债务人的资产，执行价格为</w:t>
      </w:r>
      <w:r w:rsidRPr="00D3274C">
        <w:t>L</w:t>
      </w:r>
      <w:r w:rsidRPr="00D3274C">
        <w:t>；当债务人的资产总额大于其负债时，该合约不执行。</w:t>
      </w:r>
      <w:r w:rsidRPr="00D3274C">
        <w:br/>
        <w:t xml:space="preserve">     </w:t>
      </w:r>
      <w:r w:rsidRPr="00D3274C">
        <w:t>这样，对于该项期权的空头持有者</w:t>
      </w:r>
      <w:r w:rsidRPr="00D3274C">
        <w:t>—</w:t>
      </w:r>
      <w:r w:rsidRPr="00D3274C">
        <w:t>债权人来说，该项期权得到期价值为：</w:t>
      </w:r>
    </w:p>
    <w:p w:rsidR="00B42D16" w:rsidRPr="00D3274C" w:rsidRDefault="00B42D16" w:rsidP="00D3274C">
      <w:r w:rsidRPr="00D3274C">
        <w:br/>
      </w:r>
      <w:r w:rsidR="00FD7B94" w:rsidRPr="00D3274C">
        <w:drawing>
          <wp:inline distT="0" distB="0" distL="0" distR="0">
            <wp:extent cx="4219575" cy="2466975"/>
            <wp:effectExtent l="0" t="0" r="0" b="0"/>
            <wp:docPr id="1" name="图片 1" descr="2005111212094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05111212094325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19575" cy="2466975"/>
                    </a:xfrm>
                    <a:prstGeom prst="rect">
                      <a:avLst/>
                    </a:prstGeom>
                    <a:noFill/>
                    <a:ln>
                      <a:noFill/>
                    </a:ln>
                  </pic:spPr>
                </pic:pic>
              </a:graphicData>
            </a:graphic>
          </wp:inline>
        </w:drawing>
      </w:r>
      <w:r w:rsidRPr="00D3274C">
        <w:t> </w:t>
      </w:r>
      <w:r w:rsidRPr="00D3274C">
        <w:br/>
        <w:t> </w:t>
      </w:r>
      <w:r w:rsidRPr="00D3274C">
        <w:br/>
        <w:t xml:space="preserve">    </w:t>
      </w:r>
      <w:r w:rsidRPr="00D3274C">
        <w:t>由于期权定价技术现在已经比较成熟，而且该</w:t>
      </w:r>
      <w:r w:rsidRPr="00D3274C">
        <w:t>“</w:t>
      </w:r>
      <w:r w:rsidRPr="00D3274C">
        <w:t>期权</w:t>
      </w:r>
      <w:r w:rsidRPr="00D3274C">
        <w:t>”</w:t>
      </w:r>
      <w:r w:rsidRPr="00D3274C">
        <w:t>的标的资产家宅及其波动性可以直接观察到，因而在债权管理中引入期权概念可以大大简化债务的风险量度，并可以将成熟的期权定价技术应用到债权管理中去，从而提高债权管理的准确性和有效性；同时可以根据直接观察到的债务人公司的资产市值确定多个债务人的违约相关系数，从而可以根据投资组合理论来优化有多个债权组成的债权组合。</w:t>
      </w:r>
      <w:r w:rsidRPr="00D3274C">
        <w:br/>
        <w:t xml:space="preserve">     </w:t>
      </w:r>
      <w:r w:rsidRPr="00D3274C">
        <w:t>二、实际违约概率</w:t>
      </w:r>
      <w:r w:rsidRPr="00D3274C">
        <w:t>EDF</w:t>
      </w:r>
      <w:r w:rsidRPr="00D3274C">
        <w:t>的推导</w:t>
      </w:r>
      <w:r w:rsidRPr="00D3274C">
        <w:br/>
        <w:t xml:space="preserve">     </w:t>
      </w:r>
      <w:r w:rsidRPr="00D3274C">
        <w:t>（</w:t>
      </w:r>
      <w:r w:rsidRPr="00D3274C">
        <w:t>1</w:t>
      </w:r>
      <w:r w:rsidRPr="00D3274C">
        <w:t>）</w:t>
      </w:r>
      <w:r w:rsidRPr="00D3274C">
        <w:t xml:space="preserve"> DD</w:t>
      </w:r>
      <w:r w:rsidRPr="00D3274C">
        <w:t>（</w:t>
      </w:r>
      <w:r w:rsidRPr="00D3274C">
        <w:t>Distance to Default</w:t>
      </w:r>
      <w:r w:rsidRPr="00D3274C">
        <w:t>）的计算</w:t>
      </w:r>
      <w:r w:rsidRPr="00D3274C">
        <w:br/>
        <w:t xml:space="preserve">       </w:t>
      </w:r>
      <w:r w:rsidRPr="00D3274C">
        <w:t>在期权定价框架中，违约行为发生于资产价值小于公司负债之时，但在实际生活中违约并不等于破产。</w:t>
      </w:r>
      <w:r w:rsidRPr="00D3274C">
        <w:t>KMV</w:t>
      </w:r>
      <w:r w:rsidRPr="00D3274C">
        <w:t>公司通过观测几百个公司样本，认为当资产价值达到总债务置于短期</w:t>
      </w:r>
      <w:r w:rsidRPr="00D3274C">
        <w:lastRenderedPageBreak/>
        <w:t>债务之间的某一点时公司才发生违约。因而资产价值低于债务总值的分位数可能并不是</w:t>
      </w:r>
      <w:r w:rsidRPr="00D3274C">
        <w:t>EDF</w:t>
      </w:r>
      <w:r w:rsidRPr="00D3274C">
        <w:t>的准确量度，主要有以下几个原因造成：资产收益率的非正态分布；资本结构的简化假设；一些未知的尚未支付的承诺协议等。</w:t>
      </w:r>
      <w:r w:rsidRPr="00D3274C">
        <w:br/>
        <w:t xml:space="preserve">      </w:t>
      </w:r>
      <w:r w:rsidRPr="00D3274C">
        <w:t>因而，</w:t>
      </w:r>
      <w:r w:rsidRPr="00D3274C">
        <w:t>KMV</w:t>
      </w:r>
      <w:r w:rsidRPr="00D3274C">
        <w:t>在计算</w:t>
      </w:r>
      <w:r w:rsidRPr="00D3274C">
        <w:t>EDF</w:t>
      </w:r>
      <w:r w:rsidRPr="00D3274C">
        <w:t>之前添加了一个计算</w:t>
      </w:r>
      <w:r w:rsidRPr="00D3274C">
        <w:t>“DD”</w:t>
      </w:r>
      <w:r w:rsidRPr="00D3274C">
        <w:t>（</w:t>
      </w:r>
      <w:r w:rsidRPr="00D3274C">
        <w:t>Distance to Default</w:t>
      </w:r>
      <w:r w:rsidRPr="00D3274C">
        <w:t>）阶段。所谓</w:t>
      </w:r>
      <w:r w:rsidRPr="00D3274C">
        <w:t>DD</w:t>
      </w:r>
      <w:r w:rsidRPr="00D3274C">
        <w:t>，指的是资产价值的均值与违约点之间的标准差的个数。</w:t>
      </w:r>
      <w:r w:rsidRPr="00D3274C">
        <w:br/>
        <w:t xml:space="preserve">       </w:t>
      </w:r>
      <w:r w:rsidRPr="00D3274C">
        <w:t>设：</w:t>
      </w:r>
      <w:r w:rsidRPr="00D3274C">
        <w:br/>
        <w:t>           STD</w:t>
      </w:r>
      <w:r w:rsidRPr="00D3274C">
        <w:t>：短期债务；</w:t>
      </w:r>
      <w:r w:rsidRPr="00D3274C">
        <w:br/>
        <w:t>           LTD</w:t>
      </w:r>
      <w:r w:rsidRPr="00D3274C">
        <w:t>：长期债务；</w:t>
      </w:r>
    </w:p>
    <w:p w:rsidR="00B42D16" w:rsidRPr="00D3274C" w:rsidRDefault="00B42D16" w:rsidP="00D3274C">
      <w:r w:rsidRPr="00D3274C">
        <w:br/>
      </w:r>
      <w:r w:rsidRPr="00D3274C">
        <w:br/>
      </w:r>
      <w:r w:rsidR="00FD7B94" w:rsidRPr="00D3274C">
        <w:drawing>
          <wp:inline distT="0" distB="0" distL="0" distR="0">
            <wp:extent cx="4457700" cy="5248275"/>
            <wp:effectExtent l="0" t="0" r="0" b="0"/>
            <wp:docPr id="2" name="图片 2" descr="2005111212095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0511121209539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57700" cy="5248275"/>
                    </a:xfrm>
                    <a:prstGeom prst="rect">
                      <a:avLst/>
                    </a:prstGeom>
                    <a:noFill/>
                    <a:ln>
                      <a:noFill/>
                    </a:ln>
                  </pic:spPr>
                </pic:pic>
              </a:graphicData>
            </a:graphic>
          </wp:inline>
        </w:drawing>
      </w:r>
      <w:r w:rsidRPr="00D3274C">
        <w:br/>
      </w:r>
      <w:r w:rsidR="00FD7B94" w:rsidRPr="00D3274C">
        <w:lastRenderedPageBreak/>
        <w:drawing>
          <wp:inline distT="0" distB="0" distL="0" distR="0">
            <wp:extent cx="4457700" cy="2466975"/>
            <wp:effectExtent l="0" t="0" r="0" b="0"/>
            <wp:docPr id="3" name="图片 3" descr="20051112121008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05111212100875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57700" cy="2466975"/>
                    </a:xfrm>
                    <a:prstGeom prst="rect">
                      <a:avLst/>
                    </a:prstGeom>
                    <a:noFill/>
                    <a:ln>
                      <a:noFill/>
                    </a:ln>
                  </pic:spPr>
                </pic:pic>
              </a:graphicData>
            </a:graphic>
          </wp:inline>
        </w:drawing>
      </w:r>
    </w:p>
    <w:p w:rsidR="00B42D16" w:rsidRPr="00D3274C" w:rsidRDefault="00B42D16" w:rsidP="00D3274C">
      <w:r w:rsidRPr="00D3274C">
        <w:t xml:space="preserve">       </w:t>
      </w:r>
      <w:r w:rsidRPr="00D3274C">
        <w:t>（</w:t>
      </w:r>
      <w:r w:rsidRPr="00D3274C">
        <w:t>2</w:t>
      </w:r>
      <w:r w:rsidRPr="00D3274C">
        <w:t>）</w:t>
      </w:r>
      <w:r w:rsidRPr="00D3274C">
        <w:t xml:space="preserve"> </w:t>
      </w:r>
      <w:r w:rsidRPr="00D3274C">
        <w:t>根据</w:t>
      </w:r>
      <w:r w:rsidRPr="00D3274C">
        <w:t>DD</w:t>
      </w:r>
      <w:r w:rsidRPr="00D3274C">
        <w:t>推导</w:t>
      </w:r>
      <w:r w:rsidRPr="00D3274C">
        <w:t>EDF</w:t>
      </w:r>
      <w:r w:rsidRPr="00D3274C">
        <w:br/>
        <w:t xml:space="preserve">      </w:t>
      </w:r>
      <w:r w:rsidRPr="00D3274C">
        <w:t>根据大量的公司样本历史数据，寻找估计给定时间水平下将违约，而实际也发生违约行为的给定信用等级的公司，这类公司的比例为</w:t>
      </w:r>
      <w:r w:rsidRPr="00D3274C">
        <w:t>DD</w:t>
      </w:r>
      <w:r w:rsidRPr="00D3274C">
        <w:t>，也就是该类的公司的</w:t>
      </w:r>
      <w:r w:rsidRPr="00D3274C">
        <w:t>EDF</w:t>
      </w:r>
      <w:r w:rsidRPr="00D3274C">
        <w:t>。</w:t>
      </w:r>
      <w:r w:rsidRPr="00D3274C">
        <w:br/>
        <w:t xml:space="preserve">      </w:t>
      </w:r>
      <w:r w:rsidRPr="00D3274C">
        <w:t>（</w:t>
      </w:r>
      <w:r w:rsidRPr="00D3274C">
        <w:t>3</w:t>
      </w:r>
      <w:r w:rsidRPr="00D3274C">
        <w:t>）</w:t>
      </w:r>
      <w:r w:rsidRPr="00D3274C">
        <w:t xml:space="preserve"> </w:t>
      </w:r>
      <w:r w:rsidRPr="00D3274C">
        <w:t>根据</w:t>
      </w:r>
      <w:r w:rsidRPr="00D3274C">
        <w:t>EDF</w:t>
      </w:r>
      <w:r w:rsidRPr="00D3274C">
        <w:t>预测违约行为</w:t>
      </w:r>
      <w:r w:rsidRPr="00D3274C">
        <w:br/>
        <w:t>      KMV</w:t>
      </w:r>
      <w:r w:rsidRPr="00D3274C">
        <w:t>从</w:t>
      </w:r>
      <w:r w:rsidRPr="00D3274C">
        <w:t>1993</w:t>
      </w:r>
      <w:r w:rsidRPr="00D3274C">
        <w:t>年开始，通过估计</w:t>
      </w:r>
      <w:r w:rsidRPr="00D3274C">
        <w:t>EDF</w:t>
      </w:r>
      <w:r w:rsidRPr="00D3274C">
        <w:t>来提供信用调控服务，并且证明了公司在违约之前的</w:t>
      </w:r>
      <w:r w:rsidRPr="00D3274C">
        <w:t>1~2</w:t>
      </w:r>
      <w:r w:rsidRPr="00D3274C">
        <w:t>年的时间里，其</w:t>
      </w:r>
      <w:r w:rsidRPr="00D3274C">
        <w:t>EDF</w:t>
      </w:r>
      <w:r w:rsidRPr="00D3274C">
        <w:t>会迅速增加。</w:t>
      </w:r>
      <w:r w:rsidRPr="00D3274C">
        <w:br/>
        <w:t>     EDF</w:t>
      </w:r>
      <w:r w:rsidRPr="00D3274C">
        <w:t>的变化类似于</w:t>
      </w:r>
      <w:r w:rsidRPr="00D3274C">
        <w:t>Moody</w:t>
      </w:r>
      <w:r w:rsidRPr="00D3274C">
        <w:t>和</w:t>
      </w:r>
      <w:r w:rsidRPr="00D3274C">
        <w:t>S&amp;P</w:t>
      </w:r>
      <w:r w:rsidRPr="00D3274C">
        <w:t>所作的降级评价工作，但是与</w:t>
      </w:r>
      <w:r w:rsidRPr="00D3274C">
        <w:t>Moody</w:t>
      </w:r>
      <w:r w:rsidRPr="00D3274C">
        <w:t>和</w:t>
      </w:r>
      <w:r w:rsidRPr="00D3274C">
        <w:t>S&amp;P</w:t>
      </w:r>
      <w:r w:rsidRPr="00D3274C">
        <w:t>不同的是，</w:t>
      </w:r>
      <w:r w:rsidRPr="00D3274C">
        <w:t>EDF</w:t>
      </w:r>
      <w:r w:rsidRPr="00D3274C">
        <w:t>不受违约周期的影响：在经济衰退时，违约率会变大，但</w:t>
      </w:r>
      <w:r w:rsidRPr="00D3274C">
        <w:t>EDF</w:t>
      </w:r>
      <w:r w:rsidRPr="00D3274C">
        <w:t>会减小；在经济繁荣时，</w:t>
      </w:r>
      <w:r w:rsidRPr="00D3274C">
        <w:t>DD</w:t>
      </w:r>
      <w:r w:rsidRPr="00D3274C">
        <w:t>则会增大。</w:t>
      </w:r>
      <w:r w:rsidRPr="00D3274C">
        <w:br/>
        <w:t xml:space="preserve">     </w:t>
      </w:r>
      <w:r w:rsidRPr="00D3274C">
        <w:t>三、定价模型</w:t>
      </w:r>
      <w:r w:rsidRPr="00D3274C">
        <w:br/>
        <w:t>     KMV</w:t>
      </w:r>
      <w:r w:rsidRPr="00D3274C">
        <w:t>的定价模型基于</w:t>
      </w:r>
      <w:r w:rsidRPr="00D3274C">
        <w:t>“</w:t>
      </w:r>
      <w:r w:rsidRPr="00D3274C">
        <w:t>风险中性</w:t>
      </w:r>
      <w:r w:rsidRPr="00D3274C">
        <w:t>”</w:t>
      </w:r>
      <w:r w:rsidRPr="00D3274C">
        <w:t>假设，也称为鞅测度法（</w:t>
      </w:r>
      <w:r w:rsidRPr="00D3274C">
        <w:t>martingale</w:t>
      </w:r>
      <w:r w:rsidRPr="00D3274C">
        <w:t>），即根据期望的远期现金流来推导。该期望值是依据所谓的风险中性概率，而不是市场历史数据得到的实际概率，也不是</w:t>
      </w:r>
      <w:r w:rsidRPr="00D3274C">
        <w:t>EDF</w:t>
      </w:r>
      <w:r w:rsidRPr="00D3274C">
        <w:t>。</w:t>
      </w:r>
      <w:r w:rsidRPr="00D3274C">
        <w:br/>
        <w:t xml:space="preserve">     </w:t>
      </w:r>
      <w:r w:rsidRPr="00D3274C">
        <w:t>（</w:t>
      </w:r>
      <w:r w:rsidRPr="00D3274C">
        <w:t>1</w:t>
      </w:r>
      <w:r w:rsidRPr="00D3274C">
        <w:t>）</w:t>
      </w:r>
      <w:r w:rsidRPr="00D3274C">
        <w:t xml:space="preserve"> </w:t>
      </w:r>
      <w:r w:rsidRPr="00D3274C">
        <w:t>风险现金流的定价</w:t>
      </w:r>
      <w:r w:rsidRPr="00D3274C">
        <w:br/>
        <w:t xml:space="preserve">      </w:t>
      </w:r>
      <w:r w:rsidRPr="00D3274C">
        <w:t>定价过程大致可以分为三步：首先对无违约风险的部分进行定价，然后是对暴露于违约风险的那部分进行定价，最后将二者合并。</w:t>
      </w:r>
    </w:p>
    <w:p w:rsidR="00B42D16" w:rsidRPr="00D3274C" w:rsidRDefault="00B42D16" w:rsidP="00D3274C">
      <w:r w:rsidRPr="00D3274C">
        <w:br/>
      </w:r>
      <w:r w:rsidR="00FD7B94" w:rsidRPr="00D3274C">
        <w:drawing>
          <wp:inline distT="0" distB="0" distL="0" distR="0">
            <wp:extent cx="4457700" cy="2466975"/>
            <wp:effectExtent l="0" t="0" r="0" b="0"/>
            <wp:docPr id="4" name="图片 4" descr="20051112121008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005111212100875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57700" cy="2466975"/>
                    </a:xfrm>
                    <a:prstGeom prst="rect">
                      <a:avLst/>
                    </a:prstGeom>
                    <a:noFill/>
                    <a:ln>
                      <a:noFill/>
                    </a:ln>
                  </pic:spPr>
                </pic:pic>
              </a:graphicData>
            </a:graphic>
          </wp:inline>
        </w:drawing>
      </w:r>
      <w:r w:rsidRPr="00D3274C">
        <w:br/>
        <w:t> </w:t>
      </w:r>
    </w:p>
    <w:p w:rsidR="00B42D16" w:rsidRPr="00D3274C" w:rsidRDefault="00B42D16" w:rsidP="00D3274C">
      <w:r w:rsidRPr="00D3274C">
        <w:lastRenderedPageBreak/>
        <w:t xml:space="preserve">      </w:t>
      </w:r>
      <w:r w:rsidRPr="00D3274C">
        <w:t>（</w:t>
      </w:r>
      <w:r w:rsidRPr="00D3274C">
        <w:t>2</w:t>
      </w:r>
      <w:r w:rsidRPr="00D3274C">
        <w:t>）</w:t>
      </w:r>
      <w:r w:rsidRPr="00D3274C">
        <w:t xml:space="preserve"> </w:t>
      </w:r>
      <w:r w:rsidRPr="00D3274C">
        <w:t>风险中性</w:t>
      </w:r>
      <w:r w:rsidRPr="00D3274C">
        <w:t>EDF</w:t>
      </w:r>
      <w:r w:rsidRPr="00D3274C">
        <w:t>的推导</w:t>
      </w:r>
    </w:p>
    <w:p w:rsidR="00B42D16" w:rsidRPr="00D3274C" w:rsidRDefault="00B42D16" w:rsidP="00D3274C">
      <w:r w:rsidRPr="00D3274C">
        <w:br/>
        <w:t> </w:t>
      </w:r>
    </w:p>
    <w:p w:rsidR="00B42D16" w:rsidRPr="00D3274C" w:rsidRDefault="00FD7B94" w:rsidP="00D3274C">
      <w:r w:rsidRPr="00D3274C">
        <w:drawing>
          <wp:inline distT="0" distB="0" distL="0" distR="0">
            <wp:extent cx="4457700" cy="3514725"/>
            <wp:effectExtent l="0" t="0" r="0" b="0"/>
            <wp:docPr id="5" name="图片 5" descr="20051112121020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0511121210202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57700" cy="3514725"/>
                    </a:xfrm>
                    <a:prstGeom prst="rect">
                      <a:avLst/>
                    </a:prstGeom>
                    <a:noFill/>
                    <a:ln>
                      <a:noFill/>
                    </a:ln>
                  </pic:spPr>
                </pic:pic>
              </a:graphicData>
            </a:graphic>
          </wp:inline>
        </w:drawing>
      </w:r>
    </w:p>
    <w:p w:rsidR="00B42D16" w:rsidRPr="00D3274C" w:rsidRDefault="00B42D16" w:rsidP="00D3274C">
      <w:r w:rsidRPr="00D3274C">
        <w:t xml:space="preserve">      </w:t>
      </w:r>
      <w:r w:rsidRPr="00D3274C">
        <w:t>四、</w:t>
      </w:r>
      <w:r w:rsidRPr="00D3274C">
        <w:t>KMV</w:t>
      </w:r>
      <w:r w:rsidRPr="00D3274C">
        <w:t>模型的评价</w:t>
      </w:r>
      <w:r w:rsidRPr="00D3274C">
        <w:br/>
        <w:t>      KMV</w:t>
      </w:r>
      <w:r w:rsidRPr="00D3274C">
        <w:t>是运用现代期权定价理论建立起来的违约预测模型，是对传统信用风险度量方法的一次重要革命。首先，</w:t>
      </w:r>
      <w:r w:rsidRPr="00D3274C">
        <w:t>KMV</w:t>
      </w:r>
      <w:r w:rsidRPr="00D3274C">
        <w:t>可以充分利用资本市场上的信息，对所有公开上市企业进行信用风险的量化和分析；其次，由于该模型所获取的数据来自股票市场的资料，而非企业的历史数据，因而更能反映企业当前的信用状况，具有前瞻性，其预测能力更强、更及时，也更准确；另外，</w:t>
      </w:r>
      <w:r w:rsidRPr="00D3274C">
        <w:t>KMV</w:t>
      </w:r>
      <w:r w:rsidRPr="00D3274C">
        <w:t>模型建立在当代公司理财理论和期权理论的基础之上，具有很强的理论基础做依托。</w:t>
      </w:r>
      <w:r w:rsidRPr="00D3274C">
        <w:br/>
        <w:t xml:space="preserve">      </w:t>
      </w:r>
      <w:r w:rsidRPr="00D3274C">
        <w:t>但是，</w:t>
      </w:r>
      <w:r w:rsidRPr="00D3274C">
        <w:t>KMV</w:t>
      </w:r>
      <w:r w:rsidRPr="00D3274C">
        <w:t>模型与其他已有的模型一样，仍然存在许多缺陷。首先，模型的使用范围由一定的局限性。通常，该模型特别适用于上市公司的信用风险评估，而对非上市公司进行应用时，往往要借助一些会计信息或其他能够反映借款企业特征值的指标来替代模型中一些重要变量，</w:t>
      </w:r>
      <w:bookmarkStart w:id="0" w:name="_GoBack"/>
      <w:bookmarkEnd w:id="0"/>
      <w:r w:rsidRPr="00D3274C">
        <w:t>同时还要通过对比分析最终得出该企业的期望违约概率，在一定程度上就有可能降低计算的准确性。其次，该模型架设公司的资产价值服从正态分布，而实际中企业的资产价值一般会呈现非正态的统计特征。再次，模型不能够对债务的不同类型进行区分，如偿还优先顺序、担保、契约等类型，使得模型的输出变量的计算结果不准确。</w:t>
      </w:r>
    </w:p>
    <w:p w:rsidR="001436A7" w:rsidRPr="00D3274C" w:rsidRDefault="001436A7" w:rsidP="00D3274C">
      <w:pPr>
        <w:rPr>
          <w:rFonts w:hint="eastAsia"/>
        </w:rPr>
      </w:pPr>
    </w:p>
    <w:sectPr w:rsidR="001436A7" w:rsidRPr="00D3274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D16"/>
    <w:rsid w:val="001436A7"/>
    <w:rsid w:val="00233CC5"/>
    <w:rsid w:val="0053632B"/>
    <w:rsid w:val="0082449E"/>
    <w:rsid w:val="00B42D16"/>
    <w:rsid w:val="00BC5226"/>
    <w:rsid w:val="00D3274C"/>
    <w:rsid w:val="00FD7B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A5D8E08-08DF-4057-8236-876579401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5582849">
      <w:bodyDiv w:val="1"/>
      <w:marLeft w:val="0"/>
      <w:marRight w:val="0"/>
      <w:marTop w:val="0"/>
      <w:marBottom w:val="0"/>
      <w:divBdr>
        <w:top w:val="none" w:sz="0" w:space="0" w:color="auto"/>
        <w:left w:val="none" w:sz="0" w:space="0" w:color="auto"/>
        <w:bottom w:val="none" w:sz="0" w:space="0" w:color="auto"/>
        <w:right w:val="none" w:sz="0" w:space="0" w:color="auto"/>
      </w:divBdr>
      <w:divsChild>
        <w:div w:id="1595699927">
          <w:marLeft w:val="0"/>
          <w:marRight w:val="0"/>
          <w:marTop w:val="0"/>
          <w:marBottom w:val="0"/>
          <w:divBdr>
            <w:top w:val="none" w:sz="0" w:space="0" w:color="auto"/>
            <w:left w:val="none" w:sz="0" w:space="0" w:color="auto"/>
            <w:bottom w:val="none" w:sz="0" w:space="0" w:color="auto"/>
            <w:right w:val="none" w:sz="0" w:space="0" w:color="auto"/>
          </w:divBdr>
          <w:divsChild>
            <w:div w:id="1492018486">
              <w:marLeft w:val="0"/>
              <w:marRight w:val="0"/>
              <w:marTop w:val="0"/>
              <w:marBottom w:val="0"/>
              <w:divBdr>
                <w:top w:val="none" w:sz="0" w:space="0" w:color="auto"/>
                <w:left w:val="single" w:sz="6" w:space="0" w:color="D7E4EE"/>
                <w:bottom w:val="single" w:sz="6" w:space="0" w:color="D7E4EE"/>
                <w:right w:val="single" w:sz="6" w:space="0" w:color="D7E4EE"/>
              </w:divBdr>
              <w:divsChild>
                <w:div w:id="123751960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335</Words>
  <Characters>1916</Characters>
  <Application>Microsoft Office Word</Application>
  <DocSecurity>0</DocSecurity>
  <Lines>15</Lines>
  <Paragraphs>4</Paragraphs>
  <ScaleCrop>false</ScaleCrop>
  <Company/>
  <LinksUpToDate>false</LinksUpToDate>
  <CharactersWithSpaces>2247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KMV模型主要是基于以下两点建立起来的：</dc:title>
  <dc:subject/>
  <dc:creator>CCB</dc:creator>
  <cp:keywords/>
  <dc:description/>
  <cp:lastModifiedBy>Yankun Zhang</cp:lastModifiedBy>
  <cp:revision>5</cp:revision>
  <dcterms:created xsi:type="dcterms:W3CDTF">2015-04-28T17:42:00Z</dcterms:created>
  <dcterms:modified xsi:type="dcterms:W3CDTF">2015-04-28T17:42:00Z</dcterms:modified>
</cp:coreProperties>
</file>