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605" w:rsidRPr="001773A9" w:rsidRDefault="00761605" w:rsidP="00761605">
      <w:pPr>
        <w:rPr>
          <w:rFonts w:asciiTheme="minorEastAsia" w:hAnsiTheme="minorEastAsia" w:hint="eastAsia"/>
        </w:rPr>
      </w:pPr>
      <w:bookmarkStart w:id="0" w:name="_GoBack"/>
      <w:r w:rsidRPr="001773A9">
        <w:rPr>
          <w:rFonts w:asciiTheme="minorEastAsia" w:hAnsiTheme="minorEastAsia" w:hint="eastAsia"/>
        </w:rPr>
        <w:t xml:space="preserve">                    KMV模型的实现与应用</w:t>
      </w:r>
    </w:p>
    <w:p w:rsidR="00761605" w:rsidRPr="001773A9" w:rsidRDefault="00761605" w:rsidP="00761605">
      <w:pPr>
        <w:rPr>
          <w:rFonts w:asciiTheme="minorEastAsia" w:hAnsiTheme="minorEastAsia"/>
        </w:rPr>
      </w:pPr>
      <w:r w:rsidRPr="001773A9">
        <w:rPr>
          <w:rFonts w:asciiTheme="minorEastAsia" w:hAnsiTheme="minorEastAsia" w:hint="eastAsia"/>
        </w:rPr>
        <w:t>摘要</w:t>
      </w:r>
      <w:r w:rsidRPr="001773A9">
        <w:rPr>
          <w:rFonts w:asciiTheme="minorEastAsia" w:hAnsiTheme="minorEastAsia"/>
        </w:rPr>
        <w:t>:</w:t>
      </w:r>
      <w:r w:rsidRPr="001773A9">
        <w:rPr>
          <w:rFonts w:asciiTheme="minorEastAsia" w:hAnsiTheme="minorEastAsia" w:hint="eastAsia"/>
        </w:rPr>
        <w:t>根据我国资本市场的特点</w:t>
      </w:r>
      <w:r w:rsidRPr="001773A9">
        <w:rPr>
          <w:rFonts w:asciiTheme="minorEastAsia" w:hAnsiTheme="minorEastAsia"/>
        </w:rPr>
        <w:t>,</w:t>
      </w:r>
      <w:r w:rsidRPr="001773A9">
        <w:rPr>
          <w:rFonts w:asciiTheme="minorEastAsia" w:hAnsiTheme="minorEastAsia" w:hint="eastAsia"/>
        </w:rPr>
        <w:t>选取</w:t>
      </w:r>
      <w:r w:rsidRPr="001773A9">
        <w:rPr>
          <w:rFonts w:asciiTheme="minorEastAsia" w:hAnsiTheme="minorEastAsia"/>
        </w:rPr>
        <w:t>KMV</w:t>
      </w:r>
      <w:r w:rsidRPr="001773A9">
        <w:rPr>
          <w:rFonts w:asciiTheme="minorEastAsia" w:hAnsiTheme="minorEastAsia" w:hint="eastAsia"/>
        </w:rPr>
        <w:t>模型的相关参数</w:t>
      </w:r>
      <w:r w:rsidRPr="001773A9">
        <w:rPr>
          <w:rFonts w:asciiTheme="minorEastAsia" w:hAnsiTheme="minorEastAsia"/>
        </w:rPr>
        <w:t>,</w:t>
      </w:r>
      <w:r w:rsidRPr="001773A9">
        <w:rPr>
          <w:rFonts w:asciiTheme="minorEastAsia" w:hAnsiTheme="minorEastAsia" w:hint="eastAsia"/>
        </w:rPr>
        <w:t>使用上市公司在某国有商业银行贷款不良率替代其违约率</w:t>
      </w:r>
      <w:r w:rsidRPr="001773A9">
        <w:rPr>
          <w:rFonts w:asciiTheme="minorEastAsia" w:hAnsiTheme="minorEastAsia"/>
        </w:rPr>
        <w:t>,</w:t>
      </w:r>
      <w:r w:rsidRPr="001773A9">
        <w:rPr>
          <w:rFonts w:asciiTheme="minorEastAsia" w:hAnsiTheme="minorEastAsia" w:hint="eastAsia"/>
        </w:rPr>
        <w:t>拟合出贷款不良率与违约距离的函数关系</w:t>
      </w:r>
      <w:r w:rsidRPr="001773A9">
        <w:rPr>
          <w:rFonts w:ascii="MS Mincho" w:eastAsia="MS Mincho" w:hAnsi="MS Mincho" w:cs="MS Mincho" w:hint="eastAsia"/>
        </w:rPr>
        <w:t>｡</w:t>
      </w:r>
      <w:r w:rsidRPr="001773A9">
        <w:rPr>
          <w:rFonts w:asciiTheme="minorEastAsia" w:hAnsiTheme="minorEastAsia" w:cs="宋体" w:hint="eastAsia"/>
        </w:rPr>
        <w:t>实证结果表明</w:t>
      </w:r>
      <w:r w:rsidRPr="001773A9">
        <w:rPr>
          <w:rFonts w:asciiTheme="minorEastAsia" w:hAnsiTheme="minorEastAsia"/>
        </w:rPr>
        <w:t>,</w:t>
      </w:r>
      <w:r w:rsidRPr="001773A9">
        <w:rPr>
          <w:rFonts w:asciiTheme="minorEastAsia" w:hAnsiTheme="minorEastAsia" w:hint="eastAsia"/>
        </w:rPr>
        <w:t>在</w:t>
      </w:r>
      <w:r w:rsidRPr="001773A9">
        <w:rPr>
          <w:rFonts w:asciiTheme="minorEastAsia" w:hAnsiTheme="minorEastAsia"/>
        </w:rPr>
        <w:t>KMV</w:t>
      </w:r>
      <w:r w:rsidRPr="001773A9">
        <w:rPr>
          <w:rFonts w:asciiTheme="minorEastAsia" w:hAnsiTheme="minorEastAsia" w:hint="eastAsia"/>
        </w:rPr>
        <w:t>模型使用不良率替代违约率计量上市公司的信用风险的方法是可行的</w:t>
      </w:r>
      <w:r w:rsidRPr="001773A9">
        <w:rPr>
          <w:rFonts w:ascii="MS Mincho" w:eastAsia="MS Mincho" w:hAnsi="MS Mincho" w:cs="MS Mincho" w:hint="eastAsia"/>
        </w:rPr>
        <w:t>｡</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关键词:贷款不良率;违约率;KMV模型;信用风险</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Abstract: On the base of the particularity of China＇s stock market， selecting the parameters of the KMV model and using the data from one commercial bank， we adopt non-performing loans(NPLs)ratio to substitute expect default frequency(EDF) to fit the fun</w:t>
      </w:r>
      <w:r w:rsidRPr="001773A9">
        <w:rPr>
          <w:rFonts w:asciiTheme="minorEastAsia" w:hAnsiTheme="minorEastAsia"/>
        </w:rPr>
        <w:t xml:space="preserve">ction between NPLs ratio and distance to default (DD). The results show that the method that using NPLs ratio to substitute EDF to estimate the credit risks of listed companies is feasible.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Key words: non-performing loans ratio; expect default frequency</w:t>
      </w:r>
      <w:r w:rsidRPr="001773A9">
        <w:rPr>
          <w:rFonts w:asciiTheme="minorEastAsia" w:hAnsiTheme="minorEastAsia" w:hint="eastAsia"/>
        </w:rPr>
        <w:t xml:space="preserve">; KMV model; credit risks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proofErr w:type="gramStart"/>
      <w:r w:rsidRPr="001773A9">
        <w:rPr>
          <w:rFonts w:asciiTheme="minorEastAsia" w:hAnsiTheme="minorEastAsia" w:hint="eastAsia"/>
        </w:rPr>
        <w:t>一</w:t>
      </w:r>
      <w:proofErr w:type="gramEnd"/>
      <w:r w:rsidRPr="001773A9">
        <w:rPr>
          <w:rFonts w:ascii="MS Mincho" w:eastAsia="MS Mincho" w:hAnsi="MS Mincho" w:cs="MS Mincho" w:hint="eastAsia"/>
        </w:rPr>
        <w:t>､</w:t>
      </w:r>
      <w:r w:rsidRPr="001773A9">
        <w:rPr>
          <w:rFonts w:asciiTheme="minorEastAsia" w:hAnsiTheme="minorEastAsia" w:cs="宋体" w:hint="eastAsia"/>
        </w:rPr>
        <w:t>引言</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商业银行的风险管理一直是国际国内金融界关注的焦点</w:t>
      </w:r>
      <w:r w:rsidRPr="001773A9">
        <w:rPr>
          <w:rFonts w:asciiTheme="minorEastAsia" w:hAnsiTheme="minorEastAsia"/>
        </w:rPr>
        <w:t>,</w:t>
      </w:r>
      <w:r w:rsidRPr="001773A9">
        <w:rPr>
          <w:rFonts w:asciiTheme="minorEastAsia" w:hAnsiTheme="minorEastAsia" w:hint="eastAsia"/>
        </w:rPr>
        <w:t>而风险计量技术则是风险管理的核心</w:t>
      </w:r>
      <w:r w:rsidRPr="001773A9">
        <w:rPr>
          <w:rFonts w:ascii="MS Mincho" w:eastAsia="MS Mincho" w:hAnsi="MS Mincho" w:cs="MS Mincho" w:hint="eastAsia"/>
        </w:rPr>
        <w:t>｡</w:t>
      </w:r>
      <w:r w:rsidRPr="001773A9">
        <w:rPr>
          <w:rFonts w:asciiTheme="minorEastAsia" w:hAnsiTheme="minorEastAsia" w:cs="宋体" w:hint="eastAsia"/>
        </w:rPr>
        <w:t>基于资本市场的发展和信息技术的提高</w:t>
      </w:r>
      <w:r w:rsidRPr="001773A9">
        <w:rPr>
          <w:rFonts w:asciiTheme="minorEastAsia" w:hAnsiTheme="minorEastAsia"/>
        </w:rPr>
        <w:t>,</w:t>
      </w:r>
      <w:r w:rsidRPr="001773A9">
        <w:rPr>
          <w:rFonts w:asciiTheme="minorEastAsia" w:hAnsiTheme="minorEastAsia" w:hint="eastAsia"/>
        </w:rPr>
        <w:t>国际金融市场上开发了如</w:t>
      </w:r>
      <w:proofErr w:type="spellStart"/>
      <w:r w:rsidRPr="001773A9">
        <w:rPr>
          <w:rFonts w:asciiTheme="minorEastAsia" w:hAnsiTheme="minorEastAsia"/>
        </w:rPr>
        <w:t>Creditmetrics</w:t>
      </w:r>
      <w:proofErr w:type="spellEnd"/>
      <w:r w:rsidRPr="001773A9">
        <w:rPr>
          <w:rFonts w:asciiTheme="minorEastAsia" w:hAnsiTheme="minorEastAsia" w:hint="eastAsia"/>
        </w:rPr>
        <w:t>模型</w:t>
      </w:r>
      <w:r w:rsidRPr="001773A9">
        <w:rPr>
          <w:rFonts w:ascii="MS Mincho" w:eastAsia="MS Mincho" w:hAnsi="MS Mincho" w:cs="MS Mincho" w:hint="eastAsia"/>
        </w:rPr>
        <w:t>､</w:t>
      </w:r>
      <w:r w:rsidRPr="001773A9">
        <w:rPr>
          <w:rFonts w:asciiTheme="minorEastAsia" w:hAnsiTheme="minorEastAsia"/>
        </w:rPr>
        <w:t>KMV</w:t>
      </w:r>
      <w:r w:rsidRPr="001773A9">
        <w:rPr>
          <w:rFonts w:asciiTheme="minorEastAsia" w:hAnsiTheme="minorEastAsia" w:hint="eastAsia"/>
        </w:rPr>
        <w:t>模型</w:t>
      </w:r>
      <w:r w:rsidRPr="001773A9">
        <w:rPr>
          <w:rFonts w:ascii="MS Mincho" w:eastAsia="MS Mincho" w:hAnsi="MS Mincho" w:cs="MS Mincho" w:hint="eastAsia"/>
        </w:rPr>
        <w:t>､</w:t>
      </w:r>
      <w:r w:rsidRPr="001773A9">
        <w:rPr>
          <w:rFonts w:asciiTheme="minorEastAsia" w:hAnsiTheme="minorEastAsia"/>
        </w:rPr>
        <w:t>Credit Risk</w:t>
      </w:r>
      <w:r w:rsidRPr="001773A9">
        <w:rPr>
          <w:rFonts w:asciiTheme="minorEastAsia" w:hAnsiTheme="minorEastAsia" w:hint="eastAsia"/>
        </w:rPr>
        <w:t>模型和</w:t>
      </w:r>
      <w:r w:rsidRPr="001773A9">
        <w:rPr>
          <w:rFonts w:asciiTheme="minorEastAsia" w:hAnsiTheme="minorEastAsia"/>
        </w:rPr>
        <w:t>Credit Portfolio View</w:t>
      </w:r>
      <w:r w:rsidRPr="001773A9">
        <w:rPr>
          <w:rFonts w:asciiTheme="minorEastAsia" w:hAnsiTheme="minorEastAsia" w:hint="eastAsia"/>
        </w:rPr>
        <w:t>模型</w:t>
      </w:r>
      <w:r w:rsidRPr="001773A9">
        <w:rPr>
          <w:rFonts w:ascii="MS Mincho" w:eastAsia="MS Mincho" w:hAnsi="MS Mincho" w:cs="MS Mincho" w:hint="eastAsia"/>
        </w:rPr>
        <w:t>｡</w:t>
      </w:r>
      <w:r w:rsidRPr="001773A9">
        <w:rPr>
          <w:rFonts w:asciiTheme="minorEastAsia" w:hAnsiTheme="minorEastAsia" w:cs="宋体" w:hint="eastAsia"/>
        </w:rPr>
        <w:t>其中的</w:t>
      </w:r>
      <w:r w:rsidRPr="001773A9">
        <w:rPr>
          <w:rFonts w:asciiTheme="minorEastAsia" w:hAnsiTheme="minorEastAsia"/>
        </w:rPr>
        <w:t>KMV</w:t>
      </w:r>
      <w:r w:rsidRPr="001773A9">
        <w:rPr>
          <w:rFonts w:asciiTheme="minorEastAsia" w:hAnsiTheme="minorEastAsia" w:hint="eastAsia"/>
        </w:rPr>
        <w:t>模型基于</w:t>
      </w:r>
      <w:r w:rsidRPr="001773A9">
        <w:rPr>
          <w:rFonts w:asciiTheme="minorEastAsia" w:hAnsiTheme="minorEastAsia"/>
        </w:rPr>
        <w:t>Black-Scholes</w:t>
      </w:r>
      <w:r w:rsidRPr="001773A9">
        <w:rPr>
          <w:rFonts w:asciiTheme="minorEastAsia" w:hAnsiTheme="minorEastAsia" w:hint="eastAsia"/>
        </w:rPr>
        <w:t>和</w:t>
      </w:r>
      <w:r w:rsidRPr="001773A9">
        <w:rPr>
          <w:rFonts w:asciiTheme="minorEastAsia" w:hAnsiTheme="minorEastAsia"/>
        </w:rPr>
        <w:t>Merton</w:t>
      </w:r>
      <w:r w:rsidRPr="001773A9">
        <w:rPr>
          <w:rFonts w:asciiTheme="minorEastAsia" w:hAnsiTheme="minorEastAsia" w:hint="eastAsia"/>
        </w:rPr>
        <w:t>期权定价理论</w:t>
      </w:r>
      <w:r w:rsidRPr="001773A9">
        <w:rPr>
          <w:rFonts w:asciiTheme="minorEastAsia" w:hAnsiTheme="minorEastAsia"/>
        </w:rPr>
        <w:t>,</w:t>
      </w:r>
      <w:r w:rsidRPr="001773A9">
        <w:rPr>
          <w:rFonts w:asciiTheme="minorEastAsia" w:hAnsiTheme="minorEastAsia" w:hint="eastAsia"/>
        </w:rPr>
        <w:t>主要采用股票市场数据</w:t>
      </w:r>
      <w:r w:rsidRPr="001773A9">
        <w:rPr>
          <w:rFonts w:asciiTheme="minorEastAsia" w:hAnsiTheme="minorEastAsia"/>
        </w:rPr>
        <w:t>,</w:t>
      </w:r>
      <w:r w:rsidRPr="001773A9">
        <w:rPr>
          <w:rFonts w:asciiTheme="minorEastAsia" w:hAnsiTheme="minorEastAsia" w:hint="eastAsia"/>
        </w:rPr>
        <w:t>因此数据和结果更新速度快</w:t>
      </w:r>
      <w:r w:rsidRPr="001773A9">
        <w:rPr>
          <w:rFonts w:asciiTheme="minorEastAsia" w:hAnsiTheme="minorEastAsia"/>
        </w:rPr>
        <w:t>,</w:t>
      </w:r>
      <w:r w:rsidRPr="001773A9">
        <w:rPr>
          <w:rFonts w:asciiTheme="minorEastAsia" w:hAnsiTheme="minorEastAsia" w:hint="eastAsia"/>
        </w:rPr>
        <w:t>具有前瞻性</w:t>
      </w:r>
      <w:r w:rsidRPr="001773A9">
        <w:rPr>
          <w:rFonts w:asciiTheme="minorEastAsia" w:hAnsiTheme="minorEastAsia"/>
        </w:rPr>
        <w:t>,</w:t>
      </w:r>
      <w:r w:rsidRPr="001773A9">
        <w:rPr>
          <w:rFonts w:asciiTheme="minorEastAsia" w:hAnsiTheme="minorEastAsia" w:hint="eastAsia"/>
        </w:rPr>
        <w:t>现已成为当今世界著名的信用风险计量工具之一</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KMV</w:t>
      </w:r>
      <w:r w:rsidRPr="001773A9">
        <w:rPr>
          <w:rFonts w:asciiTheme="minorEastAsia" w:hAnsiTheme="minorEastAsia" w:hint="eastAsia"/>
        </w:rPr>
        <w:t>模型自</w:t>
      </w:r>
      <w:r w:rsidRPr="001773A9">
        <w:rPr>
          <w:rFonts w:asciiTheme="minorEastAsia" w:hAnsiTheme="minorEastAsia"/>
        </w:rPr>
        <w:t>1993</w:t>
      </w:r>
      <w:r w:rsidRPr="001773A9">
        <w:rPr>
          <w:rFonts w:asciiTheme="minorEastAsia" w:hAnsiTheme="minorEastAsia" w:hint="eastAsia"/>
        </w:rPr>
        <w:t>年推出以来</w:t>
      </w:r>
      <w:r w:rsidRPr="001773A9">
        <w:rPr>
          <w:rFonts w:asciiTheme="minorEastAsia" w:hAnsiTheme="minorEastAsia"/>
        </w:rPr>
        <w:t>,</w:t>
      </w:r>
      <w:r w:rsidRPr="001773A9">
        <w:rPr>
          <w:rFonts w:asciiTheme="minorEastAsia" w:hAnsiTheme="minorEastAsia" w:hint="eastAsia"/>
        </w:rPr>
        <w:t>国外学术界对</w:t>
      </w:r>
      <w:r w:rsidRPr="001773A9">
        <w:rPr>
          <w:rFonts w:asciiTheme="minorEastAsia" w:hAnsiTheme="minorEastAsia"/>
        </w:rPr>
        <w:t>KMV</w:t>
      </w:r>
      <w:r w:rsidRPr="001773A9">
        <w:rPr>
          <w:rFonts w:asciiTheme="minorEastAsia" w:hAnsiTheme="minorEastAsia" w:hint="eastAsia"/>
        </w:rPr>
        <w:t>模型的研究经历了两个阶段</w:t>
      </w:r>
      <w:r w:rsidRPr="001773A9">
        <w:rPr>
          <w:rFonts w:asciiTheme="minorEastAsia" w:hAnsiTheme="minorEastAsia"/>
        </w:rPr>
        <w:t>:</w:t>
      </w:r>
      <w:r w:rsidRPr="001773A9">
        <w:rPr>
          <w:rFonts w:asciiTheme="minorEastAsia" w:hAnsiTheme="minorEastAsia" w:hint="eastAsia"/>
        </w:rPr>
        <w:t>第一阶段是将</w:t>
      </w:r>
      <w:r w:rsidRPr="001773A9">
        <w:rPr>
          <w:rFonts w:asciiTheme="minorEastAsia" w:hAnsiTheme="minorEastAsia"/>
        </w:rPr>
        <w:t>KMV</w:t>
      </w:r>
      <w:r w:rsidRPr="001773A9">
        <w:rPr>
          <w:rFonts w:asciiTheme="minorEastAsia" w:hAnsiTheme="minorEastAsia" w:hint="eastAsia"/>
        </w:rPr>
        <w:t>模型的预测结果与实际的违约数据相比较</w:t>
      </w:r>
      <w:r w:rsidRPr="001773A9">
        <w:rPr>
          <w:rFonts w:asciiTheme="minorEastAsia" w:hAnsiTheme="minorEastAsia"/>
        </w:rPr>
        <w:t>,</w:t>
      </w:r>
      <w:r w:rsidRPr="001773A9">
        <w:rPr>
          <w:rFonts w:asciiTheme="minorEastAsia" w:hAnsiTheme="minorEastAsia" w:hint="eastAsia"/>
        </w:rPr>
        <w:t>大多数研究结果表明</w:t>
      </w:r>
      <w:r w:rsidRPr="001773A9">
        <w:rPr>
          <w:rFonts w:asciiTheme="minorEastAsia" w:hAnsiTheme="minorEastAsia"/>
        </w:rPr>
        <w:t>,KMV</w:t>
      </w:r>
      <w:r w:rsidRPr="001773A9">
        <w:rPr>
          <w:rFonts w:asciiTheme="minorEastAsia" w:hAnsiTheme="minorEastAsia" w:hint="eastAsia"/>
        </w:rPr>
        <w:t>模型能够反映信用风险的高低</w:t>
      </w:r>
      <w:r w:rsidRPr="001773A9">
        <w:rPr>
          <w:rFonts w:asciiTheme="minorEastAsia" w:hAnsiTheme="minorEastAsia"/>
        </w:rPr>
        <w:t>,</w:t>
      </w:r>
      <w:r w:rsidRPr="001773A9">
        <w:rPr>
          <w:rFonts w:asciiTheme="minorEastAsia" w:hAnsiTheme="minorEastAsia" w:hint="eastAsia"/>
        </w:rPr>
        <w:t>并对信用风险具有很高的敏感性</w:t>
      </w:r>
      <w:r w:rsidRPr="001773A9">
        <w:rPr>
          <w:rFonts w:ascii="MS Mincho" w:eastAsia="MS Mincho" w:hAnsi="MS Mincho" w:cs="MS Mincho" w:hint="eastAsia"/>
        </w:rPr>
        <w:t>｡</w:t>
      </w:r>
      <w:r w:rsidRPr="001773A9">
        <w:rPr>
          <w:rFonts w:asciiTheme="minorEastAsia" w:hAnsiTheme="minorEastAsia" w:cs="宋体" w:hint="eastAsia"/>
        </w:rPr>
        <w:t>第二阶段</w:t>
      </w:r>
      <w:r w:rsidRPr="001773A9">
        <w:rPr>
          <w:rFonts w:asciiTheme="minorEastAsia" w:hAnsiTheme="minorEastAsia"/>
        </w:rPr>
        <w:t>,</w:t>
      </w:r>
      <w:r w:rsidRPr="001773A9">
        <w:rPr>
          <w:rFonts w:asciiTheme="minorEastAsia" w:hAnsiTheme="minorEastAsia" w:hint="eastAsia"/>
        </w:rPr>
        <w:t>国外学术界对模型的验证寻找到新的角度</w:t>
      </w:r>
      <w:r w:rsidRPr="001773A9">
        <w:rPr>
          <w:rFonts w:asciiTheme="minorEastAsia" w:hAnsiTheme="minorEastAsia"/>
        </w:rPr>
        <w:t>,</w:t>
      </w:r>
      <w:r w:rsidRPr="001773A9">
        <w:rPr>
          <w:rFonts w:asciiTheme="minorEastAsia" w:hAnsiTheme="minorEastAsia" w:hint="eastAsia"/>
        </w:rPr>
        <w:t>并开发出多种验证模型有效性的方法和技术</w:t>
      </w:r>
      <w:r w:rsidRPr="001773A9">
        <w:rPr>
          <w:rFonts w:ascii="MS Mincho" w:eastAsia="MS Mincho" w:hAnsi="MS Mincho" w:cs="MS Mincho" w:hint="eastAsia"/>
        </w:rPr>
        <w:t>｡</w:t>
      </w:r>
      <w:r w:rsidRPr="001773A9">
        <w:rPr>
          <w:rFonts w:asciiTheme="minorEastAsia" w:hAnsiTheme="minorEastAsia" w:cs="宋体" w:hint="eastAsia"/>
        </w:rPr>
        <w:t>我国学者主要对模型在我国适应性和参数调整方面进行了许多探讨</w:t>
      </w:r>
      <w:r w:rsidRPr="001773A9">
        <w:rPr>
          <w:rFonts w:asciiTheme="minorEastAsia" w:hAnsiTheme="minorEastAsia"/>
        </w:rPr>
        <w:t>,</w:t>
      </w:r>
      <w:r w:rsidRPr="001773A9">
        <w:rPr>
          <w:rFonts w:asciiTheme="minorEastAsia" w:hAnsiTheme="minorEastAsia" w:hint="eastAsia"/>
        </w:rPr>
        <w:t>取得了一定的成果</w:t>
      </w:r>
      <w:r w:rsidRPr="001773A9">
        <w:rPr>
          <w:rFonts w:ascii="MS Mincho" w:eastAsia="MS Mincho" w:hAnsi="MS Mincho" w:cs="MS Mincho" w:hint="eastAsia"/>
        </w:rPr>
        <w:t>｡</w:t>
      </w:r>
      <w:r w:rsidRPr="001773A9">
        <w:rPr>
          <w:rFonts w:asciiTheme="minorEastAsia" w:hAnsiTheme="minorEastAsia" w:cs="宋体" w:hint="eastAsia"/>
        </w:rPr>
        <w:t>张林</w:t>
      </w:r>
      <w:r w:rsidRPr="001773A9">
        <w:rPr>
          <w:rFonts w:ascii="MS Mincho" w:eastAsia="MS Mincho" w:hAnsi="MS Mincho" w:cs="MS Mincho" w:hint="eastAsia"/>
        </w:rPr>
        <w:t>､</w:t>
      </w:r>
      <w:r w:rsidRPr="001773A9">
        <w:rPr>
          <w:rFonts w:asciiTheme="minorEastAsia" w:hAnsiTheme="minorEastAsia" w:cs="宋体" w:hint="eastAsia"/>
        </w:rPr>
        <w:t>张佳林</w:t>
      </w:r>
      <w:r w:rsidRPr="001773A9">
        <w:rPr>
          <w:rFonts w:asciiTheme="minorEastAsia" w:hAnsiTheme="minorEastAsia"/>
        </w:rPr>
        <w:t>(2000)</w:t>
      </w:r>
      <w:r w:rsidRPr="001773A9">
        <w:rPr>
          <w:rFonts w:ascii="MS Mincho" w:eastAsia="MS Mincho" w:hAnsi="MS Mincho" w:cs="MS Mincho" w:hint="eastAsia"/>
        </w:rPr>
        <w:t>､</w:t>
      </w:r>
      <w:r w:rsidRPr="001773A9">
        <w:rPr>
          <w:rFonts w:asciiTheme="minorEastAsia" w:hAnsiTheme="minorEastAsia" w:cs="宋体" w:hint="eastAsia"/>
        </w:rPr>
        <w:t>王琼</w:t>
      </w:r>
      <w:r w:rsidRPr="001773A9">
        <w:rPr>
          <w:rFonts w:ascii="MS Mincho" w:eastAsia="MS Mincho" w:hAnsi="MS Mincho" w:cs="MS Mincho" w:hint="eastAsia"/>
        </w:rPr>
        <w:t>､</w:t>
      </w:r>
      <w:r w:rsidRPr="001773A9">
        <w:rPr>
          <w:rFonts w:asciiTheme="minorEastAsia" w:hAnsiTheme="minorEastAsia" w:cs="宋体" w:hint="eastAsia"/>
        </w:rPr>
        <w:t>陈金贤</w:t>
      </w:r>
      <w:r w:rsidRPr="001773A9">
        <w:rPr>
          <w:rFonts w:asciiTheme="minorEastAsia" w:hAnsiTheme="minorEastAsia"/>
        </w:rPr>
        <w:t>(2002)</w:t>
      </w:r>
      <w:r w:rsidRPr="001773A9">
        <w:rPr>
          <w:rFonts w:asciiTheme="minorEastAsia" w:hAnsiTheme="minorEastAsia" w:hint="eastAsia"/>
        </w:rPr>
        <w:t>先后对</w:t>
      </w:r>
      <w:r w:rsidRPr="001773A9">
        <w:rPr>
          <w:rFonts w:asciiTheme="minorEastAsia" w:hAnsiTheme="minorEastAsia"/>
        </w:rPr>
        <w:t>KMV</w:t>
      </w:r>
      <w:r w:rsidRPr="001773A9">
        <w:rPr>
          <w:rFonts w:asciiTheme="minorEastAsia" w:hAnsiTheme="minorEastAsia" w:hint="eastAsia"/>
        </w:rPr>
        <w:t>模型与其他模型进行理论上比较</w:t>
      </w:r>
      <w:r w:rsidRPr="001773A9">
        <w:rPr>
          <w:rFonts w:asciiTheme="minorEastAsia" w:hAnsiTheme="minorEastAsia"/>
        </w:rPr>
        <w:t>,</w:t>
      </w:r>
      <w:r w:rsidRPr="001773A9">
        <w:rPr>
          <w:rFonts w:asciiTheme="minorEastAsia" w:hAnsiTheme="minorEastAsia" w:hint="eastAsia"/>
        </w:rPr>
        <w:t>认为更适合于评价上市公司的信用风险</w:t>
      </w:r>
      <w:r w:rsidRPr="001773A9">
        <w:rPr>
          <w:rFonts w:ascii="MS Mincho" w:eastAsia="MS Mincho" w:hAnsi="MS Mincho" w:cs="MS Mincho" w:hint="eastAsia"/>
        </w:rPr>
        <w:t>｡</w:t>
      </w:r>
      <w:r w:rsidRPr="001773A9">
        <w:rPr>
          <w:rFonts w:asciiTheme="minorEastAsia" w:hAnsiTheme="minorEastAsia" w:cs="宋体" w:hint="eastAsia"/>
        </w:rPr>
        <w:t>薛锋</w:t>
      </w:r>
      <w:r w:rsidRPr="001773A9">
        <w:rPr>
          <w:rFonts w:asciiTheme="minorEastAsia" w:hAnsiTheme="minorEastAsia"/>
        </w:rPr>
        <w:t>,</w:t>
      </w:r>
      <w:r w:rsidRPr="001773A9">
        <w:rPr>
          <w:rFonts w:asciiTheme="minorEastAsia" w:hAnsiTheme="minorEastAsia" w:hint="eastAsia"/>
        </w:rPr>
        <w:t>鲁炜</w:t>
      </w:r>
      <w:r w:rsidRPr="001773A9">
        <w:rPr>
          <w:rFonts w:asciiTheme="minorEastAsia" w:hAnsiTheme="minorEastAsia"/>
        </w:rPr>
        <w:t>,</w:t>
      </w:r>
      <w:r w:rsidRPr="001773A9">
        <w:rPr>
          <w:rFonts w:asciiTheme="minorEastAsia" w:hAnsiTheme="minorEastAsia" w:hint="eastAsia"/>
        </w:rPr>
        <w:t>赵恒街</w:t>
      </w:r>
      <w:r w:rsidRPr="001773A9">
        <w:rPr>
          <w:rFonts w:asciiTheme="minorEastAsia" w:hAnsiTheme="minorEastAsia"/>
        </w:rPr>
        <w:t>,</w:t>
      </w:r>
      <w:r w:rsidRPr="001773A9">
        <w:rPr>
          <w:rFonts w:asciiTheme="minorEastAsia" w:hAnsiTheme="minorEastAsia" w:hint="eastAsia"/>
        </w:rPr>
        <w:t>刘冀云</w:t>
      </w:r>
      <w:r w:rsidRPr="001773A9">
        <w:rPr>
          <w:rFonts w:asciiTheme="minorEastAsia" w:hAnsiTheme="minorEastAsia"/>
        </w:rPr>
        <w:t>(2003)</w:t>
      </w:r>
      <w:r w:rsidRPr="001773A9">
        <w:rPr>
          <w:rFonts w:asciiTheme="minorEastAsia" w:hAnsiTheme="minorEastAsia" w:hint="eastAsia"/>
        </w:rPr>
        <w:t>利用中国股市的数据</w:t>
      </w:r>
      <w:r w:rsidRPr="001773A9">
        <w:rPr>
          <w:rFonts w:asciiTheme="minorEastAsia" w:hAnsiTheme="minorEastAsia"/>
        </w:rPr>
        <w:t>,</w:t>
      </w:r>
      <w:r w:rsidRPr="001773A9">
        <w:rPr>
          <w:rFonts w:asciiTheme="minorEastAsia" w:hAnsiTheme="minorEastAsia" w:hint="eastAsia"/>
        </w:rPr>
        <w:t>得出了应中市场的σ</w:t>
      </w:r>
      <w:r w:rsidRPr="001773A9">
        <w:rPr>
          <w:rFonts w:asciiTheme="minorEastAsia" w:hAnsiTheme="minorEastAsia"/>
        </w:rPr>
        <w:t>v</w:t>
      </w:r>
      <w:r w:rsidRPr="001773A9">
        <w:rPr>
          <w:rFonts w:asciiTheme="minorEastAsia" w:hAnsiTheme="minorEastAsia" w:hint="eastAsia"/>
        </w:rPr>
        <w:t>和σ</w:t>
      </w:r>
      <w:r w:rsidRPr="001773A9">
        <w:rPr>
          <w:rFonts w:asciiTheme="minorEastAsia" w:hAnsiTheme="minorEastAsia"/>
        </w:rPr>
        <w:t>E</w:t>
      </w:r>
      <w:r w:rsidRPr="001773A9">
        <w:rPr>
          <w:rFonts w:asciiTheme="minorEastAsia" w:hAnsiTheme="minorEastAsia" w:hint="eastAsia"/>
        </w:rPr>
        <w:t>的关系函数</w:t>
      </w:r>
      <w:r w:rsidRPr="001773A9">
        <w:rPr>
          <w:rFonts w:asciiTheme="minorEastAsia" w:hAnsiTheme="minorEastAsia"/>
        </w:rPr>
        <w:t>,</w:t>
      </w:r>
      <w:r w:rsidRPr="001773A9">
        <w:rPr>
          <w:rFonts w:asciiTheme="minorEastAsia" w:hAnsiTheme="minorEastAsia" w:hint="eastAsia"/>
        </w:rPr>
        <w:t>并以一只股票为样本进行了实证分析</w:t>
      </w:r>
      <w:proofErr w:type="gramStart"/>
      <w:r w:rsidRPr="001773A9">
        <w:rPr>
          <w:rFonts w:ascii="MS Mincho" w:eastAsia="MS Mincho" w:hAnsi="MS Mincho" w:cs="MS Mincho" w:hint="eastAsia"/>
        </w:rPr>
        <w:t>｡</w:t>
      </w:r>
      <w:r w:rsidRPr="001773A9">
        <w:rPr>
          <w:rFonts w:asciiTheme="minorEastAsia" w:hAnsiTheme="minorEastAsia" w:cs="宋体" w:hint="eastAsia"/>
        </w:rPr>
        <w:t>乔卓等</w:t>
      </w:r>
      <w:proofErr w:type="gramEnd"/>
      <w:r w:rsidRPr="001773A9">
        <w:rPr>
          <w:rFonts w:asciiTheme="minorEastAsia" w:hAnsiTheme="minorEastAsia"/>
        </w:rPr>
        <w:t>(2003)</w:t>
      </w:r>
      <w:r w:rsidRPr="001773A9">
        <w:rPr>
          <w:rFonts w:asciiTheme="minorEastAsia" w:hAnsiTheme="minorEastAsia" w:hint="eastAsia"/>
        </w:rPr>
        <w:t>介绍了</w:t>
      </w:r>
      <w:r w:rsidRPr="001773A9">
        <w:rPr>
          <w:rFonts w:asciiTheme="minorEastAsia" w:hAnsiTheme="minorEastAsia"/>
        </w:rPr>
        <w:t>KMV</w:t>
      </w:r>
      <w:r w:rsidRPr="001773A9">
        <w:rPr>
          <w:rFonts w:asciiTheme="minorEastAsia" w:hAnsiTheme="minorEastAsia" w:hint="eastAsia"/>
        </w:rPr>
        <w:t>模型的基本内容</w:t>
      </w:r>
      <w:r w:rsidRPr="001773A9">
        <w:rPr>
          <w:rFonts w:asciiTheme="minorEastAsia" w:hAnsiTheme="minorEastAsia"/>
        </w:rPr>
        <w:t>,</w:t>
      </w:r>
      <w:r w:rsidRPr="001773A9">
        <w:rPr>
          <w:rFonts w:asciiTheme="minorEastAsia" w:hAnsiTheme="minorEastAsia" w:hint="eastAsia"/>
        </w:rPr>
        <w:t>以及国外的应用经验</w:t>
      </w:r>
      <w:r w:rsidRPr="001773A9">
        <w:rPr>
          <w:rFonts w:asciiTheme="minorEastAsia" w:hAnsiTheme="minorEastAsia"/>
        </w:rPr>
        <w:t>,</w:t>
      </w:r>
      <w:r w:rsidRPr="001773A9">
        <w:rPr>
          <w:rFonts w:asciiTheme="minorEastAsia" w:hAnsiTheme="minorEastAsia" w:hint="eastAsia"/>
        </w:rPr>
        <w:t>但是并没有进行实证研究</w:t>
      </w:r>
      <w:r w:rsidRPr="001773A9">
        <w:rPr>
          <w:rFonts w:ascii="MS Mincho" w:eastAsia="MS Mincho" w:hAnsi="MS Mincho" w:cs="MS Mincho" w:hint="eastAsia"/>
        </w:rPr>
        <w:t>｡</w:t>
      </w:r>
      <w:r w:rsidRPr="001773A9">
        <w:rPr>
          <w:rFonts w:asciiTheme="minorEastAsia" w:hAnsiTheme="minorEastAsia" w:cs="宋体" w:hint="eastAsia"/>
        </w:rPr>
        <w:t>易丹辉</w:t>
      </w:r>
      <w:r w:rsidRPr="001773A9">
        <w:rPr>
          <w:rFonts w:asciiTheme="minorEastAsia" w:hAnsiTheme="minorEastAsia"/>
        </w:rPr>
        <w:t>,</w:t>
      </w:r>
      <w:r w:rsidRPr="001773A9">
        <w:rPr>
          <w:rFonts w:asciiTheme="minorEastAsia" w:hAnsiTheme="minorEastAsia" w:hint="eastAsia"/>
        </w:rPr>
        <w:t>吴建民</w:t>
      </w:r>
      <w:r w:rsidRPr="001773A9">
        <w:rPr>
          <w:rFonts w:asciiTheme="minorEastAsia" w:hAnsiTheme="minorEastAsia"/>
        </w:rPr>
        <w:t>(2004</w:t>
      </w:r>
      <w:r w:rsidRPr="001773A9">
        <w:rPr>
          <w:rFonts w:asciiTheme="minorEastAsia" w:hAnsiTheme="minorEastAsia" w:hint="eastAsia"/>
        </w:rPr>
        <w:t>年</w:t>
      </w:r>
      <w:r w:rsidRPr="001773A9">
        <w:rPr>
          <w:rFonts w:asciiTheme="minorEastAsia" w:hAnsiTheme="minorEastAsia"/>
        </w:rPr>
        <w:t>)</w:t>
      </w:r>
      <w:r w:rsidRPr="001773A9">
        <w:rPr>
          <w:rFonts w:asciiTheme="minorEastAsia" w:hAnsiTheme="minorEastAsia" w:hint="eastAsia"/>
        </w:rPr>
        <w:t>对深市和沪市随机抽取</w:t>
      </w:r>
      <w:r w:rsidRPr="001773A9">
        <w:rPr>
          <w:rFonts w:asciiTheme="minorEastAsia" w:hAnsiTheme="minorEastAsia"/>
        </w:rPr>
        <w:t>30</w:t>
      </w:r>
      <w:r w:rsidRPr="001773A9">
        <w:rPr>
          <w:rFonts w:asciiTheme="minorEastAsia" w:hAnsiTheme="minorEastAsia" w:hint="eastAsia"/>
        </w:rPr>
        <w:t>家公司分行业计算违约距离和违约率并作比较</w:t>
      </w:r>
      <w:r w:rsidRPr="001773A9">
        <w:rPr>
          <w:rFonts w:asciiTheme="minorEastAsia" w:hAnsiTheme="minorEastAsia"/>
        </w:rPr>
        <w:t>,</w:t>
      </w:r>
      <w:r w:rsidRPr="001773A9">
        <w:rPr>
          <w:rFonts w:asciiTheme="minorEastAsia" w:hAnsiTheme="minorEastAsia" w:hint="eastAsia"/>
        </w:rPr>
        <w:t>认为借助违约距离衡量上市公司的信用风险是可行的</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由于缺少大量违约公司样本的历史数据库</w:t>
      </w:r>
      <w:r w:rsidRPr="001773A9">
        <w:rPr>
          <w:rFonts w:asciiTheme="minorEastAsia" w:hAnsiTheme="minorEastAsia"/>
        </w:rPr>
        <w:t>,</w:t>
      </w:r>
      <w:r w:rsidRPr="001773A9">
        <w:rPr>
          <w:rFonts w:asciiTheme="minorEastAsia" w:hAnsiTheme="minorEastAsia" w:hint="eastAsia"/>
        </w:rPr>
        <w:t>因此</w:t>
      </w:r>
      <w:r w:rsidRPr="001773A9">
        <w:rPr>
          <w:rFonts w:asciiTheme="minorEastAsia" w:hAnsiTheme="minorEastAsia"/>
        </w:rPr>
        <w:t>,</w:t>
      </w:r>
      <w:r w:rsidRPr="001773A9">
        <w:rPr>
          <w:rFonts w:asciiTheme="minorEastAsia" w:hAnsiTheme="minorEastAsia" w:hint="eastAsia"/>
        </w:rPr>
        <w:t>我国目前无法通过比较违约距离和破产频率的历史</w:t>
      </w:r>
      <w:r w:rsidRPr="001773A9">
        <w:rPr>
          <w:rFonts w:asciiTheme="minorEastAsia" w:hAnsiTheme="minorEastAsia"/>
        </w:rPr>
        <w:t>,</w:t>
      </w:r>
      <w:r w:rsidRPr="001773A9">
        <w:rPr>
          <w:rFonts w:asciiTheme="minorEastAsia" w:hAnsiTheme="minorEastAsia" w:hint="eastAsia"/>
        </w:rPr>
        <w:t>拟合出代表公司违约距离的预期违约率函数</w:t>
      </w:r>
      <w:r w:rsidRPr="001773A9">
        <w:rPr>
          <w:rFonts w:ascii="MS Mincho" w:eastAsia="MS Mincho" w:hAnsi="MS Mincho" w:cs="MS Mincho" w:hint="eastAsia"/>
        </w:rPr>
        <w:t>｡</w:t>
      </w:r>
      <w:r w:rsidRPr="001773A9">
        <w:rPr>
          <w:rFonts w:asciiTheme="minorEastAsia" w:hAnsiTheme="minorEastAsia" w:cs="宋体" w:hint="eastAsia"/>
        </w:rPr>
        <w:t>本文尝试使用上市公司在某国有商业银行贷款不良率替代其违约率</w:t>
      </w:r>
      <w:r w:rsidRPr="001773A9">
        <w:rPr>
          <w:rFonts w:asciiTheme="minorEastAsia" w:hAnsiTheme="minorEastAsia"/>
        </w:rPr>
        <w:t>,</w:t>
      </w:r>
      <w:r w:rsidRPr="001773A9">
        <w:rPr>
          <w:rFonts w:asciiTheme="minorEastAsia" w:hAnsiTheme="minorEastAsia" w:hint="eastAsia"/>
        </w:rPr>
        <w:t>并根据我国资本市场的特点</w:t>
      </w:r>
      <w:r w:rsidRPr="001773A9">
        <w:rPr>
          <w:rFonts w:asciiTheme="minorEastAsia" w:hAnsiTheme="minorEastAsia"/>
        </w:rPr>
        <w:t>,</w:t>
      </w:r>
      <w:r w:rsidRPr="001773A9">
        <w:rPr>
          <w:rFonts w:asciiTheme="minorEastAsia" w:hAnsiTheme="minorEastAsia" w:hint="eastAsia"/>
        </w:rPr>
        <w:t>选取</w:t>
      </w:r>
      <w:r w:rsidRPr="001773A9">
        <w:rPr>
          <w:rFonts w:asciiTheme="minorEastAsia" w:hAnsiTheme="minorEastAsia"/>
        </w:rPr>
        <w:t>KMV</w:t>
      </w:r>
      <w:r w:rsidRPr="001773A9">
        <w:rPr>
          <w:rFonts w:asciiTheme="minorEastAsia" w:hAnsiTheme="minorEastAsia" w:hint="eastAsia"/>
        </w:rPr>
        <w:t>模型的相关参数</w:t>
      </w:r>
      <w:r w:rsidRPr="001773A9">
        <w:rPr>
          <w:rFonts w:asciiTheme="minorEastAsia" w:hAnsiTheme="minorEastAsia"/>
        </w:rPr>
        <w:t>,</w:t>
      </w:r>
      <w:r w:rsidRPr="001773A9">
        <w:rPr>
          <w:rFonts w:asciiTheme="minorEastAsia" w:hAnsiTheme="minorEastAsia" w:hint="eastAsia"/>
        </w:rPr>
        <w:t>同时采用某国有商业银行</w:t>
      </w:r>
      <w:r w:rsidRPr="001773A9">
        <w:rPr>
          <w:rFonts w:asciiTheme="minorEastAsia" w:hAnsiTheme="minorEastAsia"/>
        </w:rPr>
        <w:t>2001</w:t>
      </w:r>
      <w:r w:rsidRPr="001773A9">
        <w:rPr>
          <w:rFonts w:asciiTheme="minorEastAsia" w:hAnsiTheme="minorEastAsia" w:hint="eastAsia"/>
        </w:rPr>
        <w:t>年</w:t>
      </w:r>
      <w:r w:rsidRPr="001773A9">
        <w:rPr>
          <w:rFonts w:asciiTheme="minorEastAsia" w:hAnsiTheme="minorEastAsia"/>
        </w:rPr>
        <w:t>12</w:t>
      </w:r>
      <w:r w:rsidRPr="001773A9">
        <w:rPr>
          <w:rFonts w:asciiTheme="minorEastAsia" w:hAnsiTheme="minorEastAsia" w:hint="eastAsia"/>
        </w:rPr>
        <w:t>月</w:t>
      </w:r>
      <w:r w:rsidRPr="001773A9">
        <w:rPr>
          <w:rFonts w:asciiTheme="minorEastAsia" w:hAnsiTheme="minorEastAsia"/>
        </w:rPr>
        <w:t>31</w:t>
      </w:r>
      <w:r w:rsidRPr="001773A9">
        <w:rPr>
          <w:rFonts w:asciiTheme="minorEastAsia" w:hAnsiTheme="minorEastAsia" w:hint="eastAsia"/>
        </w:rPr>
        <w:t>日的</w:t>
      </w:r>
      <w:r w:rsidRPr="001773A9">
        <w:rPr>
          <w:rFonts w:asciiTheme="minorEastAsia" w:hAnsiTheme="minorEastAsia"/>
        </w:rPr>
        <w:t>235</w:t>
      </w:r>
      <w:r w:rsidRPr="001773A9">
        <w:rPr>
          <w:rFonts w:asciiTheme="minorEastAsia" w:hAnsiTheme="minorEastAsia" w:hint="eastAsia"/>
        </w:rPr>
        <w:t>家贷款客户的不良率来替代上市公司的违约率进行实证分析</w:t>
      </w:r>
      <w:r w:rsidRPr="001773A9">
        <w:rPr>
          <w:rFonts w:asciiTheme="minorEastAsia" w:hAnsiTheme="minorEastAsia"/>
        </w:rPr>
        <w:t>,</w:t>
      </w:r>
      <w:r w:rsidRPr="001773A9">
        <w:rPr>
          <w:rFonts w:asciiTheme="minorEastAsia" w:hAnsiTheme="minorEastAsia" w:hint="eastAsia"/>
        </w:rPr>
        <w:t>建立违约距离与不良率的函数关系</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二</w:t>
      </w:r>
      <w:r w:rsidRPr="001773A9">
        <w:rPr>
          <w:rFonts w:ascii="MS Mincho" w:eastAsia="MS Mincho" w:hAnsi="MS Mincho" w:cs="MS Mincho" w:hint="eastAsia"/>
        </w:rPr>
        <w:t>､</w:t>
      </w:r>
      <w:r w:rsidRPr="001773A9">
        <w:rPr>
          <w:rFonts w:asciiTheme="minorEastAsia" w:hAnsiTheme="minorEastAsia" w:cs="宋体" w:hint="eastAsia"/>
        </w:rPr>
        <w:t>样本选择与参数的确定</w:t>
      </w:r>
      <w:r w:rsidRPr="001773A9">
        <w:rPr>
          <w:rFonts w:asciiTheme="minorEastAsia" w:hAnsiTheme="minorEastAsia" w:hint="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w:t>
      </w:r>
      <w:proofErr w:type="gramStart"/>
      <w:r w:rsidRPr="001773A9">
        <w:rPr>
          <w:rFonts w:asciiTheme="minorEastAsia" w:hAnsiTheme="minorEastAsia" w:hint="eastAsia"/>
        </w:rPr>
        <w:t>一</w:t>
      </w:r>
      <w:proofErr w:type="gramEnd"/>
      <w:r w:rsidRPr="001773A9">
        <w:rPr>
          <w:rFonts w:asciiTheme="minorEastAsia" w:hAnsiTheme="minorEastAsia" w:hint="eastAsia"/>
        </w:rPr>
        <w:t xml:space="preserve">)KMV模型的计算步骤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1.估计公司资产的价值及其波动性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根据Black-Scholes的期权定价公式,我们可以得到以下表达式</w:t>
      </w:r>
      <w:r w:rsidRPr="001773A9">
        <w:rPr>
          <w:rFonts w:asciiTheme="minorEastAsia" w:hAnsiTheme="minorEastAsia" w:hint="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E:期权的市场价值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D:负债的账面价值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V:企业资产的市场价值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τ:时间范围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r:无风险利率 </w:t>
      </w:r>
    </w:p>
    <w:p w:rsidR="00761605" w:rsidRPr="001773A9" w:rsidRDefault="00761605" w:rsidP="00761605">
      <w:pPr>
        <w:rPr>
          <w:rFonts w:asciiTheme="minorEastAsia" w:hAnsiTheme="minorEastAsia" w:hint="eastAsia"/>
        </w:rPr>
      </w:pPr>
      <w:r w:rsidRPr="001773A9">
        <w:rPr>
          <w:rFonts w:asciiTheme="minorEastAsia" w:hAnsiTheme="minorEastAsia" w:hint="eastAsia"/>
        </w:rPr>
        <w:lastRenderedPageBreak/>
        <w:t xml:space="preserve">　　</w:t>
      </w:r>
      <w:r w:rsidRPr="001773A9">
        <w:rPr>
          <w:rFonts w:asciiTheme="minorEastAsia" w:hAnsiTheme="minorEastAsia" w:hint="eastAsia"/>
        </w:rPr>
        <w:t xml:space="preserve"> </w:t>
      </w:r>
      <w:r w:rsidRPr="001773A9">
        <w:rPr>
          <w:rFonts w:asciiTheme="minorEastAsia" w:hAnsiTheme="minorEastAsia" w:hint="eastAsia"/>
        </w:rPr>
        <w:t xml:space="preserve">3.估计违约率(Expected Default Frequency, EDF)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即确定违约距离与违约率的映射关系根据模型的假设</w:t>
      </w:r>
      <w:r w:rsidRPr="001773A9">
        <w:rPr>
          <w:rFonts w:asciiTheme="minorEastAsia" w:hAnsiTheme="minorEastAsia"/>
        </w:rPr>
        <w:t>,</w:t>
      </w:r>
      <w:r w:rsidRPr="001773A9">
        <w:rPr>
          <w:rFonts w:asciiTheme="minorEastAsia" w:hAnsiTheme="minorEastAsia" w:hint="eastAsia"/>
        </w:rPr>
        <w:t>违约距离即是评价企业违约风险的一个度量指标</w:t>
      </w:r>
      <w:r w:rsidRPr="001773A9">
        <w:rPr>
          <w:rFonts w:asciiTheme="minorEastAsia" w:hAnsiTheme="minorEastAsia"/>
        </w:rPr>
        <w:t>,</w:t>
      </w:r>
      <w:r w:rsidRPr="001773A9">
        <w:rPr>
          <w:rFonts w:asciiTheme="minorEastAsia" w:hAnsiTheme="minorEastAsia" w:hint="eastAsia"/>
        </w:rPr>
        <w:t>用其作为不同企业之间的比较</w:t>
      </w:r>
      <w:r w:rsidRPr="001773A9">
        <w:rPr>
          <w:rFonts w:ascii="MS Mincho" w:eastAsia="MS Mincho" w:hAnsi="MS Mincho" w:cs="MS Mincho" w:hint="eastAsia"/>
        </w:rPr>
        <w:t>｡</w:t>
      </w:r>
      <w:r w:rsidRPr="001773A9">
        <w:rPr>
          <w:rFonts w:asciiTheme="minorEastAsia" w:hAnsiTheme="minorEastAsia"/>
        </w:rPr>
        <w:t xml:space="preserve"> </w:t>
      </w:r>
      <w:r w:rsidRPr="001773A9">
        <w:rPr>
          <w:rFonts w:asciiTheme="minorEastAsia" w:hAnsiTheme="minorEastAsia" w:hint="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(二)参数的确定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1.违约率(EDF)的选取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预期违约率有两种类型</w:t>
      </w:r>
      <w:r w:rsidRPr="001773A9">
        <w:rPr>
          <w:rFonts w:asciiTheme="minorEastAsia" w:hAnsiTheme="minorEastAsia"/>
        </w:rPr>
        <w:t>:</w:t>
      </w:r>
      <w:r w:rsidRPr="001773A9">
        <w:rPr>
          <w:rFonts w:asciiTheme="minorEastAsia" w:hAnsiTheme="minorEastAsia" w:hint="eastAsia"/>
        </w:rPr>
        <w:t>一种是经验的</w:t>
      </w:r>
      <w:r w:rsidRPr="001773A9">
        <w:rPr>
          <w:rFonts w:asciiTheme="minorEastAsia" w:hAnsiTheme="minorEastAsia"/>
        </w:rPr>
        <w:t>EDF;</w:t>
      </w:r>
      <w:r w:rsidRPr="001773A9">
        <w:rPr>
          <w:rFonts w:asciiTheme="minorEastAsia" w:hAnsiTheme="minorEastAsia" w:hint="eastAsia"/>
        </w:rPr>
        <w:t>一种是理论的</w:t>
      </w:r>
      <w:r w:rsidRPr="001773A9">
        <w:rPr>
          <w:rFonts w:asciiTheme="minorEastAsia" w:hAnsiTheme="minorEastAsia"/>
        </w:rPr>
        <w:t>EDF</w:t>
      </w:r>
      <w:r w:rsidRPr="001773A9">
        <w:rPr>
          <w:rFonts w:ascii="MS Mincho" w:eastAsia="MS Mincho" w:hAnsi="MS Mincho" w:cs="MS Mincho" w:hint="eastAsia"/>
        </w:rPr>
        <w:t>｡</w:t>
      </w:r>
      <w:r w:rsidRPr="001773A9">
        <w:rPr>
          <w:rFonts w:asciiTheme="minorEastAsia" w:hAnsiTheme="minorEastAsia"/>
        </w:rPr>
        <w:t>KMV</w:t>
      </w:r>
      <w:r w:rsidRPr="001773A9">
        <w:rPr>
          <w:rFonts w:asciiTheme="minorEastAsia" w:hAnsiTheme="minorEastAsia" w:hint="eastAsia"/>
        </w:rPr>
        <w:t>公司使用了前者</w:t>
      </w:r>
      <w:r w:rsidRPr="001773A9">
        <w:rPr>
          <w:rFonts w:ascii="MS Mincho" w:eastAsia="MS Mincho" w:hAnsi="MS Mincho" w:cs="MS Mincho" w:hint="eastAsia"/>
        </w:rPr>
        <w:t>｡</w:t>
      </w:r>
      <w:r w:rsidRPr="001773A9">
        <w:rPr>
          <w:rFonts w:asciiTheme="minorEastAsia" w:hAnsiTheme="minorEastAsia" w:cs="宋体" w:hint="eastAsia"/>
        </w:rPr>
        <w:t>它是在年初公司资产价值距违约点的距离都是其标准差的某一个常数</w:t>
      </w:r>
      <w:proofErr w:type="gramStart"/>
      <w:r w:rsidRPr="001773A9">
        <w:rPr>
          <w:rFonts w:asciiTheme="minorEastAsia" w:hAnsiTheme="minorEastAsia" w:cs="宋体" w:hint="eastAsia"/>
        </w:rPr>
        <w:t>倍</w:t>
      </w:r>
      <w:proofErr w:type="gramEnd"/>
      <w:r w:rsidRPr="001773A9">
        <w:rPr>
          <w:rFonts w:asciiTheme="minorEastAsia" w:hAnsiTheme="minorEastAsia" w:cs="宋体" w:hint="eastAsia"/>
        </w:rPr>
        <w:t>到期时有多少公司违约</w:t>
      </w:r>
      <w:r w:rsidRPr="001773A9">
        <w:rPr>
          <w:rFonts w:asciiTheme="minorEastAsia" w:hAnsiTheme="minorEastAsia"/>
        </w:rPr>
        <w:t>,</w:t>
      </w:r>
      <w:r w:rsidRPr="001773A9">
        <w:rPr>
          <w:rFonts w:asciiTheme="minorEastAsia" w:hAnsiTheme="minorEastAsia" w:hint="eastAsia"/>
        </w:rPr>
        <w:t>即</w:t>
      </w:r>
      <w:r w:rsidRPr="001773A9">
        <w:rPr>
          <w:rFonts w:asciiTheme="minorEastAsia" w:hAnsiTheme="minorEastAsia"/>
        </w:rPr>
        <w:t>EDF=</w:t>
      </w:r>
      <w:r w:rsidRPr="001773A9">
        <w:rPr>
          <w:rFonts w:asciiTheme="minorEastAsia" w:hAnsiTheme="minorEastAsia" w:hint="eastAsia"/>
        </w:rPr>
        <w:t>违约数目</w:t>
      </w:r>
      <w:r w:rsidRPr="001773A9">
        <w:rPr>
          <w:rFonts w:asciiTheme="minorEastAsia" w:hAnsiTheme="minorEastAsia"/>
        </w:rPr>
        <w:t>(</w:t>
      </w:r>
      <w:r w:rsidRPr="001773A9">
        <w:rPr>
          <w:rFonts w:asciiTheme="minorEastAsia" w:hAnsiTheme="minorEastAsia" w:hint="eastAsia"/>
        </w:rPr>
        <w:t>时间</w:t>
      </w:r>
      <w:r w:rsidRPr="001773A9">
        <w:rPr>
          <w:rFonts w:asciiTheme="minorEastAsia" w:hAnsiTheme="minorEastAsia"/>
        </w:rPr>
        <w:t>T)/N</w:t>
      </w:r>
      <w:r w:rsidRPr="001773A9">
        <w:rPr>
          <w:rFonts w:ascii="MS Mincho" w:eastAsia="MS Mincho" w:hAnsi="MS Mincho" w:cs="MS Mincho" w:hint="eastAsia"/>
        </w:rPr>
        <w:t>｡</w:t>
      </w:r>
      <w:r w:rsidRPr="001773A9">
        <w:rPr>
          <w:rFonts w:asciiTheme="minorEastAsia" w:hAnsiTheme="minorEastAsia"/>
        </w:rPr>
        <w:t>(N:</w:t>
      </w:r>
      <w:r w:rsidRPr="001773A9">
        <w:rPr>
          <w:rFonts w:asciiTheme="minorEastAsia" w:hAnsiTheme="minorEastAsia" w:hint="eastAsia"/>
        </w:rPr>
        <w:t>年初资产价值距违约点为其标准差的某一个常数</w:t>
      </w:r>
      <w:proofErr w:type="gramStart"/>
      <w:r w:rsidRPr="001773A9">
        <w:rPr>
          <w:rFonts w:asciiTheme="minorEastAsia" w:hAnsiTheme="minorEastAsia" w:hint="eastAsia"/>
        </w:rPr>
        <w:t>倍</w:t>
      </w:r>
      <w:proofErr w:type="gramEnd"/>
      <w:r w:rsidRPr="001773A9">
        <w:rPr>
          <w:rFonts w:asciiTheme="minorEastAsia" w:hAnsiTheme="minorEastAsia" w:hint="eastAsia"/>
        </w:rPr>
        <w:t>的一组公司的数目</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根据中国人民银行</w:t>
      </w:r>
      <w:r w:rsidRPr="001773A9">
        <w:rPr>
          <w:rFonts w:asciiTheme="minorEastAsia" w:hAnsiTheme="minorEastAsia"/>
        </w:rPr>
        <w:t>1998</w:t>
      </w:r>
      <w:r w:rsidRPr="001773A9">
        <w:rPr>
          <w:rFonts w:asciiTheme="minorEastAsia" w:hAnsiTheme="minorEastAsia" w:hint="eastAsia"/>
        </w:rPr>
        <w:t>年</w:t>
      </w:r>
      <w:r w:rsidRPr="001773A9">
        <w:rPr>
          <w:rFonts w:asciiTheme="minorEastAsia" w:hAnsiTheme="minorEastAsia"/>
        </w:rPr>
        <w:t>4</w:t>
      </w:r>
      <w:r w:rsidRPr="001773A9">
        <w:rPr>
          <w:rFonts w:asciiTheme="minorEastAsia" w:hAnsiTheme="minorEastAsia" w:hint="eastAsia"/>
        </w:rPr>
        <w:t>月制定《贷款风险分类指导原则</w:t>
      </w:r>
      <w:r w:rsidRPr="001773A9">
        <w:rPr>
          <w:rFonts w:asciiTheme="minorEastAsia" w:hAnsiTheme="minorEastAsia"/>
        </w:rPr>
        <w:t>(</w:t>
      </w:r>
      <w:r w:rsidRPr="001773A9">
        <w:rPr>
          <w:rFonts w:asciiTheme="minorEastAsia" w:hAnsiTheme="minorEastAsia" w:hint="eastAsia"/>
        </w:rPr>
        <w:t>试行</w:t>
      </w:r>
      <w:r w:rsidRPr="001773A9">
        <w:rPr>
          <w:rFonts w:asciiTheme="minorEastAsia" w:hAnsiTheme="minorEastAsia"/>
        </w:rPr>
        <w:t>)</w:t>
      </w:r>
      <w:r w:rsidRPr="001773A9">
        <w:rPr>
          <w:rFonts w:asciiTheme="minorEastAsia" w:hAnsiTheme="minorEastAsia" w:hint="eastAsia"/>
        </w:rPr>
        <w:t>》推行的贷款质量五级分类管理办法</w:t>
      </w:r>
      <w:r w:rsidRPr="001773A9">
        <w:rPr>
          <w:rFonts w:ascii="MS Mincho" w:eastAsia="MS Mincho" w:hAnsi="MS Mincho" w:cs="MS Mincho" w:hint="eastAsia"/>
        </w:rPr>
        <w:t>｡</w:t>
      </w:r>
      <w:r w:rsidRPr="001773A9">
        <w:rPr>
          <w:rFonts w:asciiTheme="minorEastAsia" w:hAnsiTheme="minorEastAsia" w:cs="宋体" w:hint="eastAsia"/>
        </w:rPr>
        <w:t>《贷款风险分类指导原则</w:t>
      </w:r>
      <w:r w:rsidRPr="001773A9">
        <w:rPr>
          <w:rFonts w:asciiTheme="minorEastAsia" w:hAnsiTheme="minorEastAsia"/>
        </w:rPr>
        <w:t>(</w:t>
      </w:r>
      <w:r w:rsidRPr="001773A9">
        <w:rPr>
          <w:rFonts w:asciiTheme="minorEastAsia" w:hAnsiTheme="minorEastAsia" w:hint="eastAsia"/>
        </w:rPr>
        <w:t>试行</w:t>
      </w:r>
      <w:r w:rsidRPr="001773A9">
        <w:rPr>
          <w:rFonts w:asciiTheme="minorEastAsia" w:hAnsiTheme="minorEastAsia"/>
        </w:rPr>
        <w:t>)</w:t>
      </w:r>
      <w:r w:rsidRPr="001773A9">
        <w:rPr>
          <w:rFonts w:asciiTheme="minorEastAsia" w:hAnsiTheme="minorEastAsia" w:hint="eastAsia"/>
        </w:rPr>
        <w:t>》把贷款分为正常</w:t>
      </w:r>
      <w:r w:rsidRPr="001773A9">
        <w:rPr>
          <w:rFonts w:ascii="MS Mincho" w:eastAsia="MS Mincho" w:hAnsi="MS Mincho" w:cs="MS Mincho" w:hint="eastAsia"/>
        </w:rPr>
        <w:t>､</w:t>
      </w:r>
      <w:r w:rsidRPr="001773A9">
        <w:rPr>
          <w:rFonts w:asciiTheme="minorEastAsia" w:hAnsiTheme="minorEastAsia" w:cs="宋体" w:hint="eastAsia"/>
        </w:rPr>
        <w:t>关注</w:t>
      </w:r>
      <w:r w:rsidRPr="001773A9">
        <w:rPr>
          <w:rFonts w:ascii="MS Mincho" w:eastAsia="MS Mincho" w:hAnsi="MS Mincho" w:cs="MS Mincho" w:hint="eastAsia"/>
        </w:rPr>
        <w:t>､</w:t>
      </w:r>
      <w:r w:rsidRPr="001773A9">
        <w:rPr>
          <w:rFonts w:asciiTheme="minorEastAsia" w:hAnsiTheme="minorEastAsia" w:cs="宋体" w:hint="eastAsia"/>
        </w:rPr>
        <w:t>次级</w:t>
      </w:r>
      <w:r w:rsidRPr="001773A9">
        <w:rPr>
          <w:rFonts w:ascii="MS Mincho" w:eastAsia="MS Mincho" w:hAnsi="MS Mincho" w:cs="MS Mincho" w:hint="eastAsia"/>
        </w:rPr>
        <w:t>､</w:t>
      </w:r>
      <w:r w:rsidRPr="001773A9">
        <w:rPr>
          <w:rFonts w:asciiTheme="minorEastAsia" w:hAnsiTheme="minorEastAsia" w:cs="宋体" w:hint="eastAsia"/>
        </w:rPr>
        <w:t>可疑和损失五类</w:t>
      </w:r>
      <w:r w:rsidRPr="001773A9">
        <w:rPr>
          <w:rFonts w:asciiTheme="minorEastAsia" w:hAnsiTheme="minorEastAsia"/>
        </w:rPr>
        <w:t>;</w:t>
      </w:r>
      <w:r w:rsidRPr="001773A9">
        <w:rPr>
          <w:rFonts w:asciiTheme="minorEastAsia" w:hAnsiTheme="minorEastAsia" w:hint="eastAsia"/>
        </w:rPr>
        <w:t>后三类合称为不良贷款</w:t>
      </w:r>
      <w:r w:rsidRPr="001773A9">
        <w:rPr>
          <w:rFonts w:ascii="MS Mincho" w:eastAsia="MS Mincho" w:hAnsi="MS Mincho" w:cs="MS Mincho" w:hint="eastAsia"/>
        </w:rPr>
        <w:t>｡</w:t>
      </w:r>
      <w:r w:rsidRPr="001773A9">
        <w:rPr>
          <w:rFonts w:asciiTheme="minorEastAsia" w:hAnsiTheme="minorEastAsia" w:cs="宋体" w:hint="eastAsia"/>
        </w:rPr>
        <w:t>五级分类法下的不良贷款率</w:t>
      </w:r>
      <w:r w:rsidRPr="001773A9">
        <w:rPr>
          <w:rFonts w:asciiTheme="minorEastAsia" w:hAnsiTheme="minorEastAsia"/>
        </w:rPr>
        <w:t>=(</w:t>
      </w:r>
      <w:r w:rsidRPr="001773A9">
        <w:rPr>
          <w:rFonts w:asciiTheme="minorEastAsia" w:hAnsiTheme="minorEastAsia" w:hint="eastAsia"/>
        </w:rPr>
        <w:t>次级</w:t>
      </w:r>
      <w:r w:rsidRPr="001773A9">
        <w:rPr>
          <w:rFonts w:asciiTheme="minorEastAsia" w:hAnsiTheme="minorEastAsia"/>
        </w:rPr>
        <w:t>+</w:t>
      </w:r>
      <w:r w:rsidRPr="001773A9">
        <w:rPr>
          <w:rFonts w:asciiTheme="minorEastAsia" w:hAnsiTheme="minorEastAsia" w:hint="eastAsia"/>
        </w:rPr>
        <w:t>可疑</w:t>
      </w:r>
      <w:r w:rsidRPr="001773A9">
        <w:rPr>
          <w:rFonts w:asciiTheme="minorEastAsia" w:hAnsiTheme="minorEastAsia"/>
        </w:rPr>
        <w:t>+</w:t>
      </w:r>
      <w:r w:rsidRPr="001773A9">
        <w:rPr>
          <w:rFonts w:asciiTheme="minorEastAsia" w:hAnsiTheme="minorEastAsia" w:hint="eastAsia"/>
        </w:rPr>
        <w:t>损失</w:t>
      </w:r>
      <w:r w:rsidRPr="001773A9">
        <w:rPr>
          <w:rFonts w:asciiTheme="minorEastAsia" w:hAnsiTheme="minorEastAsia"/>
        </w:rPr>
        <w:t>)/</w:t>
      </w:r>
      <w:r w:rsidRPr="001773A9">
        <w:rPr>
          <w:rFonts w:asciiTheme="minorEastAsia" w:hAnsiTheme="minorEastAsia" w:hint="eastAsia"/>
        </w:rPr>
        <w:t>贷款总额</w:t>
      </w:r>
      <w:r w:rsidRPr="001773A9">
        <w:rPr>
          <w:rFonts w:ascii="MS Mincho" w:eastAsia="MS Mincho" w:hAnsi="MS Mincho" w:cs="MS Mincho" w:hint="eastAsia"/>
        </w:rPr>
        <w:t>｡</w:t>
      </w:r>
      <w:r w:rsidRPr="001773A9">
        <w:rPr>
          <w:rFonts w:asciiTheme="minorEastAsia" w:hAnsiTheme="minorEastAsia" w:cs="宋体" w:hint="eastAsia"/>
        </w:rPr>
        <w:t>五级贷款分类方法的实质是通过深入</w:t>
      </w:r>
      <w:r w:rsidRPr="001773A9">
        <w:rPr>
          <w:rFonts w:ascii="MS Mincho" w:eastAsia="MS Mincho" w:hAnsi="MS Mincho" w:cs="MS Mincho" w:hint="eastAsia"/>
        </w:rPr>
        <w:t>､</w:t>
      </w:r>
      <w:r w:rsidRPr="001773A9">
        <w:rPr>
          <w:rFonts w:asciiTheme="minorEastAsia" w:hAnsiTheme="minorEastAsia" w:cs="宋体" w:hint="eastAsia"/>
        </w:rPr>
        <w:t>客观地分析借</w:t>
      </w:r>
      <w:r w:rsidRPr="001773A9">
        <w:rPr>
          <w:rFonts w:asciiTheme="minorEastAsia" w:hAnsiTheme="minorEastAsia" w:hint="eastAsia"/>
        </w:rPr>
        <w:t>款企业的生产</w:t>
      </w:r>
      <w:r w:rsidRPr="001773A9">
        <w:rPr>
          <w:rFonts w:ascii="MS Mincho" w:eastAsia="MS Mincho" w:hAnsi="MS Mincho" w:cs="MS Mincho" w:hint="eastAsia"/>
        </w:rPr>
        <w:t>､</w:t>
      </w:r>
      <w:r w:rsidRPr="001773A9">
        <w:rPr>
          <w:rFonts w:asciiTheme="minorEastAsia" w:hAnsiTheme="minorEastAsia" w:cs="宋体" w:hint="eastAsia"/>
        </w:rPr>
        <w:t>经营活动</w:t>
      </w:r>
      <w:r w:rsidRPr="001773A9">
        <w:rPr>
          <w:rFonts w:asciiTheme="minorEastAsia" w:hAnsiTheme="minorEastAsia"/>
        </w:rPr>
        <w:t>,</w:t>
      </w:r>
      <w:r w:rsidRPr="001773A9">
        <w:rPr>
          <w:rFonts w:asciiTheme="minorEastAsia" w:hAnsiTheme="minorEastAsia" w:hint="eastAsia"/>
        </w:rPr>
        <w:t>看它的流动性</w:t>
      </w:r>
      <w:r w:rsidRPr="001773A9">
        <w:rPr>
          <w:rFonts w:ascii="MS Mincho" w:eastAsia="MS Mincho" w:hAnsi="MS Mincho" w:cs="MS Mincho" w:hint="eastAsia"/>
        </w:rPr>
        <w:t>､</w:t>
      </w:r>
      <w:r w:rsidRPr="001773A9">
        <w:rPr>
          <w:rFonts w:asciiTheme="minorEastAsia" w:hAnsiTheme="minorEastAsia" w:cs="宋体" w:hint="eastAsia"/>
        </w:rPr>
        <w:t>资产负债表</w:t>
      </w:r>
      <w:r w:rsidRPr="001773A9">
        <w:rPr>
          <w:rFonts w:ascii="MS Mincho" w:eastAsia="MS Mincho" w:hAnsi="MS Mincho" w:cs="MS Mincho" w:hint="eastAsia"/>
        </w:rPr>
        <w:t>､</w:t>
      </w:r>
      <w:r w:rsidRPr="001773A9">
        <w:rPr>
          <w:rFonts w:asciiTheme="minorEastAsia" w:hAnsiTheme="minorEastAsia" w:cs="宋体" w:hint="eastAsia"/>
        </w:rPr>
        <w:t>担保单位的实力</w:t>
      </w:r>
      <w:r w:rsidRPr="001773A9">
        <w:rPr>
          <w:rFonts w:asciiTheme="minorEastAsia" w:hAnsiTheme="minorEastAsia"/>
        </w:rPr>
        <w:t>,</w:t>
      </w:r>
      <w:r w:rsidRPr="001773A9">
        <w:rPr>
          <w:rFonts w:asciiTheme="minorEastAsia" w:hAnsiTheme="minorEastAsia" w:hint="eastAsia"/>
        </w:rPr>
        <w:t>来判断贷款本息收回的可能性</w:t>
      </w:r>
      <w:r w:rsidRPr="001773A9">
        <w:rPr>
          <w:rFonts w:asciiTheme="minorEastAsia" w:hAnsiTheme="minorEastAsia"/>
        </w:rPr>
        <w:t>,</w:t>
      </w:r>
      <w:r w:rsidRPr="001773A9">
        <w:rPr>
          <w:rFonts w:asciiTheme="minorEastAsia" w:hAnsiTheme="minorEastAsia" w:hint="eastAsia"/>
        </w:rPr>
        <w:t>然后确定贷款质量等级</w:t>
      </w:r>
      <w:r w:rsidRPr="001773A9">
        <w:rPr>
          <w:rFonts w:ascii="MS Mincho" w:eastAsia="MS Mincho" w:hAnsi="MS Mincho" w:cs="MS Mincho" w:hint="eastAsia"/>
        </w:rPr>
        <w:t>｡</w:t>
      </w:r>
      <w:r w:rsidRPr="001773A9">
        <w:rPr>
          <w:rFonts w:asciiTheme="minorEastAsia" w:hAnsiTheme="minorEastAsia" w:cs="宋体" w:hint="eastAsia"/>
        </w:rPr>
        <w:t>因此</w:t>
      </w:r>
      <w:r w:rsidRPr="001773A9">
        <w:rPr>
          <w:rFonts w:asciiTheme="minorEastAsia" w:hAnsiTheme="minorEastAsia"/>
        </w:rPr>
        <w:t>,</w:t>
      </w:r>
      <w:r w:rsidRPr="001773A9">
        <w:rPr>
          <w:rFonts w:asciiTheme="minorEastAsia" w:hAnsiTheme="minorEastAsia" w:hint="eastAsia"/>
        </w:rPr>
        <w:t>贷款不良率与违约率在计量对象和计量内容本质上是一致的</w:t>
      </w:r>
      <w:r w:rsidRPr="001773A9">
        <w:rPr>
          <w:rFonts w:ascii="MS Mincho" w:eastAsia="MS Mincho" w:hAnsi="MS Mincho" w:cs="MS Mincho" w:hint="eastAsia"/>
        </w:rPr>
        <w:t>｡</w:t>
      </w:r>
      <w:r w:rsidRPr="001773A9">
        <w:rPr>
          <w:rFonts w:asciiTheme="minorEastAsia" w:hAnsiTheme="minorEastAsia" w:cs="宋体" w:hint="eastAsia"/>
        </w:rPr>
        <w:t>在我国</w:t>
      </w:r>
      <w:r w:rsidRPr="001773A9">
        <w:rPr>
          <w:rFonts w:asciiTheme="minorEastAsia" w:hAnsiTheme="minorEastAsia"/>
        </w:rPr>
        <w:t>,</w:t>
      </w:r>
      <w:r w:rsidRPr="001773A9">
        <w:rPr>
          <w:rFonts w:asciiTheme="minorEastAsia" w:hAnsiTheme="minorEastAsia" w:hint="eastAsia"/>
        </w:rPr>
        <w:t>由于缺少样本历史数据</w:t>
      </w:r>
      <w:r w:rsidRPr="001773A9">
        <w:rPr>
          <w:rFonts w:asciiTheme="minorEastAsia" w:hAnsiTheme="minorEastAsia"/>
        </w:rPr>
        <w:t>,</w:t>
      </w:r>
      <w:r w:rsidRPr="001773A9">
        <w:rPr>
          <w:rFonts w:asciiTheme="minorEastAsia" w:hAnsiTheme="minorEastAsia" w:hint="eastAsia"/>
        </w:rPr>
        <w:t>故本文使用资产不良率来代替违约率</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2.违约点(DP)的选取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在确定违约实施点时</w:t>
      </w:r>
      <w:r w:rsidRPr="001773A9">
        <w:rPr>
          <w:rFonts w:asciiTheme="minorEastAsia" w:hAnsiTheme="minorEastAsia"/>
        </w:rPr>
        <w:t>,</w:t>
      </w:r>
      <w:r w:rsidRPr="001773A9">
        <w:rPr>
          <w:rFonts w:asciiTheme="minorEastAsia" w:hAnsiTheme="minorEastAsia" w:hint="eastAsia"/>
        </w:rPr>
        <w:t>应该考虑到公司债务的结构</w:t>
      </w:r>
      <w:r w:rsidRPr="001773A9">
        <w:rPr>
          <w:rFonts w:asciiTheme="minorEastAsia" w:hAnsiTheme="minorEastAsia"/>
        </w:rPr>
        <w:t>,</w:t>
      </w:r>
      <w:r w:rsidRPr="001773A9">
        <w:rPr>
          <w:rFonts w:asciiTheme="minorEastAsia" w:hAnsiTheme="minorEastAsia" w:hint="eastAsia"/>
        </w:rPr>
        <w:t>即要从债务求偿权等级和到期期限两个角度来分析</w:t>
      </w:r>
      <w:r w:rsidRPr="001773A9">
        <w:rPr>
          <w:rFonts w:ascii="MS Mincho" w:eastAsia="MS Mincho" w:hAnsi="MS Mincho" w:cs="MS Mincho" w:hint="eastAsia"/>
        </w:rPr>
        <w:t>｡</w:t>
      </w:r>
      <w:r w:rsidRPr="001773A9">
        <w:rPr>
          <w:rFonts w:asciiTheme="minorEastAsia" w:hAnsiTheme="minorEastAsia" w:cs="宋体" w:hint="eastAsia"/>
        </w:rPr>
        <w:t>本文采用</w:t>
      </w:r>
      <w:r w:rsidRPr="001773A9">
        <w:rPr>
          <w:rFonts w:asciiTheme="minorEastAsia" w:hAnsiTheme="minorEastAsia"/>
        </w:rPr>
        <w:t>KMV</w:t>
      </w:r>
      <w:r w:rsidRPr="001773A9">
        <w:rPr>
          <w:rFonts w:asciiTheme="minorEastAsia" w:hAnsiTheme="minorEastAsia" w:hint="eastAsia"/>
        </w:rPr>
        <w:t>公司推荐违约点计算方法</w:t>
      </w:r>
      <w:r w:rsidRPr="001773A9">
        <w:rPr>
          <w:rFonts w:asciiTheme="minorEastAsia" w:hAnsiTheme="minorEastAsia"/>
        </w:rPr>
        <w:t>:DP=</w:t>
      </w:r>
      <w:r w:rsidRPr="001773A9">
        <w:rPr>
          <w:rFonts w:asciiTheme="minorEastAsia" w:hAnsiTheme="minorEastAsia" w:hint="eastAsia"/>
        </w:rPr>
        <w:t>流动负债</w:t>
      </w:r>
      <w:r w:rsidRPr="001773A9">
        <w:rPr>
          <w:rFonts w:asciiTheme="minorEastAsia" w:hAnsiTheme="minorEastAsia"/>
        </w:rPr>
        <w:t>+0.5×</w:t>
      </w:r>
      <w:r w:rsidRPr="001773A9">
        <w:rPr>
          <w:rFonts w:asciiTheme="minorEastAsia" w:hAnsiTheme="minorEastAsia" w:hint="eastAsia"/>
        </w:rPr>
        <w:t>长期负债</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3.</w:t>
      </w:r>
      <w:r w:rsidRPr="001773A9">
        <w:rPr>
          <w:rFonts w:asciiTheme="minorEastAsia" w:hAnsiTheme="minorEastAsia" w:hint="eastAsia"/>
        </w:rPr>
        <w:t>无风险利率</w:t>
      </w:r>
      <w:r w:rsidRPr="001773A9">
        <w:rPr>
          <w:rFonts w:asciiTheme="minorEastAsia" w:hAnsiTheme="minorEastAsia"/>
        </w:rPr>
        <w:t>r</w:t>
      </w:r>
      <w:r w:rsidRPr="001773A9">
        <w:rPr>
          <w:rFonts w:asciiTheme="minorEastAsia" w:hAnsiTheme="minorEastAsia" w:hint="eastAsia"/>
        </w:rPr>
        <w:t>以银行一年期存款利率</w:t>
      </w:r>
      <w:r w:rsidRPr="001773A9">
        <w:rPr>
          <w:rFonts w:asciiTheme="minorEastAsia" w:hAnsiTheme="minorEastAsia"/>
        </w:rPr>
        <w:t>1.98%</w:t>
      </w:r>
      <w:r w:rsidRPr="001773A9">
        <w:rPr>
          <w:rFonts w:asciiTheme="minorEastAsia" w:hAnsiTheme="minorEastAsia" w:hint="eastAsia"/>
        </w:rPr>
        <w:t>作为替代</w:t>
      </w:r>
      <w:r w:rsidRPr="001773A9">
        <w:rPr>
          <w:rFonts w:asciiTheme="minorEastAsia" w:hAnsiTheme="minorEastAsia"/>
        </w:rPr>
        <w:t>,</w:t>
      </w:r>
      <w:r w:rsidRPr="001773A9">
        <w:rPr>
          <w:rFonts w:asciiTheme="minorEastAsia" w:hAnsiTheme="minorEastAsia" w:hint="eastAsia"/>
        </w:rPr>
        <w:t>为了简化计算</w:t>
      </w:r>
      <w:r w:rsidRPr="001773A9">
        <w:rPr>
          <w:rFonts w:asciiTheme="minorEastAsia" w:hAnsiTheme="minorEastAsia"/>
        </w:rPr>
        <w:t>,</w:t>
      </w:r>
      <w:r w:rsidRPr="001773A9">
        <w:rPr>
          <w:rFonts w:asciiTheme="minorEastAsia" w:hAnsiTheme="minorEastAsia" w:hint="eastAsia"/>
        </w:rPr>
        <w:t>本文将</w:t>
      </w:r>
      <w:r w:rsidRPr="001773A9">
        <w:rPr>
          <w:rFonts w:asciiTheme="minorEastAsia" w:hAnsiTheme="minorEastAsia"/>
        </w:rPr>
        <w:t>r</w:t>
      </w:r>
      <w:r w:rsidRPr="001773A9">
        <w:rPr>
          <w:rFonts w:asciiTheme="minorEastAsia" w:hAnsiTheme="minorEastAsia" w:hint="eastAsia"/>
        </w:rPr>
        <w:t>定义为</w:t>
      </w:r>
      <w:r w:rsidRPr="001773A9">
        <w:rPr>
          <w:rFonts w:asciiTheme="minorEastAsia" w:hAnsiTheme="minorEastAsia"/>
        </w:rPr>
        <w:t>2%</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4.股本价值的计算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我国上市公司股权结构中含有流通股和非流通股</w:t>
      </w:r>
      <w:r w:rsidRPr="001773A9">
        <w:rPr>
          <w:rFonts w:asciiTheme="minorEastAsia" w:hAnsiTheme="minorEastAsia"/>
        </w:rPr>
        <w:t>,</w:t>
      </w:r>
      <w:r w:rsidRPr="001773A9">
        <w:rPr>
          <w:rFonts w:asciiTheme="minorEastAsia" w:hAnsiTheme="minorEastAsia" w:hint="eastAsia"/>
        </w:rPr>
        <w:t>因此</w:t>
      </w:r>
      <w:r w:rsidRPr="001773A9">
        <w:rPr>
          <w:rFonts w:asciiTheme="minorEastAsia" w:hAnsiTheme="minorEastAsia"/>
        </w:rPr>
        <w:t>,</w:t>
      </w:r>
      <w:r w:rsidRPr="001773A9">
        <w:rPr>
          <w:rFonts w:asciiTheme="minorEastAsia" w:hAnsiTheme="minorEastAsia" w:hint="eastAsia"/>
        </w:rPr>
        <w:t>对于非流通股价值的计算方法对计算结果会有很大影响</w:t>
      </w:r>
      <w:r w:rsidRPr="001773A9">
        <w:rPr>
          <w:rFonts w:ascii="MS Mincho" w:eastAsia="MS Mincho" w:hAnsi="MS Mincho" w:cs="MS Mincho" w:hint="eastAsia"/>
        </w:rPr>
        <w:t>｡</w:t>
      </w:r>
      <w:r w:rsidRPr="001773A9">
        <w:rPr>
          <w:rFonts w:asciiTheme="minorEastAsia" w:hAnsiTheme="minorEastAsia" w:cs="宋体" w:hint="eastAsia"/>
        </w:rPr>
        <w:t>董颖</w:t>
      </w:r>
      <w:proofErr w:type="gramStart"/>
      <w:r w:rsidRPr="001773A9">
        <w:rPr>
          <w:rFonts w:asciiTheme="minorEastAsia" w:hAnsiTheme="minorEastAsia" w:cs="宋体" w:hint="eastAsia"/>
        </w:rPr>
        <w:t>颖</w:t>
      </w:r>
      <w:proofErr w:type="gramEnd"/>
      <w:r w:rsidRPr="001773A9">
        <w:rPr>
          <w:rFonts w:asciiTheme="minorEastAsia" w:hAnsiTheme="minorEastAsia"/>
        </w:rPr>
        <w:t>,</w:t>
      </w:r>
      <w:r w:rsidRPr="001773A9">
        <w:rPr>
          <w:rFonts w:asciiTheme="minorEastAsia" w:hAnsiTheme="minorEastAsia" w:hint="eastAsia"/>
        </w:rPr>
        <w:t>薛锋</w:t>
      </w:r>
      <w:r w:rsidRPr="001773A9">
        <w:rPr>
          <w:rFonts w:asciiTheme="minorEastAsia" w:hAnsiTheme="minorEastAsia"/>
        </w:rPr>
        <w:t>,</w:t>
      </w:r>
      <w:r w:rsidRPr="001773A9">
        <w:rPr>
          <w:rFonts w:asciiTheme="minorEastAsia" w:hAnsiTheme="minorEastAsia" w:hint="eastAsia"/>
        </w:rPr>
        <w:t>关伟</w:t>
      </w:r>
      <w:r w:rsidRPr="001773A9">
        <w:rPr>
          <w:rFonts w:asciiTheme="minorEastAsia" w:hAnsiTheme="minorEastAsia"/>
        </w:rPr>
        <w:t>(2004)</w:t>
      </w:r>
      <w:r w:rsidRPr="001773A9">
        <w:rPr>
          <w:rFonts w:asciiTheme="minorEastAsia" w:hAnsiTheme="minorEastAsia" w:hint="eastAsia"/>
        </w:rPr>
        <w:t>对于非流通股价值的计算选取了</w:t>
      </w:r>
      <w:r w:rsidRPr="001773A9">
        <w:rPr>
          <w:rFonts w:asciiTheme="minorEastAsia" w:hAnsiTheme="minorEastAsia"/>
        </w:rPr>
        <w:t>2000</w:t>
      </w:r>
      <w:r w:rsidRPr="001773A9">
        <w:rPr>
          <w:rFonts w:asciiTheme="minorEastAsia" w:hAnsiTheme="minorEastAsia" w:hint="eastAsia"/>
        </w:rPr>
        <w:t>年和</w:t>
      </w:r>
      <w:r w:rsidRPr="001773A9">
        <w:rPr>
          <w:rFonts w:asciiTheme="minorEastAsia" w:hAnsiTheme="minorEastAsia"/>
        </w:rPr>
        <w:t>2001</w:t>
      </w:r>
      <w:r w:rsidRPr="001773A9">
        <w:rPr>
          <w:rFonts w:asciiTheme="minorEastAsia" w:hAnsiTheme="minorEastAsia" w:hint="eastAsia"/>
        </w:rPr>
        <w:t>年协议转让的</w:t>
      </w:r>
      <w:r w:rsidRPr="001773A9">
        <w:rPr>
          <w:rFonts w:asciiTheme="minorEastAsia" w:hAnsiTheme="minorEastAsia"/>
        </w:rPr>
        <w:t>38</w:t>
      </w:r>
      <w:r w:rsidRPr="001773A9">
        <w:rPr>
          <w:rFonts w:asciiTheme="minorEastAsia" w:hAnsiTheme="minorEastAsia" w:hint="eastAsia"/>
        </w:rPr>
        <w:t>只国有股的相关数据进行回归分析的研究结果是</w:t>
      </w:r>
      <w:r w:rsidRPr="001773A9">
        <w:rPr>
          <w:rFonts w:asciiTheme="minorEastAsia" w:hAnsiTheme="minorEastAsia"/>
        </w:rPr>
        <w:t>P=1.326+0.53X(P:</w:t>
      </w:r>
      <w:r w:rsidRPr="001773A9">
        <w:rPr>
          <w:rFonts w:asciiTheme="minorEastAsia" w:hAnsiTheme="minorEastAsia" w:hint="eastAsia"/>
        </w:rPr>
        <w:t>非流通股每股价值</w:t>
      </w:r>
      <w:r w:rsidRPr="001773A9">
        <w:rPr>
          <w:rFonts w:asciiTheme="minorEastAsia" w:hAnsiTheme="minorEastAsia"/>
        </w:rPr>
        <w:t>,X:</w:t>
      </w:r>
      <w:r w:rsidRPr="001773A9">
        <w:rPr>
          <w:rFonts w:asciiTheme="minorEastAsia" w:hAnsiTheme="minorEastAsia" w:hint="eastAsia"/>
        </w:rPr>
        <w:t>每股净资产</w:t>
      </w:r>
      <w:r w:rsidRPr="001773A9">
        <w:rPr>
          <w:rFonts w:asciiTheme="minorEastAsia" w:hAnsiTheme="minorEastAsia"/>
        </w:rPr>
        <w:t>),</w:t>
      </w:r>
      <w:r w:rsidRPr="001773A9">
        <w:rPr>
          <w:rFonts w:asciiTheme="minorEastAsia" w:hAnsiTheme="minorEastAsia" w:hint="eastAsia"/>
        </w:rPr>
        <w:t>参数</w:t>
      </w:r>
      <w:r w:rsidRPr="001773A9">
        <w:rPr>
          <w:rFonts w:asciiTheme="minorEastAsia" w:hAnsiTheme="minorEastAsia"/>
        </w:rPr>
        <w:t>t</w:t>
      </w:r>
      <w:r w:rsidRPr="001773A9">
        <w:rPr>
          <w:rFonts w:asciiTheme="minorEastAsia" w:hAnsiTheme="minorEastAsia" w:hint="eastAsia"/>
        </w:rPr>
        <w:t>检验以及模型可靠性</w:t>
      </w:r>
      <w:r w:rsidRPr="001773A9">
        <w:rPr>
          <w:rFonts w:asciiTheme="minorEastAsia" w:hAnsiTheme="minorEastAsia"/>
        </w:rPr>
        <w:t>F</w:t>
      </w:r>
      <w:r w:rsidRPr="001773A9">
        <w:rPr>
          <w:rFonts w:asciiTheme="minorEastAsia" w:hAnsiTheme="minorEastAsia" w:hint="eastAsia"/>
        </w:rPr>
        <w:t>检验均在</w:t>
      </w:r>
      <w:r w:rsidRPr="001773A9">
        <w:rPr>
          <w:rFonts w:asciiTheme="minorEastAsia" w:hAnsiTheme="minorEastAsia"/>
        </w:rPr>
        <w:t>0.01</w:t>
      </w:r>
      <w:r w:rsidRPr="001773A9">
        <w:rPr>
          <w:rFonts w:asciiTheme="minorEastAsia" w:hAnsiTheme="minorEastAsia" w:hint="eastAsia"/>
        </w:rPr>
        <w:t>显著水平上</w:t>
      </w:r>
      <w:r w:rsidRPr="001773A9">
        <w:rPr>
          <w:rFonts w:asciiTheme="minorEastAsia" w:hAnsiTheme="minorEastAsia"/>
        </w:rPr>
        <w:t>,</w:t>
      </w:r>
      <w:r w:rsidRPr="001773A9">
        <w:rPr>
          <w:rFonts w:asciiTheme="minorEastAsia" w:hAnsiTheme="minorEastAsia" w:hint="eastAsia"/>
        </w:rPr>
        <w:t>且相应的</w:t>
      </w:r>
      <w:r w:rsidRPr="001773A9">
        <w:rPr>
          <w:rFonts w:asciiTheme="minorEastAsia" w:hAnsiTheme="minorEastAsia"/>
        </w:rPr>
        <w:t>D-W</w:t>
      </w:r>
      <w:r w:rsidRPr="001773A9">
        <w:rPr>
          <w:rFonts w:asciiTheme="minorEastAsia" w:hAnsiTheme="minorEastAsia" w:hint="eastAsia"/>
        </w:rPr>
        <w:t>值介于</w:t>
      </w:r>
      <w:r w:rsidRPr="001773A9">
        <w:rPr>
          <w:rFonts w:asciiTheme="minorEastAsia" w:hAnsiTheme="minorEastAsia"/>
        </w:rPr>
        <w:t>1</w:t>
      </w:r>
      <w:r w:rsidRPr="001773A9">
        <w:rPr>
          <w:rFonts w:asciiTheme="minorEastAsia" w:hAnsiTheme="minorEastAsia" w:hint="eastAsia"/>
        </w:rPr>
        <w:t>和</w:t>
      </w:r>
      <w:r w:rsidRPr="001773A9">
        <w:rPr>
          <w:rFonts w:asciiTheme="minorEastAsia" w:hAnsiTheme="minorEastAsia"/>
        </w:rPr>
        <w:t>2</w:t>
      </w:r>
      <w:r w:rsidRPr="001773A9">
        <w:rPr>
          <w:rFonts w:asciiTheme="minorEastAsia" w:hAnsiTheme="minorEastAsia" w:hint="eastAsia"/>
        </w:rPr>
        <w:t>之间</w:t>
      </w:r>
      <w:r w:rsidRPr="001773A9">
        <w:rPr>
          <w:rFonts w:asciiTheme="minorEastAsia" w:hAnsiTheme="minorEastAsia"/>
        </w:rPr>
        <w:t>,</w:t>
      </w:r>
      <w:r w:rsidRPr="001773A9">
        <w:rPr>
          <w:rFonts w:asciiTheme="minorEastAsia" w:hAnsiTheme="minorEastAsia" w:hint="eastAsia"/>
        </w:rPr>
        <w:t>从而可以认为序列不相关</w:t>
      </w:r>
      <w:r w:rsidRPr="001773A9">
        <w:rPr>
          <w:rFonts w:asciiTheme="minorEastAsia" w:hAnsiTheme="minorEastAsia"/>
        </w:rPr>
        <w:t>,</w:t>
      </w:r>
      <w:r w:rsidRPr="001773A9">
        <w:rPr>
          <w:rFonts w:asciiTheme="minorEastAsia" w:hAnsiTheme="minorEastAsia" w:hint="eastAsia"/>
        </w:rPr>
        <w:t>因此参数本身以及方程总体都是合适的</w:t>
      </w:r>
      <w:r w:rsidRPr="001773A9">
        <w:rPr>
          <w:rFonts w:ascii="MS Mincho" w:eastAsia="MS Mincho" w:hAnsi="MS Mincho" w:cs="MS Mincho" w:hint="eastAsia"/>
        </w:rPr>
        <w:t>｡</w:t>
      </w:r>
      <w:r w:rsidRPr="001773A9">
        <w:rPr>
          <w:rFonts w:asciiTheme="minorEastAsia" w:hAnsiTheme="minorEastAsia" w:cs="宋体" w:hint="eastAsia"/>
        </w:rPr>
        <w:t>本文对非流通股价值的计算将运用这一结果</w:t>
      </w:r>
      <w:r w:rsidRPr="001773A9">
        <w:rPr>
          <w:rFonts w:ascii="MS Mincho" w:eastAsia="MS Mincho" w:hAnsi="MS Mincho" w:cs="MS Mincho" w:hint="eastAsia"/>
        </w:rPr>
        <w:t>｡</w:t>
      </w:r>
      <w:r w:rsidRPr="001773A9">
        <w:rPr>
          <w:rFonts w:asciiTheme="minorEastAsia" w:hAnsiTheme="minorEastAsia" w:cs="宋体" w:hint="eastAsia"/>
        </w:rPr>
        <w:t>①</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5.</w:t>
      </w:r>
      <w:r w:rsidRPr="001773A9">
        <w:rPr>
          <w:rFonts w:asciiTheme="minorEastAsia" w:hAnsiTheme="minorEastAsia" w:hint="eastAsia"/>
        </w:rPr>
        <w:t>时间范围τ为一年</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ind w:firstLine="420"/>
        <w:rPr>
          <w:rFonts w:asciiTheme="minorEastAsia" w:hAnsiTheme="minorEastAsia" w:hint="eastAsia"/>
        </w:rPr>
      </w:pPr>
      <w:r w:rsidRPr="001773A9">
        <w:rPr>
          <w:rFonts w:asciiTheme="minorEastAsia" w:hAnsiTheme="minorEastAsia"/>
        </w:rPr>
        <w:t>6.</w:t>
      </w:r>
      <w:r w:rsidRPr="001773A9">
        <w:rPr>
          <w:rFonts w:asciiTheme="minorEastAsia" w:hAnsiTheme="minorEastAsia" w:hint="eastAsia"/>
        </w:rPr>
        <w:t>以流通股股价波动率代替股本价值波动率</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w:t>
      </w:r>
      <w:r w:rsidRPr="001773A9">
        <w:rPr>
          <w:rFonts w:asciiTheme="minorEastAsia" w:hAnsiTheme="minorEastAsia" w:hint="eastAsia"/>
        </w:rPr>
        <w:t xml:space="preserve">(三)样本选取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本文选取某国有商业银行在沪</w:t>
      </w:r>
      <w:r w:rsidRPr="001773A9">
        <w:rPr>
          <w:rFonts w:ascii="MS Mincho" w:eastAsia="MS Mincho" w:hAnsi="MS Mincho" w:cs="MS Mincho" w:hint="eastAsia"/>
        </w:rPr>
        <w:t>､</w:t>
      </w:r>
      <w:r w:rsidRPr="001773A9">
        <w:rPr>
          <w:rFonts w:asciiTheme="minorEastAsia" w:hAnsiTheme="minorEastAsia" w:cs="宋体" w:hint="eastAsia"/>
        </w:rPr>
        <w:t>深股市</w:t>
      </w:r>
      <w:r w:rsidRPr="001773A9">
        <w:rPr>
          <w:rFonts w:asciiTheme="minorEastAsia" w:hAnsiTheme="minorEastAsia"/>
        </w:rPr>
        <w:t>235</w:t>
      </w:r>
      <w:r w:rsidRPr="001773A9">
        <w:rPr>
          <w:rFonts w:asciiTheme="minorEastAsia" w:hAnsiTheme="minorEastAsia" w:hint="eastAsia"/>
        </w:rPr>
        <w:t>家的贷款客户为样本</w:t>
      </w:r>
      <w:r w:rsidRPr="001773A9">
        <w:rPr>
          <w:rFonts w:asciiTheme="minorEastAsia" w:hAnsiTheme="minorEastAsia"/>
        </w:rPr>
        <w:t>,</w:t>
      </w:r>
      <w:r w:rsidRPr="001773A9">
        <w:rPr>
          <w:rFonts w:asciiTheme="minorEastAsia" w:hAnsiTheme="minorEastAsia" w:hint="eastAsia"/>
        </w:rPr>
        <w:t>由于贷款不良率数据来源的限制</w:t>
      </w:r>
      <w:r w:rsidRPr="001773A9">
        <w:rPr>
          <w:rFonts w:asciiTheme="minorEastAsia" w:hAnsiTheme="minorEastAsia"/>
        </w:rPr>
        <w:t>,</w:t>
      </w:r>
      <w:r w:rsidRPr="001773A9">
        <w:rPr>
          <w:rFonts w:asciiTheme="minorEastAsia" w:hAnsiTheme="minorEastAsia" w:hint="eastAsia"/>
        </w:rPr>
        <w:t>故本文计算样本以</w:t>
      </w:r>
      <w:r w:rsidRPr="001773A9">
        <w:rPr>
          <w:rFonts w:asciiTheme="minorEastAsia" w:hAnsiTheme="minorEastAsia"/>
        </w:rPr>
        <w:t>2000</w:t>
      </w:r>
      <w:r w:rsidRPr="001773A9">
        <w:rPr>
          <w:rFonts w:asciiTheme="minorEastAsia" w:hAnsiTheme="minorEastAsia" w:hint="eastAsia"/>
        </w:rPr>
        <w:t>年</w:t>
      </w:r>
      <w:r w:rsidRPr="001773A9">
        <w:rPr>
          <w:rFonts w:asciiTheme="minorEastAsia" w:hAnsiTheme="minorEastAsia"/>
        </w:rPr>
        <w:t>12</w:t>
      </w:r>
      <w:r w:rsidRPr="001773A9">
        <w:rPr>
          <w:rFonts w:asciiTheme="minorEastAsia" w:hAnsiTheme="minorEastAsia" w:hint="eastAsia"/>
        </w:rPr>
        <w:t>月</w:t>
      </w:r>
      <w:r w:rsidRPr="001773A9">
        <w:rPr>
          <w:rFonts w:asciiTheme="minorEastAsia" w:hAnsiTheme="minorEastAsia"/>
        </w:rPr>
        <w:t>31</w:t>
      </w:r>
      <w:r w:rsidRPr="001773A9">
        <w:rPr>
          <w:rFonts w:asciiTheme="minorEastAsia" w:hAnsiTheme="minorEastAsia" w:hint="eastAsia"/>
        </w:rPr>
        <w:t>日为基准点</w:t>
      </w:r>
      <w:r w:rsidRPr="001773A9">
        <w:rPr>
          <w:rFonts w:asciiTheme="minorEastAsia" w:hAnsiTheme="minorEastAsia"/>
        </w:rPr>
        <w:t>,</w:t>
      </w:r>
      <w:r w:rsidRPr="001773A9">
        <w:rPr>
          <w:rFonts w:asciiTheme="minorEastAsia" w:hAnsiTheme="minorEastAsia" w:hint="eastAsia"/>
        </w:rPr>
        <w:t>期限为一年的违约距离</w:t>
      </w:r>
      <w:r w:rsidRPr="001773A9">
        <w:rPr>
          <w:rFonts w:asciiTheme="minorEastAsia" w:hAnsiTheme="minorEastAsia"/>
        </w:rPr>
        <w:t>,</w:t>
      </w:r>
      <w:r w:rsidRPr="001773A9">
        <w:rPr>
          <w:rFonts w:asciiTheme="minorEastAsia" w:hAnsiTheme="minorEastAsia" w:hint="eastAsia"/>
        </w:rPr>
        <w:t>并与</w:t>
      </w:r>
      <w:r w:rsidRPr="001773A9">
        <w:rPr>
          <w:rFonts w:asciiTheme="minorEastAsia" w:hAnsiTheme="minorEastAsia"/>
        </w:rPr>
        <w:t>2001</w:t>
      </w:r>
      <w:r w:rsidRPr="001773A9">
        <w:rPr>
          <w:rFonts w:asciiTheme="minorEastAsia" w:hAnsiTheme="minorEastAsia" w:hint="eastAsia"/>
        </w:rPr>
        <w:t>年末的样本贷款不良率建立函数关系</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三</w:t>
      </w:r>
      <w:r w:rsidRPr="001773A9">
        <w:rPr>
          <w:rFonts w:ascii="MS Mincho" w:eastAsia="MS Mincho" w:hAnsi="MS Mincho" w:cs="MS Mincho" w:hint="eastAsia"/>
        </w:rPr>
        <w:t>､</w:t>
      </w:r>
      <w:r w:rsidRPr="001773A9">
        <w:rPr>
          <w:rFonts w:asciiTheme="minorEastAsia" w:hAnsiTheme="minorEastAsia" w:cs="宋体" w:hint="eastAsia"/>
        </w:rPr>
        <w:t>实证结果及分析</w:t>
      </w:r>
      <w:r w:rsidRPr="001773A9">
        <w:rPr>
          <w:rFonts w:asciiTheme="minorEastAsia" w:hAnsiTheme="minor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w:t>
      </w:r>
      <w:proofErr w:type="gramStart"/>
      <w:r w:rsidRPr="001773A9">
        <w:rPr>
          <w:rFonts w:asciiTheme="minorEastAsia" w:hAnsiTheme="minorEastAsia" w:hint="eastAsia"/>
        </w:rPr>
        <w:t>一</w:t>
      </w:r>
      <w:proofErr w:type="gramEnd"/>
      <w:r w:rsidRPr="001773A9">
        <w:rPr>
          <w:rFonts w:asciiTheme="minorEastAsia" w:hAnsiTheme="minorEastAsia" w:hint="eastAsia"/>
        </w:rPr>
        <w:t xml:space="preserve">)实证结果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1.数据处理结果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本文运用</w:t>
      </w:r>
      <w:r w:rsidRPr="001773A9">
        <w:rPr>
          <w:rFonts w:asciiTheme="minorEastAsia" w:hAnsiTheme="minorEastAsia"/>
        </w:rPr>
        <w:t>Excel</w:t>
      </w:r>
      <w:r w:rsidRPr="001773A9">
        <w:rPr>
          <w:rFonts w:asciiTheme="minorEastAsia" w:hAnsiTheme="minorEastAsia" w:hint="eastAsia"/>
        </w:rPr>
        <w:t>软件对原始数据进行处理</w:t>
      </w:r>
      <w:r w:rsidRPr="001773A9">
        <w:rPr>
          <w:rFonts w:asciiTheme="minorEastAsia" w:hAnsiTheme="minorEastAsia"/>
        </w:rPr>
        <w:t>,</w:t>
      </w:r>
      <w:r w:rsidRPr="001773A9">
        <w:rPr>
          <w:rFonts w:asciiTheme="minorEastAsia" w:hAnsiTheme="minorEastAsia" w:hint="eastAsia"/>
        </w:rPr>
        <w:t>并运用</w:t>
      </w:r>
      <w:proofErr w:type="spellStart"/>
      <w:r w:rsidRPr="001773A9">
        <w:rPr>
          <w:rFonts w:asciiTheme="minorEastAsia" w:hAnsiTheme="minorEastAsia"/>
        </w:rPr>
        <w:t>Matlab</w:t>
      </w:r>
      <w:proofErr w:type="spellEnd"/>
      <w:r w:rsidRPr="001773A9">
        <w:rPr>
          <w:rFonts w:asciiTheme="minorEastAsia" w:hAnsiTheme="minorEastAsia" w:hint="eastAsia"/>
        </w:rPr>
        <w:t>软件对模型中的二元非线性方程组求解</w:t>
      </w:r>
      <w:r w:rsidRPr="001773A9">
        <w:rPr>
          <w:rFonts w:asciiTheme="minorEastAsia" w:hAnsiTheme="minorEastAsia"/>
        </w:rPr>
        <w:t>,</w:t>
      </w:r>
      <w:r w:rsidRPr="001773A9">
        <w:rPr>
          <w:rFonts w:asciiTheme="minorEastAsia" w:hAnsiTheme="minorEastAsia" w:hint="eastAsia"/>
        </w:rPr>
        <w:t>处理结果如下</w:t>
      </w:r>
      <w:r w:rsidRPr="001773A9">
        <w:rPr>
          <w:rFonts w:asciiTheme="minorEastAsia" w:hAnsiTheme="minorEastAsia"/>
        </w:rPr>
        <w:t>:(</w:t>
      </w:r>
      <w:r w:rsidRPr="001773A9">
        <w:rPr>
          <w:rFonts w:asciiTheme="minorEastAsia" w:hAnsiTheme="minorEastAsia" w:hint="eastAsia"/>
        </w:rPr>
        <w:t>处理过程与</w:t>
      </w:r>
      <w:proofErr w:type="spellStart"/>
      <w:r w:rsidRPr="001773A9">
        <w:rPr>
          <w:rFonts w:asciiTheme="minorEastAsia" w:hAnsiTheme="minorEastAsia"/>
        </w:rPr>
        <w:t>Matlab</w:t>
      </w:r>
      <w:proofErr w:type="spellEnd"/>
      <w:r w:rsidRPr="001773A9">
        <w:rPr>
          <w:rFonts w:asciiTheme="minorEastAsia" w:hAnsiTheme="minorEastAsia" w:hint="eastAsia"/>
        </w:rPr>
        <w:t>求解程序略</w:t>
      </w:r>
      <w:r w:rsidRPr="001773A9">
        <w:rPr>
          <w:rFonts w:asciiTheme="minorEastAsia" w:hAnsiTheme="minorEastAsia"/>
        </w:rPr>
        <w:t>,</w:t>
      </w:r>
      <w:r w:rsidRPr="001773A9">
        <w:rPr>
          <w:rFonts w:asciiTheme="minorEastAsia" w:hAnsiTheme="minorEastAsia" w:hint="eastAsia"/>
        </w:rPr>
        <w:t>依股票代码列举前</w:t>
      </w:r>
      <w:r w:rsidRPr="001773A9">
        <w:rPr>
          <w:rFonts w:asciiTheme="minorEastAsia" w:hAnsiTheme="minorEastAsia"/>
        </w:rPr>
        <w:t>30</w:t>
      </w:r>
      <w:r w:rsidRPr="001773A9">
        <w:rPr>
          <w:rFonts w:asciiTheme="minorEastAsia" w:hAnsiTheme="minorEastAsia" w:hint="eastAsia"/>
        </w:rPr>
        <w:t>个样本相关数据</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2.回归分析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本文运用</w:t>
      </w:r>
      <w:proofErr w:type="spellStart"/>
      <w:r w:rsidRPr="001773A9">
        <w:rPr>
          <w:rFonts w:asciiTheme="minorEastAsia" w:hAnsiTheme="minorEastAsia" w:hint="eastAsia"/>
        </w:rPr>
        <w:t>Eviews</w:t>
      </w:r>
      <w:proofErr w:type="spellEnd"/>
      <w:r w:rsidRPr="001773A9">
        <w:rPr>
          <w:rFonts w:asciiTheme="minorEastAsia" w:hAnsiTheme="minorEastAsia" w:hint="eastAsia"/>
        </w:rPr>
        <w:t xml:space="preserve">软件对资产不良率(自变量:Y)和违约距离(因变量:DD)进行回归分析,所得结果如下: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(1)回归的相关参数为: </w:t>
      </w:r>
    </w:p>
    <w:p w:rsidR="00761605" w:rsidRPr="001773A9" w:rsidRDefault="00761605" w:rsidP="00761605">
      <w:pPr>
        <w:rPr>
          <w:rFonts w:asciiTheme="minorEastAsia" w:hAnsiTheme="minorEastAsia" w:hint="eastAsia"/>
        </w:rPr>
      </w:pPr>
      <w:r w:rsidRPr="001773A9">
        <w:rPr>
          <w:rFonts w:asciiTheme="minorEastAsia" w:hAnsiTheme="minorEastAsia" w:hint="eastAsia"/>
        </w:rPr>
        <w:lastRenderedPageBreak/>
        <w:t xml:space="preserve">　　R-squared0.058349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F-statistic14.62371 </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w:t>
      </w:r>
      <w:proofErr w:type="spellStart"/>
      <w:proofErr w:type="gramStart"/>
      <w:r w:rsidRPr="001773A9">
        <w:rPr>
          <w:rFonts w:asciiTheme="minorEastAsia" w:hAnsiTheme="minorEastAsia" w:hint="eastAsia"/>
        </w:rPr>
        <w:t>Prob</w:t>
      </w:r>
      <w:proofErr w:type="spellEnd"/>
      <w:r w:rsidRPr="001773A9">
        <w:rPr>
          <w:rFonts w:asciiTheme="minorEastAsia" w:hAnsiTheme="minorEastAsia" w:hint="eastAsia"/>
        </w:rPr>
        <w:t>(</w:t>
      </w:r>
      <w:proofErr w:type="gramEnd"/>
      <w:r w:rsidRPr="001773A9">
        <w:rPr>
          <w:rFonts w:asciiTheme="minorEastAsia" w:hAnsiTheme="minorEastAsia" w:hint="eastAsia"/>
        </w:rPr>
        <w:t xml:space="preserve">F-statistic) 0.000168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(2)回归方程可表示为:Y=66.98%-20.19%×DD</w:t>
      </w:r>
    </w:p>
    <w:p w:rsidR="00761605" w:rsidRPr="001773A9" w:rsidRDefault="00761605" w:rsidP="00761605">
      <w:pPr>
        <w:rPr>
          <w:rFonts w:asciiTheme="minorEastAsia" w:hAnsiTheme="minorEastAsia" w:hint="eastAsia"/>
        </w:rPr>
      </w:pPr>
      <w:r w:rsidRPr="001773A9">
        <w:rPr>
          <w:rFonts w:asciiTheme="minorEastAsia" w:hAnsiTheme="minorEastAsia" w:hint="eastAsia"/>
        </w:rPr>
        <w:t xml:space="preserve">　(二)实证结果分析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1.</w:t>
      </w:r>
      <w:r w:rsidRPr="001773A9">
        <w:rPr>
          <w:rFonts w:asciiTheme="minorEastAsia" w:hAnsiTheme="minorEastAsia" w:hint="eastAsia"/>
        </w:rPr>
        <w:t>使用不良率替代其违约率的方法可行</w:t>
      </w:r>
      <w:r w:rsidRPr="001773A9">
        <w:rPr>
          <w:rFonts w:ascii="MS Mincho" w:eastAsia="MS Mincho" w:hAnsi="MS Mincho" w:cs="MS Mincho" w:hint="eastAsia"/>
        </w:rPr>
        <w:t>｡</w:t>
      </w:r>
      <w:r w:rsidRPr="001773A9">
        <w:rPr>
          <w:rFonts w:asciiTheme="minorEastAsia" w:hAnsiTheme="minorEastAsia" w:cs="宋体" w:hint="eastAsia"/>
        </w:rPr>
        <w:t>回归方程</w:t>
      </w:r>
      <w:r w:rsidRPr="001773A9">
        <w:rPr>
          <w:rFonts w:asciiTheme="minorEastAsia" w:hAnsiTheme="minorEastAsia"/>
        </w:rPr>
        <w:t>F</w:t>
      </w:r>
      <w:r w:rsidRPr="001773A9">
        <w:rPr>
          <w:rFonts w:asciiTheme="minorEastAsia" w:hAnsiTheme="minorEastAsia" w:hint="eastAsia"/>
        </w:rPr>
        <w:t>检验</w:t>
      </w:r>
      <w:r w:rsidRPr="001773A9">
        <w:rPr>
          <w:rFonts w:ascii="MS Mincho" w:eastAsia="MS Mincho" w:hAnsi="MS Mincho" w:cs="MS Mincho" w:hint="eastAsia"/>
        </w:rPr>
        <w:t>､</w:t>
      </w:r>
      <w:r w:rsidRPr="001773A9">
        <w:rPr>
          <w:rFonts w:asciiTheme="minorEastAsia" w:hAnsiTheme="minorEastAsia"/>
        </w:rPr>
        <w:t>C</w:t>
      </w:r>
      <w:r w:rsidRPr="001773A9">
        <w:rPr>
          <w:rFonts w:asciiTheme="minorEastAsia" w:hAnsiTheme="minorEastAsia" w:hint="eastAsia"/>
        </w:rPr>
        <w:t>值和</w:t>
      </w:r>
      <w:r w:rsidRPr="001773A9">
        <w:rPr>
          <w:rFonts w:asciiTheme="minorEastAsia" w:hAnsiTheme="minorEastAsia"/>
        </w:rPr>
        <w:t>DD</w:t>
      </w:r>
      <w:r w:rsidRPr="001773A9">
        <w:rPr>
          <w:rFonts w:asciiTheme="minorEastAsia" w:hAnsiTheme="minorEastAsia" w:hint="eastAsia"/>
        </w:rPr>
        <w:t>值的</w:t>
      </w:r>
      <w:r w:rsidRPr="001773A9">
        <w:rPr>
          <w:rFonts w:asciiTheme="minorEastAsia" w:hAnsiTheme="minorEastAsia"/>
        </w:rPr>
        <w:t>t</w:t>
      </w:r>
      <w:r w:rsidRPr="001773A9">
        <w:rPr>
          <w:rFonts w:asciiTheme="minorEastAsia" w:hAnsiTheme="minorEastAsia" w:hint="eastAsia"/>
        </w:rPr>
        <w:t>检验在</w:t>
      </w:r>
      <w:r w:rsidRPr="001773A9">
        <w:rPr>
          <w:rFonts w:asciiTheme="minorEastAsia" w:hAnsiTheme="minorEastAsia"/>
        </w:rPr>
        <w:t>99%</w:t>
      </w:r>
      <w:r w:rsidRPr="001773A9">
        <w:rPr>
          <w:rFonts w:asciiTheme="minorEastAsia" w:hAnsiTheme="minorEastAsia" w:hint="eastAsia"/>
        </w:rPr>
        <w:t>置信水平显著</w:t>
      </w:r>
      <w:r w:rsidRPr="001773A9">
        <w:rPr>
          <w:rFonts w:ascii="MS Mincho" w:eastAsia="MS Mincho" w:hAnsi="MS Mincho" w:cs="MS Mincho" w:hint="eastAsia"/>
        </w:rPr>
        <w:t>｡</w:t>
      </w:r>
      <w:r w:rsidRPr="001773A9">
        <w:rPr>
          <w:rFonts w:asciiTheme="minorEastAsia" w:hAnsiTheme="minorEastAsia"/>
        </w:rPr>
        <w:t>R</w:t>
      </w:r>
      <w:r w:rsidRPr="001773A9">
        <w:rPr>
          <w:rFonts w:asciiTheme="minorEastAsia" w:hAnsiTheme="minorEastAsia" w:hint="eastAsia"/>
        </w:rPr>
        <w:t>平方的检验不显著的主要原因是因变量</w:t>
      </w:r>
      <w:r w:rsidRPr="001773A9">
        <w:rPr>
          <w:rFonts w:asciiTheme="minorEastAsia" w:hAnsiTheme="minorEastAsia"/>
        </w:rPr>
        <w:t>Y</w:t>
      </w:r>
      <w:r w:rsidRPr="001773A9">
        <w:rPr>
          <w:rFonts w:asciiTheme="minorEastAsia" w:hAnsiTheme="minorEastAsia" w:hint="eastAsia"/>
        </w:rPr>
        <w:t>资产不良率取值的离散程度不高</w:t>
      </w:r>
      <w:r w:rsidRPr="001773A9">
        <w:rPr>
          <w:rFonts w:asciiTheme="minorEastAsia" w:hAnsiTheme="minorEastAsia"/>
        </w:rPr>
        <w:t>(Y=0.00%</w:t>
      </w:r>
      <w:r w:rsidRPr="001773A9">
        <w:rPr>
          <w:rFonts w:asciiTheme="minorEastAsia" w:hAnsiTheme="minorEastAsia" w:hint="eastAsia"/>
        </w:rPr>
        <w:t>样本为</w:t>
      </w:r>
      <w:r w:rsidRPr="001773A9">
        <w:rPr>
          <w:rFonts w:asciiTheme="minorEastAsia" w:hAnsiTheme="minorEastAsia"/>
        </w:rPr>
        <w:t>153</w:t>
      </w:r>
      <w:r w:rsidRPr="001773A9">
        <w:rPr>
          <w:rFonts w:asciiTheme="minorEastAsia" w:hAnsiTheme="minorEastAsia" w:hint="eastAsia"/>
        </w:rPr>
        <w:t>个</w:t>
      </w:r>
      <w:r w:rsidRPr="001773A9">
        <w:rPr>
          <w:rFonts w:asciiTheme="minorEastAsia" w:hAnsiTheme="minorEastAsia"/>
        </w:rPr>
        <w:t>,</w:t>
      </w:r>
      <w:r w:rsidRPr="001773A9">
        <w:rPr>
          <w:rFonts w:asciiTheme="minorEastAsia" w:hAnsiTheme="minorEastAsia" w:hint="eastAsia"/>
        </w:rPr>
        <w:t>占样本总数的</w:t>
      </w:r>
      <w:r w:rsidRPr="001773A9">
        <w:rPr>
          <w:rFonts w:asciiTheme="minorEastAsia" w:hAnsiTheme="minorEastAsia"/>
        </w:rPr>
        <w:t>64%,Y=100.00%</w:t>
      </w:r>
      <w:r w:rsidRPr="001773A9">
        <w:rPr>
          <w:rFonts w:asciiTheme="minorEastAsia" w:hAnsiTheme="minorEastAsia" w:hint="eastAsia"/>
        </w:rPr>
        <w:t>的样本为</w:t>
      </w:r>
      <w:r w:rsidRPr="001773A9">
        <w:rPr>
          <w:rFonts w:asciiTheme="minorEastAsia" w:hAnsiTheme="minorEastAsia"/>
        </w:rPr>
        <w:t>29</w:t>
      </w:r>
      <w:r w:rsidRPr="001773A9">
        <w:rPr>
          <w:rFonts w:asciiTheme="minorEastAsia" w:hAnsiTheme="minorEastAsia" w:hint="eastAsia"/>
        </w:rPr>
        <w:t>个</w:t>
      </w:r>
      <w:r w:rsidRPr="001773A9">
        <w:rPr>
          <w:rFonts w:asciiTheme="minorEastAsia" w:hAnsiTheme="minorEastAsia"/>
        </w:rPr>
        <w:t>,</w:t>
      </w:r>
      <w:r w:rsidRPr="001773A9">
        <w:rPr>
          <w:rFonts w:asciiTheme="minorEastAsia" w:hAnsiTheme="minorEastAsia" w:hint="eastAsia"/>
        </w:rPr>
        <w:t>占样本总数的</w:t>
      </w:r>
      <w:r w:rsidRPr="001773A9">
        <w:rPr>
          <w:rFonts w:asciiTheme="minorEastAsia" w:hAnsiTheme="minorEastAsia"/>
        </w:rPr>
        <w:t>12%,Y</w:t>
      </w:r>
      <w:r w:rsidRPr="001773A9">
        <w:rPr>
          <w:rFonts w:asciiTheme="minorEastAsia" w:hAnsiTheme="minorEastAsia" w:hint="eastAsia"/>
        </w:rPr>
        <w:t>的标准差达到</w:t>
      </w:r>
      <w:r w:rsidRPr="001773A9">
        <w:rPr>
          <w:rFonts w:asciiTheme="minorEastAsia" w:hAnsiTheme="minorEastAsia"/>
        </w:rPr>
        <w:t>35.35%),</w:t>
      </w:r>
      <w:r w:rsidRPr="001773A9">
        <w:rPr>
          <w:rFonts w:asciiTheme="minorEastAsia" w:hAnsiTheme="minorEastAsia" w:hint="eastAsia"/>
        </w:rPr>
        <w:t>因此</w:t>
      </w:r>
      <w:r w:rsidRPr="001773A9">
        <w:rPr>
          <w:rFonts w:asciiTheme="minorEastAsia" w:hAnsiTheme="minorEastAsia"/>
        </w:rPr>
        <w:t>,</w:t>
      </w:r>
      <w:r w:rsidRPr="001773A9">
        <w:rPr>
          <w:rFonts w:asciiTheme="minorEastAsia" w:hAnsiTheme="minorEastAsia" w:hint="eastAsia"/>
        </w:rPr>
        <w:t>参数选取合适且回归方程总体显著</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2.</w:t>
      </w:r>
      <w:r w:rsidRPr="001773A9">
        <w:rPr>
          <w:rFonts w:asciiTheme="minorEastAsia" w:hAnsiTheme="minorEastAsia" w:hint="eastAsia"/>
        </w:rPr>
        <w:t>由于违约距离</w:t>
      </w:r>
      <w:r w:rsidRPr="001773A9">
        <w:rPr>
          <w:rFonts w:asciiTheme="minorEastAsia" w:hAnsiTheme="minorEastAsia"/>
        </w:rPr>
        <w:t>(DD)=f(</w:t>
      </w:r>
      <w:proofErr w:type="spellStart"/>
      <w:r w:rsidRPr="001773A9">
        <w:rPr>
          <w:rFonts w:asciiTheme="minorEastAsia" w:hAnsiTheme="minorEastAsia"/>
        </w:rPr>
        <w:t>E,σE,r,τ</w:t>
      </w:r>
      <w:proofErr w:type="spellEnd"/>
      <w:r w:rsidRPr="001773A9">
        <w:rPr>
          <w:rFonts w:asciiTheme="minorEastAsia" w:hAnsiTheme="minorEastAsia"/>
        </w:rPr>
        <w:t>),</w:t>
      </w:r>
      <w:r w:rsidRPr="001773A9">
        <w:rPr>
          <w:rFonts w:asciiTheme="minorEastAsia" w:hAnsiTheme="minorEastAsia" w:hint="eastAsia"/>
        </w:rPr>
        <w:t>且不良率</w:t>
      </w:r>
      <w:r w:rsidRPr="001773A9">
        <w:rPr>
          <w:rFonts w:asciiTheme="minorEastAsia" w:hAnsiTheme="minorEastAsia"/>
        </w:rPr>
        <w:t>Y=g(DD),</w:t>
      </w:r>
      <w:r w:rsidRPr="001773A9">
        <w:rPr>
          <w:rFonts w:asciiTheme="minorEastAsia" w:hAnsiTheme="minorEastAsia" w:hint="eastAsia"/>
        </w:rPr>
        <w:t>在本文中影响不良率的因素有</w:t>
      </w:r>
      <w:r w:rsidRPr="001773A9">
        <w:rPr>
          <w:rFonts w:asciiTheme="minorEastAsia" w:hAnsiTheme="minorEastAsia"/>
        </w:rPr>
        <w:t>:</w:t>
      </w:r>
      <w:proofErr w:type="spellStart"/>
      <w:r w:rsidRPr="001773A9">
        <w:rPr>
          <w:rFonts w:asciiTheme="minorEastAsia" w:hAnsiTheme="minorEastAsia"/>
        </w:rPr>
        <w:t>E,σE,r</w:t>
      </w:r>
      <w:proofErr w:type="spellEnd"/>
      <w:r w:rsidRPr="001773A9">
        <w:rPr>
          <w:rFonts w:asciiTheme="minorEastAsia" w:hAnsiTheme="minorEastAsia" w:hint="eastAsia"/>
        </w:rPr>
        <w:t>和τ等</w:t>
      </w:r>
      <w:r w:rsidRPr="001773A9">
        <w:rPr>
          <w:rFonts w:asciiTheme="minorEastAsia" w:hAnsiTheme="minorEastAsia"/>
        </w:rPr>
        <w:t>,E</w:t>
      </w:r>
      <w:r w:rsidRPr="001773A9">
        <w:rPr>
          <w:rFonts w:asciiTheme="minorEastAsia" w:hAnsiTheme="minorEastAsia" w:hint="eastAsia"/>
        </w:rPr>
        <w:t>和σ</w:t>
      </w:r>
      <w:r w:rsidRPr="001773A9">
        <w:rPr>
          <w:rFonts w:asciiTheme="minorEastAsia" w:hAnsiTheme="minorEastAsia"/>
        </w:rPr>
        <w:t>E</w:t>
      </w:r>
      <w:r w:rsidRPr="001773A9">
        <w:rPr>
          <w:rFonts w:asciiTheme="minorEastAsia" w:hAnsiTheme="minorEastAsia" w:hint="eastAsia"/>
        </w:rPr>
        <w:t>取值由上市公司的经营状况决定</w:t>
      </w:r>
      <w:r w:rsidRPr="001773A9">
        <w:rPr>
          <w:rFonts w:ascii="MS Mincho" w:eastAsia="MS Mincho" w:hAnsi="MS Mincho" w:cs="MS Mincho" w:hint="eastAsia"/>
        </w:rPr>
        <w:t>｡</w:t>
      </w:r>
      <w:r w:rsidRPr="001773A9">
        <w:rPr>
          <w:rFonts w:asciiTheme="minorEastAsia" w:hAnsiTheme="minorEastAsia" w:cs="宋体" w:hint="eastAsia"/>
        </w:rPr>
        <w:t>因此</w:t>
      </w:r>
      <w:r w:rsidRPr="001773A9">
        <w:rPr>
          <w:rFonts w:asciiTheme="minorEastAsia" w:hAnsiTheme="minorEastAsia"/>
        </w:rPr>
        <w:t>,</w:t>
      </w:r>
      <w:r w:rsidRPr="001773A9">
        <w:rPr>
          <w:rFonts w:asciiTheme="minorEastAsia" w:hAnsiTheme="minorEastAsia" w:hint="eastAsia"/>
        </w:rPr>
        <w:t>影响本文的不良率因素是上市公司的经营成果和财务状况</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3.</w:t>
      </w:r>
      <w:r w:rsidRPr="001773A9">
        <w:rPr>
          <w:rFonts w:asciiTheme="minorEastAsia" w:hAnsiTheme="minorEastAsia" w:hint="eastAsia"/>
        </w:rPr>
        <w:t>通过样本回归方程</w:t>
      </w:r>
      <w:r w:rsidRPr="001773A9">
        <w:rPr>
          <w:rFonts w:asciiTheme="minorEastAsia" w:hAnsiTheme="minorEastAsia"/>
        </w:rPr>
        <w:t>,</w:t>
      </w:r>
      <w:r w:rsidRPr="001773A9">
        <w:rPr>
          <w:rFonts w:asciiTheme="minorEastAsia" w:hAnsiTheme="minorEastAsia" w:hint="eastAsia"/>
        </w:rPr>
        <w:t>我们可以得知</w:t>
      </w:r>
      <w:r w:rsidRPr="001773A9">
        <w:rPr>
          <w:rFonts w:asciiTheme="minorEastAsia" w:hAnsiTheme="minorEastAsia"/>
        </w:rPr>
        <w:t>,</w:t>
      </w:r>
      <w:r w:rsidRPr="001773A9">
        <w:rPr>
          <w:rFonts w:asciiTheme="minorEastAsia" w:hAnsiTheme="minorEastAsia" w:hint="eastAsia"/>
        </w:rPr>
        <w:t>违约距离与不良率呈负相关关系</w:t>
      </w:r>
      <w:r w:rsidRPr="001773A9">
        <w:rPr>
          <w:rFonts w:asciiTheme="minorEastAsia" w:hAnsiTheme="minorEastAsia"/>
        </w:rPr>
        <w:t>,</w:t>
      </w:r>
      <w:r w:rsidRPr="001773A9">
        <w:rPr>
          <w:rFonts w:asciiTheme="minorEastAsia" w:hAnsiTheme="minorEastAsia" w:hint="eastAsia"/>
        </w:rPr>
        <w:t>违约距离每下降一个单位</w:t>
      </w:r>
      <w:r w:rsidRPr="001773A9">
        <w:rPr>
          <w:rFonts w:asciiTheme="minorEastAsia" w:hAnsiTheme="minorEastAsia"/>
        </w:rPr>
        <w:t>,</w:t>
      </w:r>
      <w:r w:rsidRPr="001773A9">
        <w:rPr>
          <w:rFonts w:asciiTheme="minorEastAsia" w:hAnsiTheme="minorEastAsia" w:hint="eastAsia"/>
        </w:rPr>
        <w:t>贷款不良率上升</w:t>
      </w:r>
      <w:r w:rsidRPr="001773A9">
        <w:rPr>
          <w:rFonts w:asciiTheme="minorEastAsia" w:hAnsiTheme="minorEastAsia"/>
        </w:rPr>
        <w:t>20.19%</w:t>
      </w:r>
      <w:r w:rsidRPr="001773A9">
        <w:rPr>
          <w:rFonts w:ascii="MS Mincho" w:eastAsia="MS Mincho" w:hAnsi="MS Mincho" w:cs="MS Mincho" w:hint="eastAsia"/>
        </w:rPr>
        <w:t>｡</w:t>
      </w:r>
      <w:r w:rsidRPr="001773A9">
        <w:rPr>
          <w:rFonts w:asciiTheme="minorEastAsia" w:hAnsiTheme="minorEastAsia" w:cs="宋体" w:hint="eastAsia"/>
        </w:rPr>
        <w:t>资本市场瞬息万变</w:t>
      </w:r>
      <w:r w:rsidRPr="001773A9">
        <w:rPr>
          <w:rFonts w:asciiTheme="minorEastAsia" w:hAnsiTheme="minorEastAsia"/>
        </w:rPr>
        <w:t>,</w:t>
      </w:r>
      <w:r w:rsidRPr="001773A9">
        <w:rPr>
          <w:rFonts w:asciiTheme="minorEastAsia" w:hAnsiTheme="minorEastAsia" w:hint="eastAsia"/>
        </w:rPr>
        <w:t>上市公司的经营成果和财务状况会即时反映在股价上</w:t>
      </w:r>
      <w:r w:rsidRPr="001773A9">
        <w:rPr>
          <w:rFonts w:asciiTheme="minorEastAsia" w:hAnsiTheme="minorEastAsia"/>
        </w:rPr>
        <w:t>,</w:t>
      </w:r>
      <w:r w:rsidRPr="001773A9">
        <w:rPr>
          <w:rFonts w:asciiTheme="minorEastAsia" w:hAnsiTheme="minorEastAsia" w:hint="eastAsia"/>
        </w:rPr>
        <w:t>我们可以随时根据更新的违约距离来计量出上市公司的信用风险</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四、结论</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1.</w:t>
      </w:r>
      <w:r w:rsidRPr="001773A9">
        <w:rPr>
          <w:rFonts w:asciiTheme="minorEastAsia" w:hAnsiTheme="minorEastAsia" w:hint="eastAsia"/>
        </w:rPr>
        <w:t>本文尝试使用上市公司在某国有商业银行贷款不良率替代其违约率</w:t>
      </w:r>
      <w:r w:rsidRPr="001773A9">
        <w:rPr>
          <w:rFonts w:asciiTheme="minorEastAsia" w:hAnsiTheme="minorEastAsia"/>
        </w:rPr>
        <w:t>,</w:t>
      </w:r>
      <w:r w:rsidRPr="001773A9">
        <w:rPr>
          <w:rFonts w:asciiTheme="minorEastAsia" w:hAnsiTheme="minorEastAsia" w:hint="eastAsia"/>
        </w:rPr>
        <w:t>并根据我国资本市场的特点</w:t>
      </w:r>
      <w:r w:rsidRPr="001773A9">
        <w:rPr>
          <w:rFonts w:asciiTheme="minorEastAsia" w:hAnsiTheme="minorEastAsia"/>
        </w:rPr>
        <w:t>,</w:t>
      </w:r>
      <w:r w:rsidRPr="001773A9">
        <w:rPr>
          <w:rFonts w:asciiTheme="minorEastAsia" w:hAnsiTheme="minorEastAsia" w:hint="eastAsia"/>
        </w:rPr>
        <w:t>选取</w:t>
      </w:r>
      <w:r w:rsidRPr="001773A9">
        <w:rPr>
          <w:rFonts w:asciiTheme="minorEastAsia" w:hAnsiTheme="minorEastAsia"/>
        </w:rPr>
        <w:t>KMV</w:t>
      </w:r>
      <w:r w:rsidRPr="001773A9">
        <w:rPr>
          <w:rFonts w:asciiTheme="minorEastAsia" w:hAnsiTheme="minorEastAsia" w:hint="eastAsia"/>
        </w:rPr>
        <w:t>模型的相关参数</w:t>
      </w:r>
      <w:r w:rsidRPr="001773A9">
        <w:rPr>
          <w:rFonts w:asciiTheme="minorEastAsia" w:hAnsiTheme="minorEastAsia"/>
        </w:rPr>
        <w:t>,</w:t>
      </w:r>
      <w:r w:rsidRPr="001773A9">
        <w:rPr>
          <w:rFonts w:asciiTheme="minorEastAsia" w:hAnsiTheme="minorEastAsia" w:hint="eastAsia"/>
        </w:rPr>
        <w:t>建立贷款不良率与违约率的函数关系</w:t>
      </w:r>
      <w:r w:rsidRPr="001773A9">
        <w:rPr>
          <w:rFonts w:ascii="MS Mincho" w:eastAsia="MS Mincho" w:hAnsi="MS Mincho" w:cs="MS Mincho" w:hint="eastAsia"/>
        </w:rPr>
        <w:t>｡</w:t>
      </w:r>
      <w:r w:rsidRPr="001773A9">
        <w:rPr>
          <w:rFonts w:asciiTheme="minorEastAsia" w:hAnsiTheme="minorEastAsia" w:cs="宋体" w:hint="eastAsia"/>
        </w:rPr>
        <w:t>用贷款不良率替代违约率后</w:t>
      </w:r>
      <w:r w:rsidRPr="001773A9">
        <w:rPr>
          <w:rFonts w:asciiTheme="minorEastAsia" w:hAnsiTheme="minorEastAsia"/>
        </w:rPr>
        <w:t>,KMV</w:t>
      </w:r>
      <w:r w:rsidRPr="001773A9">
        <w:rPr>
          <w:rFonts w:asciiTheme="minorEastAsia" w:hAnsiTheme="minorEastAsia" w:hint="eastAsia"/>
        </w:rPr>
        <w:t>模型中数据获取更容易</w:t>
      </w:r>
      <w:r w:rsidRPr="001773A9">
        <w:rPr>
          <w:rFonts w:asciiTheme="minorEastAsia" w:hAnsiTheme="minorEastAsia"/>
        </w:rPr>
        <w:t>,</w:t>
      </w:r>
      <w:r w:rsidRPr="001773A9">
        <w:rPr>
          <w:rFonts w:asciiTheme="minorEastAsia" w:hAnsiTheme="minorEastAsia" w:hint="eastAsia"/>
        </w:rPr>
        <w:t>方法简便</w:t>
      </w:r>
      <w:r w:rsidRPr="001773A9">
        <w:rPr>
          <w:rFonts w:asciiTheme="minorEastAsia" w:hAnsiTheme="minorEastAsia"/>
        </w:rPr>
        <w:t>,</w:t>
      </w:r>
      <w:r w:rsidRPr="001773A9">
        <w:rPr>
          <w:rFonts w:asciiTheme="minorEastAsia" w:hAnsiTheme="minorEastAsia" w:hint="eastAsia"/>
        </w:rPr>
        <w:t>比较适合在我国进行推广和应用</w:t>
      </w:r>
      <w:r w:rsidRPr="001773A9">
        <w:rPr>
          <w:rFonts w:ascii="MS Mincho" w:eastAsia="MS Mincho" w:hAnsi="MS Mincho" w:cs="MS Mincho" w:hint="eastAsia"/>
        </w:rPr>
        <w:t>｡</w:t>
      </w:r>
      <w:r w:rsidRPr="001773A9">
        <w:rPr>
          <w:rFonts w:asciiTheme="minorEastAsia" w:hAnsiTheme="minorEastAsia" w:cs="宋体" w:hint="eastAsia"/>
        </w:rPr>
        <w:t>实证表明</w:t>
      </w:r>
      <w:r w:rsidRPr="001773A9">
        <w:rPr>
          <w:rFonts w:asciiTheme="minorEastAsia" w:hAnsiTheme="minorEastAsia"/>
        </w:rPr>
        <w:t>,</w:t>
      </w:r>
      <w:r w:rsidRPr="001773A9">
        <w:rPr>
          <w:rFonts w:asciiTheme="minorEastAsia" w:hAnsiTheme="minorEastAsia" w:hint="eastAsia"/>
        </w:rPr>
        <w:t>贷款不良率与违约距离的函数关系显著</w:t>
      </w:r>
      <w:r w:rsidRPr="001773A9">
        <w:rPr>
          <w:rFonts w:ascii="MS Mincho" w:eastAsia="MS Mincho" w:hAnsi="MS Mincho" w:cs="MS Mincho" w:hint="eastAsia"/>
        </w:rPr>
        <w:t>｡</w:t>
      </w:r>
      <w:r w:rsidRPr="001773A9">
        <w:rPr>
          <w:rFonts w:asciiTheme="minorEastAsia" w:hAnsiTheme="minorEastAsia" w:cs="宋体" w:hint="eastAsia"/>
        </w:rPr>
        <w:t>因此</w:t>
      </w:r>
      <w:r w:rsidRPr="001773A9">
        <w:rPr>
          <w:rFonts w:asciiTheme="minorEastAsia" w:hAnsiTheme="minorEastAsia"/>
        </w:rPr>
        <w:t>,</w:t>
      </w:r>
      <w:r w:rsidRPr="001773A9">
        <w:rPr>
          <w:rFonts w:asciiTheme="minorEastAsia" w:hAnsiTheme="minorEastAsia" w:hint="eastAsia"/>
        </w:rPr>
        <w:t>在</w:t>
      </w:r>
      <w:r w:rsidRPr="001773A9">
        <w:rPr>
          <w:rFonts w:asciiTheme="minorEastAsia" w:hAnsiTheme="minorEastAsia"/>
        </w:rPr>
        <w:t>KMV</w:t>
      </w:r>
      <w:r w:rsidRPr="001773A9">
        <w:rPr>
          <w:rFonts w:asciiTheme="minorEastAsia" w:hAnsiTheme="minorEastAsia" w:hint="eastAsia"/>
        </w:rPr>
        <w:t>模型中使用上市公司贷款不良率替代其违约率计量信用风险是可行的</w:t>
      </w:r>
      <w:r w:rsidRPr="001773A9">
        <w:rPr>
          <w:rFonts w:ascii="MS Mincho" w:eastAsia="MS Mincho" w:hAnsi="MS Mincho" w:cs="MS Mincho" w:hint="eastAsia"/>
        </w:rPr>
        <w:t>｡</w:t>
      </w:r>
      <w:r w:rsidRPr="001773A9">
        <w:rPr>
          <w:rFonts w:asciiTheme="minorEastAsia" w:hAnsiTheme="minorEastAsia"/>
        </w:rPr>
        <w:t xml:space="preserve"> </w:t>
      </w:r>
    </w:p>
    <w:p w:rsidR="00761605"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2.</w:t>
      </w:r>
      <w:r w:rsidRPr="001773A9">
        <w:rPr>
          <w:rFonts w:asciiTheme="minorEastAsia" w:hAnsiTheme="minorEastAsia" w:hint="eastAsia"/>
        </w:rPr>
        <w:t>由于</w:t>
      </w:r>
      <w:r w:rsidRPr="001773A9">
        <w:rPr>
          <w:rFonts w:asciiTheme="minorEastAsia" w:hAnsiTheme="minorEastAsia"/>
        </w:rPr>
        <w:t>KMV</w:t>
      </w:r>
      <w:r w:rsidRPr="001773A9">
        <w:rPr>
          <w:rFonts w:asciiTheme="minorEastAsia" w:hAnsiTheme="minorEastAsia" w:hint="eastAsia"/>
        </w:rPr>
        <w:t>模型基于资本市场的有效性建立了违约率与违约率的映射关系</w:t>
      </w:r>
      <w:r w:rsidRPr="001773A9">
        <w:rPr>
          <w:rFonts w:asciiTheme="minorEastAsia" w:hAnsiTheme="minorEastAsia"/>
        </w:rPr>
        <w:t>,</w:t>
      </w:r>
      <w:r w:rsidRPr="001773A9">
        <w:rPr>
          <w:rFonts w:asciiTheme="minorEastAsia" w:hAnsiTheme="minorEastAsia" w:hint="eastAsia"/>
        </w:rPr>
        <w:t>具有前瞻性和客观性</w:t>
      </w:r>
      <w:r w:rsidRPr="001773A9">
        <w:rPr>
          <w:rFonts w:ascii="MS Mincho" w:eastAsia="MS Mincho" w:hAnsi="MS Mincho" w:cs="MS Mincho" w:hint="eastAsia"/>
        </w:rPr>
        <w:t>｡</w:t>
      </w:r>
      <w:r w:rsidRPr="001773A9">
        <w:rPr>
          <w:rFonts w:asciiTheme="minorEastAsia" w:hAnsiTheme="minorEastAsia" w:cs="宋体" w:hint="eastAsia"/>
        </w:rPr>
        <w:t>随着我国股票市场规模的不断扩大</w:t>
      </w:r>
      <w:r w:rsidRPr="001773A9">
        <w:rPr>
          <w:rFonts w:asciiTheme="minorEastAsia" w:hAnsiTheme="minorEastAsia"/>
        </w:rPr>
        <w:t>,</w:t>
      </w:r>
      <w:r w:rsidRPr="001773A9">
        <w:rPr>
          <w:rFonts w:asciiTheme="minorEastAsia" w:hAnsiTheme="minorEastAsia" w:hint="eastAsia"/>
        </w:rPr>
        <w:t>机构投资者不断增多</w:t>
      </w:r>
      <w:r w:rsidRPr="001773A9">
        <w:rPr>
          <w:rFonts w:asciiTheme="minorEastAsia" w:hAnsiTheme="minorEastAsia"/>
        </w:rPr>
        <w:t>,</w:t>
      </w:r>
      <w:r w:rsidRPr="001773A9">
        <w:rPr>
          <w:rFonts w:asciiTheme="minorEastAsia" w:hAnsiTheme="minorEastAsia" w:hint="eastAsia"/>
        </w:rPr>
        <w:t>我国市场的有效性将得到进一步增强</w:t>
      </w:r>
      <w:r w:rsidRPr="001773A9">
        <w:rPr>
          <w:rFonts w:ascii="MS Mincho" w:eastAsia="MS Mincho" w:hAnsi="MS Mincho" w:cs="MS Mincho" w:hint="eastAsia"/>
        </w:rPr>
        <w:t>｡</w:t>
      </w:r>
      <w:r w:rsidRPr="001773A9">
        <w:rPr>
          <w:rFonts w:asciiTheme="minorEastAsia" w:hAnsiTheme="minorEastAsia" w:cs="宋体" w:hint="eastAsia"/>
        </w:rPr>
        <w:t>因此</w:t>
      </w:r>
      <w:r w:rsidRPr="001773A9">
        <w:rPr>
          <w:rFonts w:asciiTheme="minorEastAsia" w:hAnsiTheme="minorEastAsia"/>
        </w:rPr>
        <w:t>,</w:t>
      </w:r>
      <w:r w:rsidRPr="001773A9">
        <w:rPr>
          <w:rFonts w:asciiTheme="minorEastAsia" w:hAnsiTheme="minorEastAsia" w:hint="eastAsia"/>
        </w:rPr>
        <w:t>经改进后的</w:t>
      </w:r>
      <w:r w:rsidRPr="001773A9">
        <w:rPr>
          <w:rFonts w:asciiTheme="minorEastAsia" w:hAnsiTheme="minorEastAsia"/>
        </w:rPr>
        <w:t>KMV</w:t>
      </w:r>
      <w:r w:rsidRPr="001773A9">
        <w:rPr>
          <w:rFonts w:asciiTheme="minorEastAsia" w:hAnsiTheme="minorEastAsia" w:hint="eastAsia"/>
        </w:rPr>
        <w:t>模型可以为债权人</w:t>
      </w:r>
      <w:r w:rsidRPr="001773A9">
        <w:rPr>
          <w:rFonts w:ascii="MS Mincho" w:eastAsia="MS Mincho" w:hAnsi="MS Mincho" w:cs="MS Mincho" w:hint="eastAsia"/>
        </w:rPr>
        <w:t>､</w:t>
      </w:r>
      <w:r w:rsidRPr="001773A9">
        <w:rPr>
          <w:rFonts w:asciiTheme="minorEastAsia" w:hAnsiTheme="minorEastAsia" w:cs="宋体" w:hint="eastAsia"/>
        </w:rPr>
        <w:t>投资者和监管者提供及时</w:t>
      </w:r>
      <w:r w:rsidRPr="001773A9">
        <w:rPr>
          <w:rFonts w:ascii="MS Mincho" w:eastAsia="MS Mincho" w:hAnsi="MS Mincho" w:cs="MS Mincho" w:hint="eastAsia"/>
        </w:rPr>
        <w:t>､</w:t>
      </w:r>
      <w:r w:rsidRPr="001773A9">
        <w:rPr>
          <w:rFonts w:asciiTheme="minorEastAsia" w:hAnsiTheme="minorEastAsia" w:cs="宋体" w:hint="eastAsia"/>
        </w:rPr>
        <w:t>可靠的信用风险</w:t>
      </w:r>
      <w:r w:rsidRPr="001773A9">
        <w:rPr>
          <w:rFonts w:asciiTheme="minorEastAsia" w:hAnsiTheme="minorEastAsia" w:hint="eastAsia"/>
        </w:rPr>
        <w:t>计量工具</w:t>
      </w:r>
      <w:r w:rsidRPr="001773A9">
        <w:rPr>
          <w:rFonts w:asciiTheme="minorEastAsia" w:hAnsiTheme="minorEastAsia"/>
        </w:rPr>
        <w:t>,</w:t>
      </w:r>
      <w:r w:rsidRPr="001773A9">
        <w:rPr>
          <w:rFonts w:asciiTheme="minorEastAsia" w:hAnsiTheme="minorEastAsia" w:hint="eastAsia"/>
        </w:rPr>
        <w:t>是我国的信用风险由静态管理转化为动态管理的一种可行的选择</w:t>
      </w:r>
      <w:r w:rsidRPr="001773A9">
        <w:rPr>
          <w:rFonts w:ascii="MS Mincho" w:eastAsia="MS Mincho" w:hAnsi="MS Mincho" w:cs="MS Mincho" w:hint="eastAsia"/>
        </w:rPr>
        <w:t>｡</w:t>
      </w:r>
      <w:r w:rsidRPr="001773A9">
        <w:rPr>
          <w:rFonts w:asciiTheme="minorEastAsia" w:hAnsiTheme="minorEastAsia"/>
        </w:rPr>
        <w:t xml:space="preserve"> </w:t>
      </w:r>
    </w:p>
    <w:p w:rsidR="00506774" w:rsidRPr="001773A9" w:rsidRDefault="00761605" w:rsidP="00761605">
      <w:pPr>
        <w:rPr>
          <w:rFonts w:asciiTheme="minorEastAsia" w:hAnsiTheme="minorEastAsia"/>
        </w:rPr>
      </w:pPr>
      <w:r w:rsidRPr="001773A9">
        <w:rPr>
          <w:rFonts w:asciiTheme="minorEastAsia" w:hAnsiTheme="minorEastAsia" w:hint="eastAsia"/>
        </w:rPr>
        <w:t xml:space="preserve">　　</w:t>
      </w:r>
      <w:r w:rsidRPr="001773A9">
        <w:rPr>
          <w:rFonts w:asciiTheme="minorEastAsia" w:hAnsiTheme="minorEastAsia"/>
        </w:rPr>
        <w:t>3.</w:t>
      </w:r>
      <w:r w:rsidRPr="001773A9">
        <w:rPr>
          <w:rFonts w:asciiTheme="minorEastAsia" w:hAnsiTheme="minorEastAsia" w:hint="eastAsia"/>
        </w:rPr>
        <w:t>在</w:t>
      </w:r>
      <w:r w:rsidRPr="001773A9">
        <w:rPr>
          <w:rFonts w:asciiTheme="minorEastAsia" w:hAnsiTheme="minorEastAsia"/>
        </w:rPr>
        <w:t>KMV</w:t>
      </w:r>
      <w:r w:rsidRPr="001773A9">
        <w:rPr>
          <w:rFonts w:asciiTheme="minorEastAsia" w:hAnsiTheme="minorEastAsia" w:hint="eastAsia"/>
        </w:rPr>
        <w:t>模型中</w:t>
      </w:r>
      <w:r w:rsidRPr="001773A9">
        <w:rPr>
          <w:rFonts w:asciiTheme="minorEastAsia" w:hAnsiTheme="minorEastAsia"/>
        </w:rPr>
        <w:t>,</w:t>
      </w:r>
      <w:r w:rsidRPr="001773A9">
        <w:rPr>
          <w:rFonts w:asciiTheme="minorEastAsia" w:hAnsiTheme="minorEastAsia" w:hint="eastAsia"/>
        </w:rPr>
        <w:t>股本价值是通过上市公司每日的股票市场价格来计算的</w:t>
      </w:r>
      <w:r w:rsidRPr="001773A9">
        <w:rPr>
          <w:rFonts w:asciiTheme="minorEastAsia" w:hAnsiTheme="minorEastAsia"/>
        </w:rPr>
        <w:t>,</w:t>
      </w:r>
      <w:r w:rsidRPr="001773A9">
        <w:rPr>
          <w:rFonts w:asciiTheme="minorEastAsia" w:hAnsiTheme="minorEastAsia" w:hint="eastAsia"/>
        </w:rPr>
        <w:t>然而我国金融机构的大部分贷款对象是非上市公司</w:t>
      </w:r>
      <w:r w:rsidRPr="001773A9">
        <w:rPr>
          <w:rFonts w:ascii="MS Mincho" w:eastAsia="MS Mincho" w:hAnsi="MS Mincho" w:cs="MS Mincho" w:hint="eastAsia"/>
        </w:rPr>
        <w:t>｡</w:t>
      </w:r>
      <w:r w:rsidRPr="001773A9">
        <w:rPr>
          <w:rFonts w:asciiTheme="minorEastAsia" w:hAnsiTheme="minorEastAsia" w:cs="宋体" w:hint="eastAsia"/>
        </w:rPr>
        <w:t>因此</w:t>
      </w:r>
      <w:r w:rsidRPr="001773A9">
        <w:rPr>
          <w:rFonts w:asciiTheme="minorEastAsia" w:hAnsiTheme="minorEastAsia"/>
        </w:rPr>
        <w:t>,</w:t>
      </w:r>
      <w:r w:rsidRPr="001773A9">
        <w:rPr>
          <w:rFonts w:asciiTheme="minorEastAsia" w:hAnsiTheme="minorEastAsia" w:hint="eastAsia"/>
        </w:rPr>
        <w:t>如何</w:t>
      </w:r>
      <w:proofErr w:type="gramStart"/>
      <w:r w:rsidRPr="001773A9">
        <w:rPr>
          <w:rFonts w:asciiTheme="minorEastAsia" w:hAnsiTheme="minorEastAsia" w:hint="eastAsia"/>
        </w:rPr>
        <w:t>计算非</w:t>
      </w:r>
      <w:proofErr w:type="gramEnd"/>
      <w:r w:rsidRPr="001773A9">
        <w:rPr>
          <w:rFonts w:asciiTheme="minorEastAsia" w:hAnsiTheme="minorEastAsia" w:hint="eastAsia"/>
        </w:rPr>
        <w:t>上市公司的股本价值进而计算其违约距离和贷款不良率需进一步做深入地研究</w:t>
      </w:r>
      <w:r w:rsidRPr="001773A9">
        <w:rPr>
          <w:rFonts w:ascii="MS Mincho" w:eastAsia="MS Mincho" w:hAnsi="MS Mincho" w:cs="MS Mincho" w:hint="eastAsia"/>
        </w:rPr>
        <w:t>｡</w:t>
      </w:r>
      <w:bookmarkEnd w:id="0"/>
    </w:p>
    <w:sectPr w:rsidR="00506774" w:rsidRPr="001773A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446" w:rsidRDefault="00C42446" w:rsidP="00D55670">
      <w:r>
        <w:separator/>
      </w:r>
    </w:p>
  </w:endnote>
  <w:endnote w:type="continuationSeparator" w:id="0">
    <w:p w:rsidR="00C42446" w:rsidRDefault="00C42446" w:rsidP="00D55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446" w:rsidRDefault="00C42446" w:rsidP="00D55670">
      <w:r>
        <w:separator/>
      </w:r>
    </w:p>
  </w:footnote>
  <w:footnote w:type="continuationSeparator" w:id="0">
    <w:p w:rsidR="00C42446" w:rsidRDefault="00C42446" w:rsidP="00D556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154"/>
    <w:rsid w:val="00046636"/>
    <w:rsid w:val="00091B19"/>
    <w:rsid w:val="001536C6"/>
    <w:rsid w:val="001773A9"/>
    <w:rsid w:val="001B0398"/>
    <w:rsid w:val="002A59F2"/>
    <w:rsid w:val="003B3311"/>
    <w:rsid w:val="00405154"/>
    <w:rsid w:val="00455D5A"/>
    <w:rsid w:val="00464900"/>
    <w:rsid w:val="00506774"/>
    <w:rsid w:val="00557ABD"/>
    <w:rsid w:val="00584857"/>
    <w:rsid w:val="00595F52"/>
    <w:rsid w:val="00761605"/>
    <w:rsid w:val="007B52BF"/>
    <w:rsid w:val="007F09E7"/>
    <w:rsid w:val="008156BB"/>
    <w:rsid w:val="00820332"/>
    <w:rsid w:val="00832ED0"/>
    <w:rsid w:val="00842E6F"/>
    <w:rsid w:val="008E7920"/>
    <w:rsid w:val="008F4C62"/>
    <w:rsid w:val="00921BB5"/>
    <w:rsid w:val="009B7D34"/>
    <w:rsid w:val="00A360DD"/>
    <w:rsid w:val="00AE61C6"/>
    <w:rsid w:val="00B6011C"/>
    <w:rsid w:val="00C06E4F"/>
    <w:rsid w:val="00C42446"/>
    <w:rsid w:val="00C83920"/>
    <w:rsid w:val="00D55670"/>
    <w:rsid w:val="00D77ED2"/>
    <w:rsid w:val="00E74A8E"/>
    <w:rsid w:val="00ED5CA8"/>
    <w:rsid w:val="00EF3EBF"/>
    <w:rsid w:val="00F14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556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55670"/>
    <w:rPr>
      <w:sz w:val="18"/>
      <w:szCs w:val="18"/>
    </w:rPr>
  </w:style>
  <w:style w:type="paragraph" w:styleId="a4">
    <w:name w:val="footer"/>
    <w:basedOn w:val="a"/>
    <w:link w:val="Char0"/>
    <w:uiPriority w:val="99"/>
    <w:unhideWhenUsed/>
    <w:rsid w:val="00D55670"/>
    <w:pPr>
      <w:tabs>
        <w:tab w:val="center" w:pos="4153"/>
        <w:tab w:val="right" w:pos="8306"/>
      </w:tabs>
      <w:snapToGrid w:val="0"/>
      <w:jc w:val="left"/>
    </w:pPr>
    <w:rPr>
      <w:sz w:val="18"/>
      <w:szCs w:val="18"/>
    </w:rPr>
  </w:style>
  <w:style w:type="character" w:customStyle="1" w:styleId="Char0">
    <w:name w:val="页脚 Char"/>
    <w:basedOn w:val="a0"/>
    <w:link w:val="a4"/>
    <w:uiPriority w:val="99"/>
    <w:rsid w:val="00D55670"/>
    <w:rPr>
      <w:sz w:val="18"/>
      <w:szCs w:val="18"/>
    </w:rPr>
  </w:style>
  <w:style w:type="paragraph" w:styleId="a5">
    <w:name w:val="Normal (Web)"/>
    <w:basedOn w:val="a"/>
    <w:uiPriority w:val="99"/>
    <w:semiHidden/>
    <w:unhideWhenUsed/>
    <w:rsid w:val="00595F5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95F52"/>
    <w:rPr>
      <w:b/>
      <w:bCs/>
    </w:rPr>
  </w:style>
  <w:style w:type="character" w:customStyle="1" w:styleId="apple-converted-space">
    <w:name w:val="apple-converted-space"/>
    <w:basedOn w:val="a0"/>
    <w:rsid w:val="00595F52"/>
  </w:style>
  <w:style w:type="character" w:styleId="a7">
    <w:name w:val="Hyperlink"/>
    <w:basedOn w:val="a0"/>
    <w:uiPriority w:val="99"/>
    <w:unhideWhenUsed/>
    <w:rsid w:val="00595F52"/>
    <w:rPr>
      <w:color w:val="0000FF"/>
      <w:u w:val="single"/>
    </w:rPr>
  </w:style>
  <w:style w:type="paragraph" w:styleId="a8">
    <w:name w:val="Balloon Text"/>
    <w:basedOn w:val="a"/>
    <w:link w:val="Char1"/>
    <w:uiPriority w:val="99"/>
    <w:semiHidden/>
    <w:unhideWhenUsed/>
    <w:rsid w:val="00595F52"/>
    <w:rPr>
      <w:sz w:val="18"/>
      <w:szCs w:val="18"/>
    </w:rPr>
  </w:style>
  <w:style w:type="character" w:customStyle="1" w:styleId="Char1">
    <w:name w:val="批注框文本 Char"/>
    <w:basedOn w:val="a0"/>
    <w:link w:val="a8"/>
    <w:uiPriority w:val="99"/>
    <w:semiHidden/>
    <w:rsid w:val="00595F5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556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55670"/>
    <w:rPr>
      <w:sz w:val="18"/>
      <w:szCs w:val="18"/>
    </w:rPr>
  </w:style>
  <w:style w:type="paragraph" w:styleId="a4">
    <w:name w:val="footer"/>
    <w:basedOn w:val="a"/>
    <w:link w:val="Char0"/>
    <w:uiPriority w:val="99"/>
    <w:unhideWhenUsed/>
    <w:rsid w:val="00D55670"/>
    <w:pPr>
      <w:tabs>
        <w:tab w:val="center" w:pos="4153"/>
        <w:tab w:val="right" w:pos="8306"/>
      </w:tabs>
      <w:snapToGrid w:val="0"/>
      <w:jc w:val="left"/>
    </w:pPr>
    <w:rPr>
      <w:sz w:val="18"/>
      <w:szCs w:val="18"/>
    </w:rPr>
  </w:style>
  <w:style w:type="character" w:customStyle="1" w:styleId="Char0">
    <w:name w:val="页脚 Char"/>
    <w:basedOn w:val="a0"/>
    <w:link w:val="a4"/>
    <w:uiPriority w:val="99"/>
    <w:rsid w:val="00D55670"/>
    <w:rPr>
      <w:sz w:val="18"/>
      <w:szCs w:val="18"/>
    </w:rPr>
  </w:style>
  <w:style w:type="paragraph" w:styleId="a5">
    <w:name w:val="Normal (Web)"/>
    <w:basedOn w:val="a"/>
    <w:uiPriority w:val="99"/>
    <w:semiHidden/>
    <w:unhideWhenUsed/>
    <w:rsid w:val="00595F5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95F52"/>
    <w:rPr>
      <w:b/>
      <w:bCs/>
    </w:rPr>
  </w:style>
  <w:style w:type="character" w:customStyle="1" w:styleId="apple-converted-space">
    <w:name w:val="apple-converted-space"/>
    <w:basedOn w:val="a0"/>
    <w:rsid w:val="00595F52"/>
  </w:style>
  <w:style w:type="character" w:styleId="a7">
    <w:name w:val="Hyperlink"/>
    <w:basedOn w:val="a0"/>
    <w:uiPriority w:val="99"/>
    <w:unhideWhenUsed/>
    <w:rsid w:val="00595F52"/>
    <w:rPr>
      <w:color w:val="0000FF"/>
      <w:u w:val="single"/>
    </w:rPr>
  </w:style>
  <w:style w:type="paragraph" w:styleId="a8">
    <w:name w:val="Balloon Text"/>
    <w:basedOn w:val="a"/>
    <w:link w:val="Char1"/>
    <w:uiPriority w:val="99"/>
    <w:semiHidden/>
    <w:unhideWhenUsed/>
    <w:rsid w:val="00595F52"/>
    <w:rPr>
      <w:sz w:val="18"/>
      <w:szCs w:val="18"/>
    </w:rPr>
  </w:style>
  <w:style w:type="character" w:customStyle="1" w:styleId="Char1">
    <w:name w:val="批注框文本 Char"/>
    <w:basedOn w:val="a0"/>
    <w:link w:val="a8"/>
    <w:uiPriority w:val="99"/>
    <w:semiHidden/>
    <w:rsid w:val="00595F5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919">
      <w:bodyDiv w:val="1"/>
      <w:marLeft w:val="0"/>
      <w:marRight w:val="0"/>
      <w:marTop w:val="0"/>
      <w:marBottom w:val="0"/>
      <w:divBdr>
        <w:top w:val="none" w:sz="0" w:space="0" w:color="auto"/>
        <w:left w:val="none" w:sz="0" w:space="0" w:color="auto"/>
        <w:bottom w:val="none" w:sz="0" w:space="0" w:color="auto"/>
        <w:right w:val="none" w:sz="0" w:space="0" w:color="auto"/>
      </w:divBdr>
      <w:divsChild>
        <w:div w:id="447284331">
          <w:marLeft w:val="0"/>
          <w:marRight w:val="0"/>
          <w:marTop w:val="0"/>
          <w:marBottom w:val="0"/>
          <w:divBdr>
            <w:top w:val="none" w:sz="0" w:space="0" w:color="auto"/>
            <w:left w:val="none" w:sz="0" w:space="0" w:color="auto"/>
            <w:bottom w:val="none" w:sz="0" w:space="0" w:color="auto"/>
            <w:right w:val="none" w:sz="0" w:space="0" w:color="auto"/>
          </w:divBdr>
          <w:divsChild>
            <w:div w:id="1766000911">
              <w:marLeft w:val="0"/>
              <w:marRight w:val="0"/>
              <w:marTop w:val="0"/>
              <w:marBottom w:val="0"/>
              <w:divBdr>
                <w:top w:val="none" w:sz="0" w:space="0" w:color="auto"/>
                <w:left w:val="none" w:sz="0" w:space="0" w:color="auto"/>
                <w:bottom w:val="none" w:sz="0" w:space="0" w:color="auto"/>
                <w:right w:val="none" w:sz="0" w:space="0" w:color="auto"/>
              </w:divBdr>
              <w:divsChild>
                <w:div w:id="1389693623">
                  <w:marLeft w:val="0"/>
                  <w:marRight w:val="0"/>
                  <w:marTop w:val="0"/>
                  <w:marBottom w:val="0"/>
                  <w:divBdr>
                    <w:top w:val="none" w:sz="0" w:space="0" w:color="auto"/>
                    <w:left w:val="none" w:sz="0" w:space="0" w:color="auto"/>
                    <w:bottom w:val="none" w:sz="0" w:space="0" w:color="auto"/>
                    <w:right w:val="none" w:sz="0" w:space="0" w:color="auto"/>
                  </w:divBdr>
                </w:div>
                <w:div w:id="517357218">
                  <w:marLeft w:val="0"/>
                  <w:marRight w:val="0"/>
                  <w:marTop w:val="0"/>
                  <w:marBottom w:val="0"/>
                  <w:divBdr>
                    <w:top w:val="none" w:sz="0" w:space="0" w:color="auto"/>
                    <w:left w:val="none" w:sz="0" w:space="0" w:color="auto"/>
                    <w:bottom w:val="none" w:sz="0" w:space="0" w:color="auto"/>
                    <w:right w:val="none" w:sz="0" w:space="0" w:color="auto"/>
                  </w:divBdr>
                </w:div>
                <w:div w:id="1849716614">
                  <w:marLeft w:val="0"/>
                  <w:marRight w:val="0"/>
                  <w:marTop w:val="0"/>
                  <w:marBottom w:val="0"/>
                  <w:divBdr>
                    <w:top w:val="none" w:sz="0" w:space="0" w:color="auto"/>
                    <w:left w:val="none" w:sz="0" w:space="0" w:color="auto"/>
                    <w:bottom w:val="none" w:sz="0" w:space="0" w:color="auto"/>
                    <w:right w:val="none" w:sz="0" w:space="0" w:color="auto"/>
                  </w:divBdr>
                </w:div>
                <w:div w:id="152720389">
                  <w:marLeft w:val="0"/>
                  <w:marRight w:val="0"/>
                  <w:marTop w:val="0"/>
                  <w:marBottom w:val="0"/>
                  <w:divBdr>
                    <w:top w:val="none" w:sz="0" w:space="0" w:color="auto"/>
                    <w:left w:val="none" w:sz="0" w:space="0" w:color="auto"/>
                    <w:bottom w:val="none" w:sz="0" w:space="0" w:color="auto"/>
                    <w:right w:val="none" w:sz="0" w:space="0" w:color="auto"/>
                  </w:divBdr>
                </w:div>
                <w:div w:id="1663267855">
                  <w:marLeft w:val="0"/>
                  <w:marRight w:val="0"/>
                  <w:marTop w:val="0"/>
                  <w:marBottom w:val="0"/>
                  <w:divBdr>
                    <w:top w:val="none" w:sz="0" w:space="0" w:color="auto"/>
                    <w:left w:val="none" w:sz="0" w:space="0" w:color="auto"/>
                    <w:bottom w:val="none" w:sz="0" w:space="0" w:color="auto"/>
                    <w:right w:val="none" w:sz="0" w:space="0" w:color="auto"/>
                  </w:divBdr>
                </w:div>
                <w:div w:id="545685072">
                  <w:marLeft w:val="0"/>
                  <w:marRight w:val="0"/>
                  <w:marTop w:val="0"/>
                  <w:marBottom w:val="0"/>
                  <w:divBdr>
                    <w:top w:val="none" w:sz="0" w:space="0" w:color="auto"/>
                    <w:left w:val="none" w:sz="0" w:space="0" w:color="auto"/>
                    <w:bottom w:val="none" w:sz="0" w:space="0" w:color="auto"/>
                    <w:right w:val="none" w:sz="0" w:space="0" w:color="auto"/>
                  </w:divBdr>
                </w:div>
                <w:div w:id="1722360371">
                  <w:marLeft w:val="0"/>
                  <w:marRight w:val="0"/>
                  <w:marTop w:val="0"/>
                  <w:marBottom w:val="0"/>
                  <w:divBdr>
                    <w:top w:val="none" w:sz="0" w:space="0" w:color="auto"/>
                    <w:left w:val="none" w:sz="0" w:space="0" w:color="auto"/>
                    <w:bottom w:val="none" w:sz="0" w:space="0" w:color="auto"/>
                    <w:right w:val="none" w:sz="0" w:space="0" w:color="auto"/>
                  </w:divBdr>
                </w:div>
                <w:div w:id="2133547057">
                  <w:marLeft w:val="0"/>
                  <w:marRight w:val="0"/>
                  <w:marTop w:val="0"/>
                  <w:marBottom w:val="0"/>
                  <w:divBdr>
                    <w:top w:val="none" w:sz="0" w:space="0" w:color="auto"/>
                    <w:left w:val="none" w:sz="0" w:space="0" w:color="auto"/>
                    <w:bottom w:val="none" w:sz="0" w:space="0" w:color="auto"/>
                    <w:right w:val="none" w:sz="0" w:space="0" w:color="auto"/>
                  </w:divBdr>
                </w:div>
                <w:div w:id="1708480418">
                  <w:marLeft w:val="0"/>
                  <w:marRight w:val="0"/>
                  <w:marTop w:val="0"/>
                  <w:marBottom w:val="0"/>
                  <w:divBdr>
                    <w:top w:val="none" w:sz="0" w:space="0" w:color="auto"/>
                    <w:left w:val="none" w:sz="0" w:space="0" w:color="auto"/>
                    <w:bottom w:val="none" w:sz="0" w:space="0" w:color="auto"/>
                    <w:right w:val="none" w:sz="0" w:space="0" w:color="auto"/>
                  </w:divBdr>
                </w:div>
                <w:div w:id="152649502">
                  <w:marLeft w:val="0"/>
                  <w:marRight w:val="0"/>
                  <w:marTop w:val="0"/>
                  <w:marBottom w:val="0"/>
                  <w:divBdr>
                    <w:top w:val="none" w:sz="0" w:space="0" w:color="auto"/>
                    <w:left w:val="none" w:sz="0" w:space="0" w:color="auto"/>
                    <w:bottom w:val="none" w:sz="0" w:space="0" w:color="auto"/>
                    <w:right w:val="none" w:sz="0" w:space="0" w:color="auto"/>
                  </w:divBdr>
                </w:div>
                <w:div w:id="1849443962">
                  <w:marLeft w:val="0"/>
                  <w:marRight w:val="0"/>
                  <w:marTop w:val="0"/>
                  <w:marBottom w:val="0"/>
                  <w:divBdr>
                    <w:top w:val="none" w:sz="0" w:space="0" w:color="auto"/>
                    <w:left w:val="none" w:sz="0" w:space="0" w:color="auto"/>
                    <w:bottom w:val="none" w:sz="0" w:space="0" w:color="auto"/>
                    <w:right w:val="none" w:sz="0" w:space="0" w:color="auto"/>
                  </w:divBdr>
                </w:div>
                <w:div w:id="1162114314">
                  <w:marLeft w:val="0"/>
                  <w:marRight w:val="0"/>
                  <w:marTop w:val="0"/>
                  <w:marBottom w:val="0"/>
                  <w:divBdr>
                    <w:top w:val="none" w:sz="0" w:space="0" w:color="auto"/>
                    <w:left w:val="none" w:sz="0" w:space="0" w:color="auto"/>
                    <w:bottom w:val="none" w:sz="0" w:space="0" w:color="auto"/>
                    <w:right w:val="none" w:sz="0" w:space="0" w:color="auto"/>
                  </w:divBdr>
                </w:div>
                <w:div w:id="1030567108">
                  <w:marLeft w:val="0"/>
                  <w:marRight w:val="0"/>
                  <w:marTop w:val="0"/>
                  <w:marBottom w:val="0"/>
                  <w:divBdr>
                    <w:top w:val="none" w:sz="0" w:space="0" w:color="auto"/>
                    <w:left w:val="none" w:sz="0" w:space="0" w:color="auto"/>
                    <w:bottom w:val="none" w:sz="0" w:space="0" w:color="auto"/>
                    <w:right w:val="none" w:sz="0" w:space="0" w:color="auto"/>
                  </w:divBdr>
                </w:div>
                <w:div w:id="1256673196">
                  <w:marLeft w:val="0"/>
                  <w:marRight w:val="0"/>
                  <w:marTop w:val="0"/>
                  <w:marBottom w:val="0"/>
                  <w:divBdr>
                    <w:top w:val="none" w:sz="0" w:space="0" w:color="auto"/>
                    <w:left w:val="none" w:sz="0" w:space="0" w:color="auto"/>
                    <w:bottom w:val="none" w:sz="0" w:space="0" w:color="auto"/>
                    <w:right w:val="none" w:sz="0" w:space="0" w:color="auto"/>
                  </w:divBdr>
                </w:div>
                <w:div w:id="471601638">
                  <w:marLeft w:val="0"/>
                  <w:marRight w:val="0"/>
                  <w:marTop w:val="0"/>
                  <w:marBottom w:val="0"/>
                  <w:divBdr>
                    <w:top w:val="none" w:sz="0" w:space="0" w:color="auto"/>
                    <w:left w:val="none" w:sz="0" w:space="0" w:color="auto"/>
                    <w:bottom w:val="none" w:sz="0" w:space="0" w:color="auto"/>
                    <w:right w:val="none" w:sz="0" w:space="0" w:color="auto"/>
                  </w:divBdr>
                </w:div>
                <w:div w:id="1017388168">
                  <w:marLeft w:val="0"/>
                  <w:marRight w:val="0"/>
                  <w:marTop w:val="0"/>
                  <w:marBottom w:val="0"/>
                  <w:divBdr>
                    <w:top w:val="none" w:sz="0" w:space="0" w:color="auto"/>
                    <w:left w:val="none" w:sz="0" w:space="0" w:color="auto"/>
                    <w:bottom w:val="none" w:sz="0" w:space="0" w:color="auto"/>
                    <w:right w:val="none" w:sz="0" w:space="0" w:color="auto"/>
                  </w:divBdr>
                </w:div>
                <w:div w:id="674262985">
                  <w:marLeft w:val="0"/>
                  <w:marRight w:val="0"/>
                  <w:marTop w:val="0"/>
                  <w:marBottom w:val="0"/>
                  <w:divBdr>
                    <w:top w:val="none" w:sz="0" w:space="0" w:color="auto"/>
                    <w:left w:val="none" w:sz="0" w:space="0" w:color="auto"/>
                    <w:bottom w:val="none" w:sz="0" w:space="0" w:color="auto"/>
                    <w:right w:val="none" w:sz="0" w:space="0" w:color="auto"/>
                  </w:divBdr>
                </w:div>
                <w:div w:id="285820150">
                  <w:marLeft w:val="0"/>
                  <w:marRight w:val="0"/>
                  <w:marTop w:val="0"/>
                  <w:marBottom w:val="0"/>
                  <w:divBdr>
                    <w:top w:val="none" w:sz="0" w:space="0" w:color="auto"/>
                    <w:left w:val="none" w:sz="0" w:space="0" w:color="auto"/>
                    <w:bottom w:val="none" w:sz="0" w:space="0" w:color="auto"/>
                    <w:right w:val="none" w:sz="0" w:space="0" w:color="auto"/>
                  </w:divBdr>
                </w:div>
                <w:div w:id="1066343611">
                  <w:marLeft w:val="0"/>
                  <w:marRight w:val="0"/>
                  <w:marTop w:val="0"/>
                  <w:marBottom w:val="0"/>
                  <w:divBdr>
                    <w:top w:val="none" w:sz="0" w:space="0" w:color="auto"/>
                    <w:left w:val="none" w:sz="0" w:space="0" w:color="auto"/>
                    <w:bottom w:val="none" w:sz="0" w:space="0" w:color="auto"/>
                    <w:right w:val="none" w:sz="0" w:space="0" w:color="auto"/>
                  </w:divBdr>
                </w:div>
                <w:div w:id="1399934733">
                  <w:marLeft w:val="0"/>
                  <w:marRight w:val="0"/>
                  <w:marTop w:val="0"/>
                  <w:marBottom w:val="0"/>
                  <w:divBdr>
                    <w:top w:val="none" w:sz="0" w:space="0" w:color="auto"/>
                    <w:left w:val="none" w:sz="0" w:space="0" w:color="auto"/>
                    <w:bottom w:val="none" w:sz="0" w:space="0" w:color="auto"/>
                    <w:right w:val="none" w:sz="0" w:space="0" w:color="auto"/>
                  </w:divBdr>
                </w:div>
                <w:div w:id="1131827773">
                  <w:marLeft w:val="0"/>
                  <w:marRight w:val="0"/>
                  <w:marTop w:val="0"/>
                  <w:marBottom w:val="0"/>
                  <w:divBdr>
                    <w:top w:val="none" w:sz="0" w:space="0" w:color="auto"/>
                    <w:left w:val="none" w:sz="0" w:space="0" w:color="auto"/>
                    <w:bottom w:val="none" w:sz="0" w:space="0" w:color="auto"/>
                    <w:right w:val="none" w:sz="0" w:space="0" w:color="auto"/>
                  </w:divBdr>
                </w:div>
                <w:div w:id="498235394">
                  <w:marLeft w:val="0"/>
                  <w:marRight w:val="0"/>
                  <w:marTop w:val="0"/>
                  <w:marBottom w:val="0"/>
                  <w:divBdr>
                    <w:top w:val="none" w:sz="0" w:space="0" w:color="auto"/>
                    <w:left w:val="none" w:sz="0" w:space="0" w:color="auto"/>
                    <w:bottom w:val="none" w:sz="0" w:space="0" w:color="auto"/>
                    <w:right w:val="none" w:sz="0" w:space="0" w:color="auto"/>
                  </w:divBdr>
                </w:div>
                <w:div w:id="61023516">
                  <w:marLeft w:val="0"/>
                  <w:marRight w:val="0"/>
                  <w:marTop w:val="0"/>
                  <w:marBottom w:val="0"/>
                  <w:divBdr>
                    <w:top w:val="none" w:sz="0" w:space="0" w:color="auto"/>
                    <w:left w:val="none" w:sz="0" w:space="0" w:color="auto"/>
                    <w:bottom w:val="none" w:sz="0" w:space="0" w:color="auto"/>
                    <w:right w:val="none" w:sz="0" w:space="0" w:color="auto"/>
                  </w:divBdr>
                </w:div>
                <w:div w:id="1167138328">
                  <w:marLeft w:val="0"/>
                  <w:marRight w:val="0"/>
                  <w:marTop w:val="0"/>
                  <w:marBottom w:val="0"/>
                  <w:divBdr>
                    <w:top w:val="none" w:sz="0" w:space="0" w:color="auto"/>
                    <w:left w:val="none" w:sz="0" w:space="0" w:color="auto"/>
                    <w:bottom w:val="none" w:sz="0" w:space="0" w:color="auto"/>
                    <w:right w:val="none" w:sz="0" w:space="0" w:color="auto"/>
                  </w:divBdr>
                </w:div>
                <w:div w:id="513156919">
                  <w:marLeft w:val="0"/>
                  <w:marRight w:val="0"/>
                  <w:marTop w:val="0"/>
                  <w:marBottom w:val="0"/>
                  <w:divBdr>
                    <w:top w:val="none" w:sz="0" w:space="0" w:color="auto"/>
                    <w:left w:val="none" w:sz="0" w:space="0" w:color="auto"/>
                    <w:bottom w:val="none" w:sz="0" w:space="0" w:color="auto"/>
                    <w:right w:val="none" w:sz="0" w:space="0" w:color="auto"/>
                  </w:divBdr>
                </w:div>
                <w:div w:id="145363204">
                  <w:marLeft w:val="0"/>
                  <w:marRight w:val="0"/>
                  <w:marTop w:val="0"/>
                  <w:marBottom w:val="0"/>
                  <w:divBdr>
                    <w:top w:val="none" w:sz="0" w:space="0" w:color="auto"/>
                    <w:left w:val="none" w:sz="0" w:space="0" w:color="auto"/>
                    <w:bottom w:val="none" w:sz="0" w:space="0" w:color="auto"/>
                    <w:right w:val="none" w:sz="0" w:space="0" w:color="auto"/>
                  </w:divBdr>
                </w:div>
                <w:div w:id="1666860696">
                  <w:marLeft w:val="0"/>
                  <w:marRight w:val="0"/>
                  <w:marTop w:val="0"/>
                  <w:marBottom w:val="0"/>
                  <w:divBdr>
                    <w:top w:val="none" w:sz="0" w:space="0" w:color="auto"/>
                    <w:left w:val="none" w:sz="0" w:space="0" w:color="auto"/>
                    <w:bottom w:val="none" w:sz="0" w:space="0" w:color="auto"/>
                    <w:right w:val="none" w:sz="0" w:space="0" w:color="auto"/>
                  </w:divBdr>
                </w:div>
                <w:div w:id="1236932281">
                  <w:marLeft w:val="0"/>
                  <w:marRight w:val="0"/>
                  <w:marTop w:val="0"/>
                  <w:marBottom w:val="0"/>
                  <w:divBdr>
                    <w:top w:val="none" w:sz="0" w:space="0" w:color="auto"/>
                    <w:left w:val="none" w:sz="0" w:space="0" w:color="auto"/>
                    <w:bottom w:val="none" w:sz="0" w:space="0" w:color="auto"/>
                    <w:right w:val="none" w:sz="0" w:space="0" w:color="auto"/>
                  </w:divBdr>
                </w:div>
                <w:div w:id="1052268685">
                  <w:marLeft w:val="0"/>
                  <w:marRight w:val="0"/>
                  <w:marTop w:val="0"/>
                  <w:marBottom w:val="0"/>
                  <w:divBdr>
                    <w:top w:val="none" w:sz="0" w:space="0" w:color="auto"/>
                    <w:left w:val="none" w:sz="0" w:space="0" w:color="auto"/>
                    <w:bottom w:val="none" w:sz="0" w:space="0" w:color="auto"/>
                    <w:right w:val="none" w:sz="0" w:space="0" w:color="auto"/>
                  </w:divBdr>
                </w:div>
                <w:div w:id="888104608">
                  <w:marLeft w:val="0"/>
                  <w:marRight w:val="0"/>
                  <w:marTop w:val="0"/>
                  <w:marBottom w:val="0"/>
                  <w:divBdr>
                    <w:top w:val="none" w:sz="0" w:space="0" w:color="auto"/>
                    <w:left w:val="none" w:sz="0" w:space="0" w:color="auto"/>
                    <w:bottom w:val="none" w:sz="0" w:space="0" w:color="auto"/>
                    <w:right w:val="none" w:sz="0" w:space="0" w:color="auto"/>
                  </w:divBdr>
                </w:div>
                <w:div w:id="764611751">
                  <w:marLeft w:val="0"/>
                  <w:marRight w:val="0"/>
                  <w:marTop w:val="0"/>
                  <w:marBottom w:val="0"/>
                  <w:divBdr>
                    <w:top w:val="none" w:sz="0" w:space="0" w:color="auto"/>
                    <w:left w:val="none" w:sz="0" w:space="0" w:color="auto"/>
                    <w:bottom w:val="none" w:sz="0" w:space="0" w:color="auto"/>
                    <w:right w:val="none" w:sz="0" w:space="0" w:color="auto"/>
                  </w:divBdr>
                </w:div>
                <w:div w:id="1700203378">
                  <w:marLeft w:val="0"/>
                  <w:marRight w:val="0"/>
                  <w:marTop w:val="0"/>
                  <w:marBottom w:val="0"/>
                  <w:divBdr>
                    <w:top w:val="none" w:sz="0" w:space="0" w:color="auto"/>
                    <w:left w:val="none" w:sz="0" w:space="0" w:color="auto"/>
                    <w:bottom w:val="none" w:sz="0" w:space="0" w:color="auto"/>
                    <w:right w:val="none" w:sz="0" w:space="0" w:color="auto"/>
                  </w:divBdr>
                </w:div>
                <w:div w:id="799300234">
                  <w:marLeft w:val="0"/>
                  <w:marRight w:val="0"/>
                  <w:marTop w:val="0"/>
                  <w:marBottom w:val="0"/>
                  <w:divBdr>
                    <w:top w:val="none" w:sz="0" w:space="0" w:color="auto"/>
                    <w:left w:val="none" w:sz="0" w:space="0" w:color="auto"/>
                    <w:bottom w:val="none" w:sz="0" w:space="0" w:color="auto"/>
                    <w:right w:val="none" w:sz="0" w:space="0" w:color="auto"/>
                  </w:divBdr>
                </w:div>
                <w:div w:id="207037415">
                  <w:marLeft w:val="0"/>
                  <w:marRight w:val="0"/>
                  <w:marTop w:val="0"/>
                  <w:marBottom w:val="0"/>
                  <w:divBdr>
                    <w:top w:val="none" w:sz="0" w:space="0" w:color="auto"/>
                    <w:left w:val="none" w:sz="0" w:space="0" w:color="auto"/>
                    <w:bottom w:val="none" w:sz="0" w:space="0" w:color="auto"/>
                    <w:right w:val="none" w:sz="0" w:space="0" w:color="auto"/>
                  </w:divBdr>
                </w:div>
                <w:div w:id="1769504448">
                  <w:marLeft w:val="0"/>
                  <w:marRight w:val="0"/>
                  <w:marTop w:val="0"/>
                  <w:marBottom w:val="0"/>
                  <w:divBdr>
                    <w:top w:val="none" w:sz="0" w:space="0" w:color="auto"/>
                    <w:left w:val="none" w:sz="0" w:space="0" w:color="auto"/>
                    <w:bottom w:val="none" w:sz="0" w:space="0" w:color="auto"/>
                    <w:right w:val="none" w:sz="0" w:space="0" w:color="auto"/>
                  </w:divBdr>
                </w:div>
                <w:div w:id="1149664446">
                  <w:marLeft w:val="0"/>
                  <w:marRight w:val="0"/>
                  <w:marTop w:val="0"/>
                  <w:marBottom w:val="0"/>
                  <w:divBdr>
                    <w:top w:val="none" w:sz="0" w:space="0" w:color="auto"/>
                    <w:left w:val="none" w:sz="0" w:space="0" w:color="auto"/>
                    <w:bottom w:val="none" w:sz="0" w:space="0" w:color="auto"/>
                    <w:right w:val="none" w:sz="0" w:space="0" w:color="auto"/>
                  </w:divBdr>
                </w:div>
                <w:div w:id="708142506">
                  <w:marLeft w:val="0"/>
                  <w:marRight w:val="0"/>
                  <w:marTop w:val="0"/>
                  <w:marBottom w:val="0"/>
                  <w:divBdr>
                    <w:top w:val="none" w:sz="0" w:space="0" w:color="auto"/>
                    <w:left w:val="none" w:sz="0" w:space="0" w:color="auto"/>
                    <w:bottom w:val="none" w:sz="0" w:space="0" w:color="auto"/>
                    <w:right w:val="none" w:sz="0" w:space="0" w:color="auto"/>
                  </w:divBdr>
                </w:div>
                <w:div w:id="1142233753">
                  <w:marLeft w:val="0"/>
                  <w:marRight w:val="0"/>
                  <w:marTop w:val="0"/>
                  <w:marBottom w:val="0"/>
                  <w:divBdr>
                    <w:top w:val="none" w:sz="0" w:space="0" w:color="auto"/>
                    <w:left w:val="none" w:sz="0" w:space="0" w:color="auto"/>
                    <w:bottom w:val="none" w:sz="0" w:space="0" w:color="auto"/>
                    <w:right w:val="none" w:sz="0" w:space="0" w:color="auto"/>
                  </w:divBdr>
                </w:div>
                <w:div w:id="20519168">
                  <w:marLeft w:val="0"/>
                  <w:marRight w:val="0"/>
                  <w:marTop w:val="0"/>
                  <w:marBottom w:val="0"/>
                  <w:divBdr>
                    <w:top w:val="none" w:sz="0" w:space="0" w:color="auto"/>
                    <w:left w:val="none" w:sz="0" w:space="0" w:color="auto"/>
                    <w:bottom w:val="none" w:sz="0" w:space="0" w:color="auto"/>
                    <w:right w:val="none" w:sz="0" w:space="0" w:color="auto"/>
                  </w:divBdr>
                </w:div>
                <w:div w:id="795222102">
                  <w:marLeft w:val="0"/>
                  <w:marRight w:val="0"/>
                  <w:marTop w:val="0"/>
                  <w:marBottom w:val="0"/>
                  <w:divBdr>
                    <w:top w:val="none" w:sz="0" w:space="0" w:color="auto"/>
                    <w:left w:val="none" w:sz="0" w:space="0" w:color="auto"/>
                    <w:bottom w:val="none" w:sz="0" w:space="0" w:color="auto"/>
                    <w:right w:val="none" w:sz="0" w:space="0" w:color="auto"/>
                  </w:divBdr>
                </w:div>
                <w:div w:id="456073873">
                  <w:marLeft w:val="0"/>
                  <w:marRight w:val="0"/>
                  <w:marTop w:val="0"/>
                  <w:marBottom w:val="0"/>
                  <w:divBdr>
                    <w:top w:val="none" w:sz="0" w:space="0" w:color="auto"/>
                    <w:left w:val="none" w:sz="0" w:space="0" w:color="auto"/>
                    <w:bottom w:val="none" w:sz="0" w:space="0" w:color="auto"/>
                    <w:right w:val="none" w:sz="0" w:space="0" w:color="auto"/>
                  </w:divBdr>
                </w:div>
                <w:div w:id="896018473">
                  <w:marLeft w:val="0"/>
                  <w:marRight w:val="0"/>
                  <w:marTop w:val="0"/>
                  <w:marBottom w:val="0"/>
                  <w:divBdr>
                    <w:top w:val="none" w:sz="0" w:space="0" w:color="auto"/>
                    <w:left w:val="none" w:sz="0" w:space="0" w:color="auto"/>
                    <w:bottom w:val="none" w:sz="0" w:space="0" w:color="auto"/>
                    <w:right w:val="none" w:sz="0" w:space="0" w:color="auto"/>
                  </w:divBdr>
                </w:div>
                <w:div w:id="890966839">
                  <w:marLeft w:val="0"/>
                  <w:marRight w:val="0"/>
                  <w:marTop w:val="0"/>
                  <w:marBottom w:val="0"/>
                  <w:divBdr>
                    <w:top w:val="none" w:sz="0" w:space="0" w:color="auto"/>
                    <w:left w:val="none" w:sz="0" w:space="0" w:color="auto"/>
                    <w:bottom w:val="none" w:sz="0" w:space="0" w:color="auto"/>
                    <w:right w:val="none" w:sz="0" w:space="0" w:color="auto"/>
                  </w:divBdr>
                </w:div>
                <w:div w:id="921526683">
                  <w:marLeft w:val="0"/>
                  <w:marRight w:val="0"/>
                  <w:marTop w:val="0"/>
                  <w:marBottom w:val="0"/>
                  <w:divBdr>
                    <w:top w:val="none" w:sz="0" w:space="0" w:color="auto"/>
                    <w:left w:val="none" w:sz="0" w:space="0" w:color="auto"/>
                    <w:bottom w:val="none" w:sz="0" w:space="0" w:color="auto"/>
                    <w:right w:val="none" w:sz="0" w:space="0" w:color="auto"/>
                  </w:divBdr>
                </w:div>
                <w:div w:id="721565759">
                  <w:marLeft w:val="0"/>
                  <w:marRight w:val="0"/>
                  <w:marTop w:val="0"/>
                  <w:marBottom w:val="0"/>
                  <w:divBdr>
                    <w:top w:val="none" w:sz="0" w:space="0" w:color="auto"/>
                    <w:left w:val="none" w:sz="0" w:space="0" w:color="auto"/>
                    <w:bottom w:val="none" w:sz="0" w:space="0" w:color="auto"/>
                    <w:right w:val="none" w:sz="0" w:space="0" w:color="auto"/>
                  </w:divBdr>
                </w:div>
                <w:div w:id="1343162206">
                  <w:marLeft w:val="0"/>
                  <w:marRight w:val="0"/>
                  <w:marTop w:val="0"/>
                  <w:marBottom w:val="0"/>
                  <w:divBdr>
                    <w:top w:val="none" w:sz="0" w:space="0" w:color="auto"/>
                    <w:left w:val="none" w:sz="0" w:space="0" w:color="auto"/>
                    <w:bottom w:val="none" w:sz="0" w:space="0" w:color="auto"/>
                    <w:right w:val="none" w:sz="0" w:space="0" w:color="auto"/>
                  </w:divBdr>
                </w:div>
                <w:div w:id="867912209">
                  <w:marLeft w:val="0"/>
                  <w:marRight w:val="0"/>
                  <w:marTop w:val="0"/>
                  <w:marBottom w:val="0"/>
                  <w:divBdr>
                    <w:top w:val="none" w:sz="0" w:space="0" w:color="auto"/>
                    <w:left w:val="none" w:sz="0" w:space="0" w:color="auto"/>
                    <w:bottom w:val="none" w:sz="0" w:space="0" w:color="auto"/>
                    <w:right w:val="none" w:sz="0" w:space="0" w:color="auto"/>
                  </w:divBdr>
                </w:div>
                <w:div w:id="2084912357">
                  <w:marLeft w:val="0"/>
                  <w:marRight w:val="0"/>
                  <w:marTop w:val="0"/>
                  <w:marBottom w:val="0"/>
                  <w:divBdr>
                    <w:top w:val="none" w:sz="0" w:space="0" w:color="auto"/>
                    <w:left w:val="none" w:sz="0" w:space="0" w:color="auto"/>
                    <w:bottom w:val="none" w:sz="0" w:space="0" w:color="auto"/>
                    <w:right w:val="none" w:sz="0" w:space="0" w:color="auto"/>
                  </w:divBdr>
                </w:div>
                <w:div w:id="1130129225">
                  <w:marLeft w:val="0"/>
                  <w:marRight w:val="0"/>
                  <w:marTop w:val="0"/>
                  <w:marBottom w:val="0"/>
                  <w:divBdr>
                    <w:top w:val="none" w:sz="0" w:space="0" w:color="auto"/>
                    <w:left w:val="none" w:sz="0" w:space="0" w:color="auto"/>
                    <w:bottom w:val="none" w:sz="0" w:space="0" w:color="auto"/>
                    <w:right w:val="none" w:sz="0" w:space="0" w:color="auto"/>
                  </w:divBdr>
                </w:div>
                <w:div w:id="137190290">
                  <w:marLeft w:val="0"/>
                  <w:marRight w:val="0"/>
                  <w:marTop w:val="0"/>
                  <w:marBottom w:val="0"/>
                  <w:divBdr>
                    <w:top w:val="none" w:sz="0" w:space="0" w:color="auto"/>
                    <w:left w:val="none" w:sz="0" w:space="0" w:color="auto"/>
                    <w:bottom w:val="none" w:sz="0" w:space="0" w:color="auto"/>
                    <w:right w:val="none" w:sz="0" w:space="0" w:color="auto"/>
                  </w:divBdr>
                </w:div>
                <w:div w:id="266158982">
                  <w:marLeft w:val="0"/>
                  <w:marRight w:val="0"/>
                  <w:marTop w:val="0"/>
                  <w:marBottom w:val="0"/>
                  <w:divBdr>
                    <w:top w:val="none" w:sz="0" w:space="0" w:color="auto"/>
                    <w:left w:val="none" w:sz="0" w:space="0" w:color="auto"/>
                    <w:bottom w:val="none" w:sz="0" w:space="0" w:color="auto"/>
                    <w:right w:val="none" w:sz="0" w:space="0" w:color="auto"/>
                  </w:divBdr>
                </w:div>
                <w:div w:id="50734960">
                  <w:marLeft w:val="0"/>
                  <w:marRight w:val="0"/>
                  <w:marTop w:val="0"/>
                  <w:marBottom w:val="0"/>
                  <w:divBdr>
                    <w:top w:val="none" w:sz="0" w:space="0" w:color="auto"/>
                    <w:left w:val="none" w:sz="0" w:space="0" w:color="auto"/>
                    <w:bottom w:val="none" w:sz="0" w:space="0" w:color="auto"/>
                    <w:right w:val="none" w:sz="0" w:space="0" w:color="auto"/>
                  </w:divBdr>
                </w:div>
                <w:div w:id="342635021">
                  <w:marLeft w:val="0"/>
                  <w:marRight w:val="0"/>
                  <w:marTop w:val="0"/>
                  <w:marBottom w:val="0"/>
                  <w:divBdr>
                    <w:top w:val="none" w:sz="0" w:space="0" w:color="auto"/>
                    <w:left w:val="none" w:sz="0" w:space="0" w:color="auto"/>
                    <w:bottom w:val="none" w:sz="0" w:space="0" w:color="auto"/>
                    <w:right w:val="none" w:sz="0" w:space="0" w:color="auto"/>
                  </w:divBdr>
                </w:div>
                <w:div w:id="787971303">
                  <w:marLeft w:val="0"/>
                  <w:marRight w:val="0"/>
                  <w:marTop w:val="0"/>
                  <w:marBottom w:val="0"/>
                  <w:divBdr>
                    <w:top w:val="none" w:sz="0" w:space="0" w:color="auto"/>
                    <w:left w:val="none" w:sz="0" w:space="0" w:color="auto"/>
                    <w:bottom w:val="none" w:sz="0" w:space="0" w:color="auto"/>
                    <w:right w:val="none" w:sz="0" w:space="0" w:color="auto"/>
                  </w:divBdr>
                </w:div>
                <w:div w:id="1673296144">
                  <w:marLeft w:val="0"/>
                  <w:marRight w:val="0"/>
                  <w:marTop w:val="0"/>
                  <w:marBottom w:val="0"/>
                  <w:divBdr>
                    <w:top w:val="none" w:sz="0" w:space="0" w:color="auto"/>
                    <w:left w:val="none" w:sz="0" w:space="0" w:color="auto"/>
                    <w:bottom w:val="none" w:sz="0" w:space="0" w:color="auto"/>
                    <w:right w:val="none" w:sz="0" w:space="0" w:color="auto"/>
                  </w:divBdr>
                </w:div>
                <w:div w:id="252786857">
                  <w:marLeft w:val="0"/>
                  <w:marRight w:val="0"/>
                  <w:marTop w:val="0"/>
                  <w:marBottom w:val="0"/>
                  <w:divBdr>
                    <w:top w:val="none" w:sz="0" w:space="0" w:color="auto"/>
                    <w:left w:val="none" w:sz="0" w:space="0" w:color="auto"/>
                    <w:bottom w:val="none" w:sz="0" w:space="0" w:color="auto"/>
                    <w:right w:val="none" w:sz="0" w:space="0" w:color="auto"/>
                  </w:divBdr>
                </w:div>
                <w:div w:id="858081876">
                  <w:marLeft w:val="0"/>
                  <w:marRight w:val="0"/>
                  <w:marTop w:val="0"/>
                  <w:marBottom w:val="0"/>
                  <w:divBdr>
                    <w:top w:val="none" w:sz="0" w:space="0" w:color="auto"/>
                    <w:left w:val="none" w:sz="0" w:space="0" w:color="auto"/>
                    <w:bottom w:val="none" w:sz="0" w:space="0" w:color="auto"/>
                    <w:right w:val="none" w:sz="0" w:space="0" w:color="auto"/>
                  </w:divBdr>
                </w:div>
                <w:div w:id="60176244">
                  <w:marLeft w:val="0"/>
                  <w:marRight w:val="0"/>
                  <w:marTop w:val="0"/>
                  <w:marBottom w:val="0"/>
                  <w:divBdr>
                    <w:top w:val="none" w:sz="0" w:space="0" w:color="auto"/>
                    <w:left w:val="none" w:sz="0" w:space="0" w:color="auto"/>
                    <w:bottom w:val="none" w:sz="0" w:space="0" w:color="auto"/>
                    <w:right w:val="none" w:sz="0" w:space="0" w:color="auto"/>
                  </w:divBdr>
                </w:div>
                <w:div w:id="2044599038">
                  <w:marLeft w:val="0"/>
                  <w:marRight w:val="0"/>
                  <w:marTop w:val="0"/>
                  <w:marBottom w:val="0"/>
                  <w:divBdr>
                    <w:top w:val="none" w:sz="0" w:space="0" w:color="auto"/>
                    <w:left w:val="none" w:sz="0" w:space="0" w:color="auto"/>
                    <w:bottom w:val="none" w:sz="0" w:space="0" w:color="auto"/>
                    <w:right w:val="none" w:sz="0" w:space="0" w:color="auto"/>
                  </w:divBdr>
                </w:div>
                <w:div w:id="249585237">
                  <w:marLeft w:val="0"/>
                  <w:marRight w:val="0"/>
                  <w:marTop w:val="0"/>
                  <w:marBottom w:val="0"/>
                  <w:divBdr>
                    <w:top w:val="none" w:sz="0" w:space="0" w:color="auto"/>
                    <w:left w:val="none" w:sz="0" w:space="0" w:color="auto"/>
                    <w:bottom w:val="none" w:sz="0" w:space="0" w:color="auto"/>
                    <w:right w:val="none" w:sz="0" w:space="0" w:color="auto"/>
                  </w:divBdr>
                </w:div>
                <w:div w:id="6450152">
                  <w:marLeft w:val="0"/>
                  <w:marRight w:val="0"/>
                  <w:marTop w:val="0"/>
                  <w:marBottom w:val="0"/>
                  <w:divBdr>
                    <w:top w:val="none" w:sz="0" w:space="0" w:color="auto"/>
                    <w:left w:val="none" w:sz="0" w:space="0" w:color="auto"/>
                    <w:bottom w:val="none" w:sz="0" w:space="0" w:color="auto"/>
                    <w:right w:val="none" w:sz="0" w:space="0" w:color="auto"/>
                  </w:divBdr>
                </w:div>
                <w:div w:id="1169062182">
                  <w:marLeft w:val="0"/>
                  <w:marRight w:val="0"/>
                  <w:marTop w:val="0"/>
                  <w:marBottom w:val="0"/>
                  <w:divBdr>
                    <w:top w:val="none" w:sz="0" w:space="0" w:color="auto"/>
                    <w:left w:val="none" w:sz="0" w:space="0" w:color="auto"/>
                    <w:bottom w:val="none" w:sz="0" w:space="0" w:color="auto"/>
                    <w:right w:val="none" w:sz="0" w:space="0" w:color="auto"/>
                  </w:divBdr>
                </w:div>
                <w:div w:id="1244608173">
                  <w:marLeft w:val="0"/>
                  <w:marRight w:val="0"/>
                  <w:marTop w:val="0"/>
                  <w:marBottom w:val="0"/>
                  <w:divBdr>
                    <w:top w:val="none" w:sz="0" w:space="0" w:color="auto"/>
                    <w:left w:val="none" w:sz="0" w:space="0" w:color="auto"/>
                    <w:bottom w:val="none" w:sz="0" w:space="0" w:color="auto"/>
                    <w:right w:val="none" w:sz="0" w:space="0" w:color="auto"/>
                  </w:divBdr>
                </w:div>
                <w:div w:id="520971102">
                  <w:marLeft w:val="0"/>
                  <w:marRight w:val="0"/>
                  <w:marTop w:val="0"/>
                  <w:marBottom w:val="0"/>
                  <w:divBdr>
                    <w:top w:val="none" w:sz="0" w:space="0" w:color="auto"/>
                    <w:left w:val="none" w:sz="0" w:space="0" w:color="auto"/>
                    <w:bottom w:val="none" w:sz="0" w:space="0" w:color="auto"/>
                    <w:right w:val="none" w:sz="0" w:space="0" w:color="auto"/>
                  </w:divBdr>
                </w:div>
                <w:div w:id="881021777">
                  <w:marLeft w:val="0"/>
                  <w:marRight w:val="0"/>
                  <w:marTop w:val="0"/>
                  <w:marBottom w:val="0"/>
                  <w:divBdr>
                    <w:top w:val="none" w:sz="0" w:space="0" w:color="auto"/>
                    <w:left w:val="none" w:sz="0" w:space="0" w:color="auto"/>
                    <w:bottom w:val="none" w:sz="0" w:space="0" w:color="auto"/>
                    <w:right w:val="none" w:sz="0" w:space="0" w:color="auto"/>
                  </w:divBdr>
                </w:div>
                <w:div w:id="2101834451">
                  <w:marLeft w:val="0"/>
                  <w:marRight w:val="0"/>
                  <w:marTop w:val="0"/>
                  <w:marBottom w:val="0"/>
                  <w:divBdr>
                    <w:top w:val="none" w:sz="0" w:space="0" w:color="auto"/>
                    <w:left w:val="none" w:sz="0" w:space="0" w:color="auto"/>
                    <w:bottom w:val="none" w:sz="0" w:space="0" w:color="auto"/>
                    <w:right w:val="none" w:sz="0" w:space="0" w:color="auto"/>
                  </w:divBdr>
                </w:div>
                <w:div w:id="679426867">
                  <w:marLeft w:val="0"/>
                  <w:marRight w:val="0"/>
                  <w:marTop w:val="0"/>
                  <w:marBottom w:val="0"/>
                  <w:divBdr>
                    <w:top w:val="none" w:sz="0" w:space="0" w:color="auto"/>
                    <w:left w:val="none" w:sz="0" w:space="0" w:color="auto"/>
                    <w:bottom w:val="none" w:sz="0" w:space="0" w:color="auto"/>
                    <w:right w:val="none" w:sz="0" w:space="0" w:color="auto"/>
                  </w:divBdr>
                </w:div>
                <w:div w:id="843518648">
                  <w:marLeft w:val="0"/>
                  <w:marRight w:val="0"/>
                  <w:marTop w:val="0"/>
                  <w:marBottom w:val="0"/>
                  <w:divBdr>
                    <w:top w:val="none" w:sz="0" w:space="0" w:color="auto"/>
                    <w:left w:val="none" w:sz="0" w:space="0" w:color="auto"/>
                    <w:bottom w:val="none" w:sz="0" w:space="0" w:color="auto"/>
                    <w:right w:val="none" w:sz="0" w:space="0" w:color="auto"/>
                  </w:divBdr>
                </w:div>
                <w:div w:id="510678712">
                  <w:marLeft w:val="0"/>
                  <w:marRight w:val="0"/>
                  <w:marTop w:val="0"/>
                  <w:marBottom w:val="0"/>
                  <w:divBdr>
                    <w:top w:val="none" w:sz="0" w:space="0" w:color="auto"/>
                    <w:left w:val="none" w:sz="0" w:space="0" w:color="auto"/>
                    <w:bottom w:val="none" w:sz="0" w:space="0" w:color="auto"/>
                    <w:right w:val="none" w:sz="0" w:space="0" w:color="auto"/>
                  </w:divBdr>
                </w:div>
                <w:div w:id="1948660820">
                  <w:marLeft w:val="0"/>
                  <w:marRight w:val="0"/>
                  <w:marTop w:val="0"/>
                  <w:marBottom w:val="0"/>
                  <w:divBdr>
                    <w:top w:val="none" w:sz="0" w:space="0" w:color="auto"/>
                    <w:left w:val="none" w:sz="0" w:space="0" w:color="auto"/>
                    <w:bottom w:val="none" w:sz="0" w:space="0" w:color="auto"/>
                    <w:right w:val="none" w:sz="0" w:space="0" w:color="auto"/>
                  </w:divBdr>
                </w:div>
                <w:div w:id="473839066">
                  <w:marLeft w:val="0"/>
                  <w:marRight w:val="0"/>
                  <w:marTop w:val="0"/>
                  <w:marBottom w:val="0"/>
                  <w:divBdr>
                    <w:top w:val="none" w:sz="0" w:space="0" w:color="auto"/>
                    <w:left w:val="none" w:sz="0" w:space="0" w:color="auto"/>
                    <w:bottom w:val="none" w:sz="0" w:space="0" w:color="auto"/>
                    <w:right w:val="none" w:sz="0" w:space="0" w:color="auto"/>
                  </w:divBdr>
                </w:div>
                <w:div w:id="1950308153">
                  <w:marLeft w:val="0"/>
                  <w:marRight w:val="0"/>
                  <w:marTop w:val="0"/>
                  <w:marBottom w:val="0"/>
                  <w:divBdr>
                    <w:top w:val="none" w:sz="0" w:space="0" w:color="auto"/>
                    <w:left w:val="none" w:sz="0" w:space="0" w:color="auto"/>
                    <w:bottom w:val="none" w:sz="0" w:space="0" w:color="auto"/>
                    <w:right w:val="none" w:sz="0" w:space="0" w:color="auto"/>
                  </w:divBdr>
                </w:div>
                <w:div w:id="1013454144">
                  <w:marLeft w:val="0"/>
                  <w:marRight w:val="0"/>
                  <w:marTop w:val="0"/>
                  <w:marBottom w:val="0"/>
                  <w:divBdr>
                    <w:top w:val="none" w:sz="0" w:space="0" w:color="auto"/>
                    <w:left w:val="none" w:sz="0" w:space="0" w:color="auto"/>
                    <w:bottom w:val="none" w:sz="0" w:space="0" w:color="auto"/>
                    <w:right w:val="none" w:sz="0" w:space="0" w:color="auto"/>
                  </w:divBdr>
                  <w:divsChild>
                    <w:div w:id="1142188857">
                      <w:marLeft w:val="0"/>
                      <w:marRight w:val="0"/>
                      <w:marTop w:val="0"/>
                      <w:marBottom w:val="0"/>
                      <w:divBdr>
                        <w:top w:val="none" w:sz="0" w:space="0" w:color="auto"/>
                        <w:left w:val="none" w:sz="0" w:space="0" w:color="auto"/>
                        <w:bottom w:val="none" w:sz="0" w:space="0" w:color="auto"/>
                        <w:right w:val="none" w:sz="0" w:space="0" w:color="auto"/>
                      </w:divBdr>
                    </w:div>
                    <w:div w:id="58138980">
                      <w:marLeft w:val="0"/>
                      <w:marRight w:val="0"/>
                      <w:marTop w:val="0"/>
                      <w:marBottom w:val="0"/>
                      <w:divBdr>
                        <w:top w:val="none" w:sz="0" w:space="0" w:color="auto"/>
                        <w:left w:val="none" w:sz="0" w:space="0" w:color="auto"/>
                        <w:bottom w:val="none" w:sz="0" w:space="0" w:color="auto"/>
                        <w:right w:val="none" w:sz="0" w:space="0" w:color="auto"/>
                      </w:divBdr>
                    </w:div>
                    <w:div w:id="498231629">
                      <w:marLeft w:val="0"/>
                      <w:marRight w:val="0"/>
                      <w:marTop w:val="0"/>
                      <w:marBottom w:val="0"/>
                      <w:divBdr>
                        <w:top w:val="none" w:sz="0" w:space="0" w:color="auto"/>
                        <w:left w:val="none" w:sz="0" w:space="0" w:color="auto"/>
                        <w:bottom w:val="none" w:sz="0" w:space="0" w:color="auto"/>
                        <w:right w:val="none" w:sz="0" w:space="0" w:color="auto"/>
                      </w:divBdr>
                    </w:div>
                    <w:div w:id="1649162625">
                      <w:marLeft w:val="0"/>
                      <w:marRight w:val="0"/>
                      <w:marTop w:val="0"/>
                      <w:marBottom w:val="0"/>
                      <w:divBdr>
                        <w:top w:val="none" w:sz="0" w:space="0" w:color="auto"/>
                        <w:left w:val="none" w:sz="0" w:space="0" w:color="auto"/>
                        <w:bottom w:val="none" w:sz="0" w:space="0" w:color="auto"/>
                        <w:right w:val="none" w:sz="0" w:space="0" w:color="auto"/>
                      </w:divBdr>
                    </w:div>
                    <w:div w:id="732119010">
                      <w:marLeft w:val="0"/>
                      <w:marRight w:val="0"/>
                      <w:marTop w:val="0"/>
                      <w:marBottom w:val="0"/>
                      <w:divBdr>
                        <w:top w:val="none" w:sz="0" w:space="0" w:color="auto"/>
                        <w:left w:val="none" w:sz="0" w:space="0" w:color="auto"/>
                        <w:bottom w:val="none" w:sz="0" w:space="0" w:color="auto"/>
                        <w:right w:val="none" w:sz="0" w:space="0" w:color="auto"/>
                      </w:divBdr>
                    </w:div>
                    <w:div w:id="1669824329">
                      <w:marLeft w:val="0"/>
                      <w:marRight w:val="0"/>
                      <w:marTop w:val="0"/>
                      <w:marBottom w:val="0"/>
                      <w:divBdr>
                        <w:top w:val="none" w:sz="0" w:space="0" w:color="auto"/>
                        <w:left w:val="none" w:sz="0" w:space="0" w:color="auto"/>
                        <w:bottom w:val="none" w:sz="0" w:space="0" w:color="auto"/>
                        <w:right w:val="none" w:sz="0" w:space="0" w:color="auto"/>
                      </w:divBdr>
                    </w:div>
                    <w:div w:id="1135566688">
                      <w:marLeft w:val="0"/>
                      <w:marRight w:val="0"/>
                      <w:marTop w:val="0"/>
                      <w:marBottom w:val="0"/>
                      <w:divBdr>
                        <w:top w:val="none" w:sz="0" w:space="0" w:color="auto"/>
                        <w:left w:val="none" w:sz="0" w:space="0" w:color="auto"/>
                        <w:bottom w:val="none" w:sz="0" w:space="0" w:color="auto"/>
                        <w:right w:val="none" w:sz="0" w:space="0" w:color="auto"/>
                      </w:divBdr>
                    </w:div>
                    <w:div w:id="2101755033">
                      <w:marLeft w:val="0"/>
                      <w:marRight w:val="0"/>
                      <w:marTop w:val="0"/>
                      <w:marBottom w:val="0"/>
                      <w:divBdr>
                        <w:top w:val="none" w:sz="0" w:space="0" w:color="auto"/>
                        <w:left w:val="none" w:sz="0" w:space="0" w:color="auto"/>
                        <w:bottom w:val="none" w:sz="0" w:space="0" w:color="auto"/>
                        <w:right w:val="none" w:sz="0" w:space="0" w:color="auto"/>
                      </w:divBdr>
                    </w:div>
                    <w:div w:id="1505903248">
                      <w:marLeft w:val="0"/>
                      <w:marRight w:val="0"/>
                      <w:marTop w:val="0"/>
                      <w:marBottom w:val="0"/>
                      <w:divBdr>
                        <w:top w:val="none" w:sz="0" w:space="0" w:color="auto"/>
                        <w:left w:val="none" w:sz="0" w:space="0" w:color="auto"/>
                        <w:bottom w:val="none" w:sz="0" w:space="0" w:color="auto"/>
                        <w:right w:val="none" w:sz="0" w:space="0" w:color="auto"/>
                      </w:divBdr>
                    </w:div>
                    <w:div w:id="839388987">
                      <w:marLeft w:val="0"/>
                      <w:marRight w:val="0"/>
                      <w:marTop w:val="0"/>
                      <w:marBottom w:val="0"/>
                      <w:divBdr>
                        <w:top w:val="none" w:sz="0" w:space="0" w:color="auto"/>
                        <w:left w:val="none" w:sz="0" w:space="0" w:color="auto"/>
                        <w:bottom w:val="none" w:sz="0" w:space="0" w:color="auto"/>
                        <w:right w:val="none" w:sz="0" w:space="0" w:color="auto"/>
                      </w:divBdr>
                    </w:div>
                    <w:div w:id="1272854535">
                      <w:marLeft w:val="0"/>
                      <w:marRight w:val="0"/>
                      <w:marTop w:val="0"/>
                      <w:marBottom w:val="0"/>
                      <w:divBdr>
                        <w:top w:val="none" w:sz="0" w:space="0" w:color="auto"/>
                        <w:left w:val="none" w:sz="0" w:space="0" w:color="auto"/>
                        <w:bottom w:val="none" w:sz="0" w:space="0" w:color="auto"/>
                        <w:right w:val="none" w:sz="0" w:space="0" w:color="auto"/>
                      </w:divBdr>
                    </w:div>
                    <w:div w:id="25758518">
                      <w:marLeft w:val="0"/>
                      <w:marRight w:val="0"/>
                      <w:marTop w:val="0"/>
                      <w:marBottom w:val="0"/>
                      <w:divBdr>
                        <w:top w:val="none" w:sz="0" w:space="0" w:color="auto"/>
                        <w:left w:val="none" w:sz="0" w:space="0" w:color="auto"/>
                        <w:bottom w:val="none" w:sz="0" w:space="0" w:color="auto"/>
                        <w:right w:val="none" w:sz="0" w:space="0" w:color="auto"/>
                      </w:divBdr>
                    </w:div>
                    <w:div w:id="531302785">
                      <w:marLeft w:val="0"/>
                      <w:marRight w:val="0"/>
                      <w:marTop w:val="0"/>
                      <w:marBottom w:val="0"/>
                      <w:divBdr>
                        <w:top w:val="none" w:sz="0" w:space="0" w:color="auto"/>
                        <w:left w:val="none" w:sz="0" w:space="0" w:color="auto"/>
                        <w:bottom w:val="none" w:sz="0" w:space="0" w:color="auto"/>
                        <w:right w:val="none" w:sz="0" w:space="0" w:color="auto"/>
                      </w:divBdr>
                    </w:div>
                    <w:div w:id="588084326">
                      <w:marLeft w:val="0"/>
                      <w:marRight w:val="0"/>
                      <w:marTop w:val="0"/>
                      <w:marBottom w:val="0"/>
                      <w:divBdr>
                        <w:top w:val="none" w:sz="0" w:space="0" w:color="auto"/>
                        <w:left w:val="none" w:sz="0" w:space="0" w:color="auto"/>
                        <w:bottom w:val="none" w:sz="0" w:space="0" w:color="auto"/>
                        <w:right w:val="none" w:sz="0" w:space="0" w:color="auto"/>
                      </w:divBdr>
                    </w:div>
                    <w:div w:id="302782584">
                      <w:marLeft w:val="0"/>
                      <w:marRight w:val="0"/>
                      <w:marTop w:val="0"/>
                      <w:marBottom w:val="0"/>
                      <w:divBdr>
                        <w:top w:val="none" w:sz="0" w:space="0" w:color="auto"/>
                        <w:left w:val="none" w:sz="0" w:space="0" w:color="auto"/>
                        <w:bottom w:val="none" w:sz="0" w:space="0" w:color="auto"/>
                        <w:right w:val="none" w:sz="0" w:space="0" w:color="auto"/>
                      </w:divBdr>
                    </w:div>
                    <w:div w:id="843127833">
                      <w:marLeft w:val="0"/>
                      <w:marRight w:val="0"/>
                      <w:marTop w:val="0"/>
                      <w:marBottom w:val="0"/>
                      <w:divBdr>
                        <w:top w:val="none" w:sz="0" w:space="0" w:color="auto"/>
                        <w:left w:val="none" w:sz="0" w:space="0" w:color="auto"/>
                        <w:bottom w:val="none" w:sz="0" w:space="0" w:color="auto"/>
                        <w:right w:val="none" w:sz="0" w:space="0" w:color="auto"/>
                      </w:divBdr>
                    </w:div>
                    <w:div w:id="2010668238">
                      <w:marLeft w:val="0"/>
                      <w:marRight w:val="0"/>
                      <w:marTop w:val="0"/>
                      <w:marBottom w:val="0"/>
                      <w:divBdr>
                        <w:top w:val="none" w:sz="0" w:space="0" w:color="auto"/>
                        <w:left w:val="none" w:sz="0" w:space="0" w:color="auto"/>
                        <w:bottom w:val="none" w:sz="0" w:space="0" w:color="auto"/>
                        <w:right w:val="none" w:sz="0" w:space="0" w:color="auto"/>
                      </w:divBdr>
                    </w:div>
                    <w:div w:id="1623266162">
                      <w:marLeft w:val="0"/>
                      <w:marRight w:val="0"/>
                      <w:marTop w:val="0"/>
                      <w:marBottom w:val="0"/>
                      <w:divBdr>
                        <w:top w:val="none" w:sz="0" w:space="0" w:color="auto"/>
                        <w:left w:val="none" w:sz="0" w:space="0" w:color="auto"/>
                        <w:bottom w:val="none" w:sz="0" w:space="0" w:color="auto"/>
                        <w:right w:val="none" w:sz="0" w:space="0" w:color="auto"/>
                      </w:divBdr>
                    </w:div>
                    <w:div w:id="122424531">
                      <w:marLeft w:val="0"/>
                      <w:marRight w:val="0"/>
                      <w:marTop w:val="0"/>
                      <w:marBottom w:val="0"/>
                      <w:divBdr>
                        <w:top w:val="none" w:sz="0" w:space="0" w:color="auto"/>
                        <w:left w:val="none" w:sz="0" w:space="0" w:color="auto"/>
                        <w:bottom w:val="none" w:sz="0" w:space="0" w:color="auto"/>
                        <w:right w:val="none" w:sz="0" w:space="0" w:color="auto"/>
                      </w:divBdr>
                    </w:div>
                    <w:div w:id="1942105213">
                      <w:marLeft w:val="0"/>
                      <w:marRight w:val="0"/>
                      <w:marTop w:val="0"/>
                      <w:marBottom w:val="0"/>
                      <w:divBdr>
                        <w:top w:val="none" w:sz="0" w:space="0" w:color="auto"/>
                        <w:left w:val="none" w:sz="0" w:space="0" w:color="auto"/>
                        <w:bottom w:val="none" w:sz="0" w:space="0" w:color="auto"/>
                        <w:right w:val="none" w:sz="0" w:space="0" w:color="auto"/>
                      </w:divBdr>
                    </w:div>
                    <w:div w:id="1058091173">
                      <w:marLeft w:val="0"/>
                      <w:marRight w:val="0"/>
                      <w:marTop w:val="0"/>
                      <w:marBottom w:val="0"/>
                      <w:divBdr>
                        <w:top w:val="none" w:sz="0" w:space="0" w:color="auto"/>
                        <w:left w:val="none" w:sz="0" w:space="0" w:color="auto"/>
                        <w:bottom w:val="none" w:sz="0" w:space="0" w:color="auto"/>
                        <w:right w:val="none" w:sz="0" w:space="0" w:color="auto"/>
                      </w:divBdr>
                    </w:div>
                    <w:div w:id="965159758">
                      <w:marLeft w:val="0"/>
                      <w:marRight w:val="0"/>
                      <w:marTop w:val="0"/>
                      <w:marBottom w:val="0"/>
                      <w:divBdr>
                        <w:top w:val="none" w:sz="0" w:space="0" w:color="auto"/>
                        <w:left w:val="none" w:sz="0" w:space="0" w:color="auto"/>
                        <w:bottom w:val="none" w:sz="0" w:space="0" w:color="auto"/>
                        <w:right w:val="none" w:sz="0" w:space="0" w:color="auto"/>
                      </w:divBdr>
                    </w:div>
                    <w:div w:id="1758987429">
                      <w:marLeft w:val="0"/>
                      <w:marRight w:val="0"/>
                      <w:marTop w:val="0"/>
                      <w:marBottom w:val="0"/>
                      <w:divBdr>
                        <w:top w:val="none" w:sz="0" w:space="0" w:color="auto"/>
                        <w:left w:val="none" w:sz="0" w:space="0" w:color="auto"/>
                        <w:bottom w:val="none" w:sz="0" w:space="0" w:color="auto"/>
                        <w:right w:val="none" w:sz="0" w:space="0" w:color="auto"/>
                      </w:divBdr>
                    </w:div>
                    <w:div w:id="652491507">
                      <w:marLeft w:val="0"/>
                      <w:marRight w:val="0"/>
                      <w:marTop w:val="0"/>
                      <w:marBottom w:val="0"/>
                      <w:divBdr>
                        <w:top w:val="none" w:sz="0" w:space="0" w:color="auto"/>
                        <w:left w:val="none" w:sz="0" w:space="0" w:color="auto"/>
                        <w:bottom w:val="none" w:sz="0" w:space="0" w:color="auto"/>
                        <w:right w:val="none" w:sz="0" w:space="0" w:color="auto"/>
                      </w:divBdr>
                    </w:div>
                    <w:div w:id="580679007">
                      <w:marLeft w:val="0"/>
                      <w:marRight w:val="0"/>
                      <w:marTop w:val="0"/>
                      <w:marBottom w:val="0"/>
                      <w:divBdr>
                        <w:top w:val="none" w:sz="0" w:space="0" w:color="auto"/>
                        <w:left w:val="none" w:sz="0" w:space="0" w:color="auto"/>
                        <w:bottom w:val="none" w:sz="0" w:space="0" w:color="auto"/>
                        <w:right w:val="none" w:sz="0" w:space="0" w:color="auto"/>
                      </w:divBdr>
                    </w:div>
                    <w:div w:id="1977755249">
                      <w:marLeft w:val="0"/>
                      <w:marRight w:val="0"/>
                      <w:marTop w:val="0"/>
                      <w:marBottom w:val="0"/>
                      <w:divBdr>
                        <w:top w:val="none" w:sz="0" w:space="0" w:color="auto"/>
                        <w:left w:val="none" w:sz="0" w:space="0" w:color="auto"/>
                        <w:bottom w:val="none" w:sz="0" w:space="0" w:color="auto"/>
                        <w:right w:val="none" w:sz="0" w:space="0" w:color="auto"/>
                      </w:divBdr>
                    </w:div>
                    <w:div w:id="1670908326">
                      <w:marLeft w:val="0"/>
                      <w:marRight w:val="0"/>
                      <w:marTop w:val="0"/>
                      <w:marBottom w:val="0"/>
                      <w:divBdr>
                        <w:top w:val="none" w:sz="0" w:space="0" w:color="auto"/>
                        <w:left w:val="none" w:sz="0" w:space="0" w:color="auto"/>
                        <w:bottom w:val="none" w:sz="0" w:space="0" w:color="auto"/>
                        <w:right w:val="none" w:sz="0" w:space="0" w:color="auto"/>
                      </w:divBdr>
                    </w:div>
                    <w:div w:id="795292291">
                      <w:marLeft w:val="0"/>
                      <w:marRight w:val="0"/>
                      <w:marTop w:val="0"/>
                      <w:marBottom w:val="0"/>
                      <w:divBdr>
                        <w:top w:val="none" w:sz="0" w:space="0" w:color="auto"/>
                        <w:left w:val="none" w:sz="0" w:space="0" w:color="auto"/>
                        <w:bottom w:val="none" w:sz="0" w:space="0" w:color="auto"/>
                        <w:right w:val="none" w:sz="0" w:space="0" w:color="auto"/>
                      </w:divBdr>
                    </w:div>
                    <w:div w:id="1873690710">
                      <w:marLeft w:val="0"/>
                      <w:marRight w:val="0"/>
                      <w:marTop w:val="0"/>
                      <w:marBottom w:val="0"/>
                      <w:divBdr>
                        <w:top w:val="none" w:sz="0" w:space="0" w:color="auto"/>
                        <w:left w:val="none" w:sz="0" w:space="0" w:color="auto"/>
                        <w:bottom w:val="none" w:sz="0" w:space="0" w:color="auto"/>
                        <w:right w:val="none" w:sz="0" w:space="0" w:color="auto"/>
                      </w:divBdr>
                    </w:div>
                    <w:div w:id="1252205872">
                      <w:marLeft w:val="0"/>
                      <w:marRight w:val="0"/>
                      <w:marTop w:val="0"/>
                      <w:marBottom w:val="0"/>
                      <w:divBdr>
                        <w:top w:val="none" w:sz="0" w:space="0" w:color="auto"/>
                        <w:left w:val="none" w:sz="0" w:space="0" w:color="auto"/>
                        <w:bottom w:val="none" w:sz="0" w:space="0" w:color="auto"/>
                        <w:right w:val="none" w:sz="0" w:space="0" w:color="auto"/>
                      </w:divBdr>
                    </w:div>
                    <w:div w:id="1074477320">
                      <w:marLeft w:val="0"/>
                      <w:marRight w:val="0"/>
                      <w:marTop w:val="0"/>
                      <w:marBottom w:val="0"/>
                      <w:divBdr>
                        <w:top w:val="none" w:sz="0" w:space="0" w:color="auto"/>
                        <w:left w:val="none" w:sz="0" w:space="0" w:color="auto"/>
                        <w:bottom w:val="none" w:sz="0" w:space="0" w:color="auto"/>
                        <w:right w:val="none" w:sz="0" w:space="0" w:color="auto"/>
                      </w:divBdr>
                    </w:div>
                    <w:div w:id="238252801">
                      <w:marLeft w:val="0"/>
                      <w:marRight w:val="0"/>
                      <w:marTop w:val="0"/>
                      <w:marBottom w:val="0"/>
                      <w:divBdr>
                        <w:top w:val="none" w:sz="0" w:space="0" w:color="auto"/>
                        <w:left w:val="none" w:sz="0" w:space="0" w:color="auto"/>
                        <w:bottom w:val="none" w:sz="0" w:space="0" w:color="auto"/>
                        <w:right w:val="none" w:sz="0" w:space="0" w:color="auto"/>
                      </w:divBdr>
                    </w:div>
                    <w:div w:id="542986424">
                      <w:marLeft w:val="0"/>
                      <w:marRight w:val="0"/>
                      <w:marTop w:val="0"/>
                      <w:marBottom w:val="0"/>
                      <w:divBdr>
                        <w:top w:val="none" w:sz="0" w:space="0" w:color="auto"/>
                        <w:left w:val="none" w:sz="0" w:space="0" w:color="auto"/>
                        <w:bottom w:val="none" w:sz="0" w:space="0" w:color="auto"/>
                        <w:right w:val="none" w:sz="0" w:space="0" w:color="auto"/>
                      </w:divBdr>
                    </w:div>
                    <w:div w:id="1251699378">
                      <w:marLeft w:val="0"/>
                      <w:marRight w:val="0"/>
                      <w:marTop w:val="0"/>
                      <w:marBottom w:val="0"/>
                      <w:divBdr>
                        <w:top w:val="none" w:sz="0" w:space="0" w:color="auto"/>
                        <w:left w:val="none" w:sz="0" w:space="0" w:color="auto"/>
                        <w:bottom w:val="none" w:sz="0" w:space="0" w:color="auto"/>
                        <w:right w:val="none" w:sz="0" w:space="0" w:color="auto"/>
                      </w:divBdr>
                    </w:div>
                    <w:div w:id="1583834683">
                      <w:marLeft w:val="0"/>
                      <w:marRight w:val="0"/>
                      <w:marTop w:val="0"/>
                      <w:marBottom w:val="0"/>
                      <w:divBdr>
                        <w:top w:val="none" w:sz="0" w:space="0" w:color="auto"/>
                        <w:left w:val="none" w:sz="0" w:space="0" w:color="auto"/>
                        <w:bottom w:val="none" w:sz="0" w:space="0" w:color="auto"/>
                        <w:right w:val="none" w:sz="0" w:space="0" w:color="auto"/>
                      </w:divBdr>
                    </w:div>
                    <w:div w:id="457189634">
                      <w:marLeft w:val="0"/>
                      <w:marRight w:val="0"/>
                      <w:marTop w:val="0"/>
                      <w:marBottom w:val="0"/>
                      <w:divBdr>
                        <w:top w:val="none" w:sz="0" w:space="0" w:color="auto"/>
                        <w:left w:val="none" w:sz="0" w:space="0" w:color="auto"/>
                        <w:bottom w:val="none" w:sz="0" w:space="0" w:color="auto"/>
                        <w:right w:val="none" w:sz="0" w:space="0" w:color="auto"/>
                      </w:divBdr>
                    </w:div>
                    <w:div w:id="922226023">
                      <w:marLeft w:val="0"/>
                      <w:marRight w:val="0"/>
                      <w:marTop w:val="0"/>
                      <w:marBottom w:val="0"/>
                      <w:divBdr>
                        <w:top w:val="none" w:sz="0" w:space="0" w:color="auto"/>
                        <w:left w:val="none" w:sz="0" w:space="0" w:color="auto"/>
                        <w:bottom w:val="none" w:sz="0" w:space="0" w:color="auto"/>
                        <w:right w:val="none" w:sz="0" w:space="0" w:color="auto"/>
                      </w:divBdr>
                    </w:div>
                    <w:div w:id="1015113330">
                      <w:marLeft w:val="0"/>
                      <w:marRight w:val="0"/>
                      <w:marTop w:val="0"/>
                      <w:marBottom w:val="0"/>
                      <w:divBdr>
                        <w:top w:val="none" w:sz="0" w:space="0" w:color="auto"/>
                        <w:left w:val="none" w:sz="0" w:space="0" w:color="auto"/>
                        <w:bottom w:val="none" w:sz="0" w:space="0" w:color="auto"/>
                        <w:right w:val="none" w:sz="0" w:space="0" w:color="auto"/>
                      </w:divBdr>
                    </w:div>
                    <w:div w:id="1546022447">
                      <w:marLeft w:val="0"/>
                      <w:marRight w:val="0"/>
                      <w:marTop w:val="0"/>
                      <w:marBottom w:val="0"/>
                      <w:divBdr>
                        <w:top w:val="none" w:sz="0" w:space="0" w:color="auto"/>
                        <w:left w:val="none" w:sz="0" w:space="0" w:color="auto"/>
                        <w:bottom w:val="none" w:sz="0" w:space="0" w:color="auto"/>
                        <w:right w:val="none" w:sz="0" w:space="0" w:color="auto"/>
                      </w:divBdr>
                    </w:div>
                    <w:div w:id="954629874">
                      <w:marLeft w:val="0"/>
                      <w:marRight w:val="0"/>
                      <w:marTop w:val="0"/>
                      <w:marBottom w:val="0"/>
                      <w:divBdr>
                        <w:top w:val="none" w:sz="0" w:space="0" w:color="auto"/>
                        <w:left w:val="none" w:sz="0" w:space="0" w:color="auto"/>
                        <w:bottom w:val="none" w:sz="0" w:space="0" w:color="auto"/>
                        <w:right w:val="none" w:sz="0" w:space="0" w:color="auto"/>
                      </w:divBdr>
                    </w:div>
                    <w:div w:id="711072389">
                      <w:marLeft w:val="0"/>
                      <w:marRight w:val="0"/>
                      <w:marTop w:val="0"/>
                      <w:marBottom w:val="0"/>
                      <w:divBdr>
                        <w:top w:val="none" w:sz="0" w:space="0" w:color="auto"/>
                        <w:left w:val="none" w:sz="0" w:space="0" w:color="auto"/>
                        <w:bottom w:val="none" w:sz="0" w:space="0" w:color="auto"/>
                        <w:right w:val="none" w:sz="0" w:space="0" w:color="auto"/>
                      </w:divBdr>
                    </w:div>
                    <w:div w:id="2010790479">
                      <w:marLeft w:val="0"/>
                      <w:marRight w:val="0"/>
                      <w:marTop w:val="0"/>
                      <w:marBottom w:val="0"/>
                      <w:divBdr>
                        <w:top w:val="none" w:sz="0" w:space="0" w:color="auto"/>
                        <w:left w:val="none" w:sz="0" w:space="0" w:color="auto"/>
                        <w:bottom w:val="none" w:sz="0" w:space="0" w:color="auto"/>
                        <w:right w:val="none" w:sz="0" w:space="0" w:color="auto"/>
                      </w:divBdr>
                    </w:div>
                    <w:div w:id="105589036">
                      <w:marLeft w:val="0"/>
                      <w:marRight w:val="0"/>
                      <w:marTop w:val="0"/>
                      <w:marBottom w:val="0"/>
                      <w:divBdr>
                        <w:top w:val="none" w:sz="0" w:space="0" w:color="auto"/>
                        <w:left w:val="none" w:sz="0" w:space="0" w:color="auto"/>
                        <w:bottom w:val="none" w:sz="0" w:space="0" w:color="auto"/>
                        <w:right w:val="none" w:sz="0" w:space="0" w:color="auto"/>
                      </w:divBdr>
                    </w:div>
                    <w:div w:id="191456352">
                      <w:marLeft w:val="0"/>
                      <w:marRight w:val="0"/>
                      <w:marTop w:val="0"/>
                      <w:marBottom w:val="0"/>
                      <w:divBdr>
                        <w:top w:val="none" w:sz="0" w:space="0" w:color="auto"/>
                        <w:left w:val="none" w:sz="0" w:space="0" w:color="auto"/>
                        <w:bottom w:val="none" w:sz="0" w:space="0" w:color="auto"/>
                        <w:right w:val="none" w:sz="0" w:space="0" w:color="auto"/>
                      </w:divBdr>
                    </w:div>
                    <w:div w:id="1626542929">
                      <w:marLeft w:val="0"/>
                      <w:marRight w:val="0"/>
                      <w:marTop w:val="0"/>
                      <w:marBottom w:val="0"/>
                      <w:divBdr>
                        <w:top w:val="none" w:sz="0" w:space="0" w:color="auto"/>
                        <w:left w:val="none" w:sz="0" w:space="0" w:color="auto"/>
                        <w:bottom w:val="none" w:sz="0" w:space="0" w:color="auto"/>
                        <w:right w:val="none" w:sz="0" w:space="0" w:color="auto"/>
                      </w:divBdr>
                    </w:div>
                    <w:div w:id="703287339">
                      <w:marLeft w:val="0"/>
                      <w:marRight w:val="0"/>
                      <w:marTop w:val="0"/>
                      <w:marBottom w:val="0"/>
                      <w:divBdr>
                        <w:top w:val="none" w:sz="0" w:space="0" w:color="auto"/>
                        <w:left w:val="none" w:sz="0" w:space="0" w:color="auto"/>
                        <w:bottom w:val="none" w:sz="0" w:space="0" w:color="auto"/>
                        <w:right w:val="none" w:sz="0" w:space="0" w:color="auto"/>
                      </w:divBdr>
                    </w:div>
                    <w:div w:id="830366115">
                      <w:marLeft w:val="0"/>
                      <w:marRight w:val="0"/>
                      <w:marTop w:val="0"/>
                      <w:marBottom w:val="0"/>
                      <w:divBdr>
                        <w:top w:val="none" w:sz="0" w:space="0" w:color="auto"/>
                        <w:left w:val="none" w:sz="0" w:space="0" w:color="auto"/>
                        <w:bottom w:val="none" w:sz="0" w:space="0" w:color="auto"/>
                        <w:right w:val="none" w:sz="0" w:space="0" w:color="auto"/>
                      </w:divBdr>
                    </w:div>
                    <w:div w:id="1314219036">
                      <w:marLeft w:val="0"/>
                      <w:marRight w:val="0"/>
                      <w:marTop w:val="0"/>
                      <w:marBottom w:val="0"/>
                      <w:divBdr>
                        <w:top w:val="none" w:sz="0" w:space="0" w:color="auto"/>
                        <w:left w:val="none" w:sz="0" w:space="0" w:color="auto"/>
                        <w:bottom w:val="none" w:sz="0" w:space="0" w:color="auto"/>
                        <w:right w:val="none" w:sz="0" w:space="0" w:color="auto"/>
                      </w:divBdr>
                    </w:div>
                    <w:div w:id="647587724">
                      <w:marLeft w:val="0"/>
                      <w:marRight w:val="0"/>
                      <w:marTop w:val="0"/>
                      <w:marBottom w:val="0"/>
                      <w:divBdr>
                        <w:top w:val="none" w:sz="0" w:space="0" w:color="auto"/>
                        <w:left w:val="none" w:sz="0" w:space="0" w:color="auto"/>
                        <w:bottom w:val="none" w:sz="0" w:space="0" w:color="auto"/>
                        <w:right w:val="none" w:sz="0" w:space="0" w:color="auto"/>
                      </w:divBdr>
                    </w:div>
                    <w:div w:id="422185020">
                      <w:marLeft w:val="0"/>
                      <w:marRight w:val="0"/>
                      <w:marTop w:val="0"/>
                      <w:marBottom w:val="0"/>
                      <w:divBdr>
                        <w:top w:val="none" w:sz="0" w:space="0" w:color="auto"/>
                        <w:left w:val="none" w:sz="0" w:space="0" w:color="auto"/>
                        <w:bottom w:val="none" w:sz="0" w:space="0" w:color="auto"/>
                        <w:right w:val="none" w:sz="0" w:space="0" w:color="auto"/>
                      </w:divBdr>
                    </w:div>
                    <w:div w:id="2049915409">
                      <w:marLeft w:val="0"/>
                      <w:marRight w:val="0"/>
                      <w:marTop w:val="0"/>
                      <w:marBottom w:val="0"/>
                      <w:divBdr>
                        <w:top w:val="none" w:sz="0" w:space="0" w:color="auto"/>
                        <w:left w:val="none" w:sz="0" w:space="0" w:color="auto"/>
                        <w:bottom w:val="none" w:sz="0" w:space="0" w:color="auto"/>
                        <w:right w:val="none" w:sz="0" w:space="0" w:color="auto"/>
                      </w:divBdr>
                    </w:div>
                    <w:div w:id="1245843163">
                      <w:marLeft w:val="0"/>
                      <w:marRight w:val="0"/>
                      <w:marTop w:val="0"/>
                      <w:marBottom w:val="0"/>
                      <w:divBdr>
                        <w:top w:val="none" w:sz="0" w:space="0" w:color="auto"/>
                        <w:left w:val="none" w:sz="0" w:space="0" w:color="auto"/>
                        <w:bottom w:val="none" w:sz="0" w:space="0" w:color="auto"/>
                        <w:right w:val="none" w:sz="0" w:space="0" w:color="auto"/>
                      </w:divBdr>
                    </w:div>
                    <w:div w:id="1683777366">
                      <w:marLeft w:val="0"/>
                      <w:marRight w:val="0"/>
                      <w:marTop w:val="0"/>
                      <w:marBottom w:val="0"/>
                      <w:divBdr>
                        <w:top w:val="none" w:sz="0" w:space="0" w:color="auto"/>
                        <w:left w:val="none" w:sz="0" w:space="0" w:color="auto"/>
                        <w:bottom w:val="none" w:sz="0" w:space="0" w:color="auto"/>
                        <w:right w:val="none" w:sz="0" w:space="0" w:color="auto"/>
                      </w:divBdr>
                    </w:div>
                    <w:div w:id="1999534087">
                      <w:marLeft w:val="0"/>
                      <w:marRight w:val="0"/>
                      <w:marTop w:val="0"/>
                      <w:marBottom w:val="0"/>
                      <w:divBdr>
                        <w:top w:val="none" w:sz="0" w:space="0" w:color="auto"/>
                        <w:left w:val="none" w:sz="0" w:space="0" w:color="auto"/>
                        <w:bottom w:val="none" w:sz="0" w:space="0" w:color="auto"/>
                        <w:right w:val="none" w:sz="0" w:space="0" w:color="auto"/>
                      </w:divBdr>
                    </w:div>
                    <w:div w:id="1352031655">
                      <w:marLeft w:val="0"/>
                      <w:marRight w:val="0"/>
                      <w:marTop w:val="0"/>
                      <w:marBottom w:val="0"/>
                      <w:divBdr>
                        <w:top w:val="none" w:sz="0" w:space="0" w:color="auto"/>
                        <w:left w:val="none" w:sz="0" w:space="0" w:color="auto"/>
                        <w:bottom w:val="none" w:sz="0" w:space="0" w:color="auto"/>
                        <w:right w:val="none" w:sz="0" w:space="0" w:color="auto"/>
                      </w:divBdr>
                    </w:div>
                    <w:div w:id="1957103530">
                      <w:marLeft w:val="0"/>
                      <w:marRight w:val="0"/>
                      <w:marTop w:val="0"/>
                      <w:marBottom w:val="0"/>
                      <w:divBdr>
                        <w:top w:val="none" w:sz="0" w:space="0" w:color="auto"/>
                        <w:left w:val="none" w:sz="0" w:space="0" w:color="auto"/>
                        <w:bottom w:val="none" w:sz="0" w:space="0" w:color="auto"/>
                        <w:right w:val="none" w:sz="0" w:space="0" w:color="auto"/>
                      </w:divBdr>
                    </w:div>
                    <w:div w:id="414480819">
                      <w:marLeft w:val="0"/>
                      <w:marRight w:val="0"/>
                      <w:marTop w:val="0"/>
                      <w:marBottom w:val="0"/>
                      <w:divBdr>
                        <w:top w:val="none" w:sz="0" w:space="0" w:color="auto"/>
                        <w:left w:val="none" w:sz="0" w:space="0" w:color="auto"/>
                        <w:bottom w:val="none" w:sz="0" w:space="0" w:color="auto"/>
                        <w:right w:val="none" w:sz="0" w:space="0" w:color="auto"/>
                      </w:divBdr>
                    </w:div>
                    <w:div w:id="1766537669">
                      <w:marLeft w:val="0"/>
                      <w:marRight w:val="0"/>
                      <w:marTop w:val="0"/>
                      <w:marBottom w:val="0"/>
                      <w:divBdr>
                        <w:top w:val="none" w:sz="0" w:space="0" w:color="auto"/>
                        <w:left w:val="none" w:sz="0" w:space="0" w:color="auto"/>
                        <w:bottom w:val="none" w:sz="0" w:space="0" w:color="auto"/>
                        <w:right w:val="none" w:sz="0" w:space="0" w:color="auto"/>
                      </w:divBdr>
                    </w:div>
                    <w:div w:id="1168599615">
                      <w:marLeft w:val="0"/>
                      <w:marRight w:val="0"/>
                      <w:marTop w:val="0"/>
                      <w:marBottom w:val="0"/>
                      <w:divBdr>
                        <w:top w:val="none" w:sz="0" w:space="0" w:color="auto"/>
                        <w:left w:val="none" w:sz="0" w:space="0" w:color="auto"/>
                        <w:bottom w:val="none" w:sz="0" w:space="0" w:color="auto"/>
                        <w:right w:val="none" w:sz="0" w:space="0" w:color="auto"/>
                      </w:divBdr>
                    </w:div>
                    <w:div w:id="319115189">
                      <w:marLeft w:val="0"/>
                      <w:marRight w:val="0"/>
                      <w:marTop w:val="0"/>
                      <w:marBottom w:val="0"/>
                      <w:divBdr>
                        <w:top w:val="none" w:sz="0" w:space="0" w:color="auto"/>
                        <w:left w:val="none" w:sz="0" w:space="0" w:color="auto"/>
                        <w:bottom w:val="none" w:sz="0" w:space="0" w:color="auto"/>
                        <w:right w:val="none" w:sz="0" w:space="0" w:color="auto"/>
                      </w:divBdr>
                    </w:div>
                    <w:div w:id="1903515341">
                      <w:marLeft w:val="0"/>
                      <w:marRight w:val="0"/>
                      <w:marTop w:val="0"/>
                      <w:marBottom w:val="0"/>
                      <w:divBdr>
                        <w:top w:val="none" w:sz="0" w:space="0" w:color="auto"/>
                        <w:left w:val="none" w:sz="0" w:space="0" w:color="auto"/>
                        <w:bottom w:val="none" w:sz="0" w:space="0" w:color="auto"/>
                        <w:right w:val="none" w:sz="0" w:space="0" w:color="auto"/>
                      </w:divBdr>
                    </w:div>
                    <w:div w:id="590939860">
                      <w:marLeft w:val="0"/>
                      <w:marRight w:val="0"/>
                      <w:marTop w:val="0"/>
                      <w:marBottom w:val="0"/>
                      <w:divBdr>
                        <w:top w:val="none" w:sz="0" w:space="0" w:color="auto"/>
                        <w:left w:val="none" w:sz="0" w:space="0" w:color="auto"/>
                        <w:bottom w:val="none" w:sz="0" w:space="0" w:color="auto"/>
                        <w:right w:val="none" w:sz="0" w:space="0" w:color="auto"/>
                      </w:divBdr>
                    </w:div>
                    <w:div w:id="1891306983">
                      <w:marLeft w:val="0"/>
                      <w:marRight w:val="0"/>
                      <w:marTop w:val="0"/>
                      <w:marBottom w:val="0"/>
                      <w:divBdr>
                        <w:top w:val="none" w:sz="0" w:space="0" w:color="auto"/>
                        <w:left w:val="none" w:sz="0" w:space="0" w:color="auto"/>
                        <w:bottom w:val="none" w:sz="0" w:space="0" w:color="auto"/>
                        <w:right w:val="none" w:sz="0" w:space="0" w:color="auto"/>
                      </w:divBdr>
                    </w:div>
                    <w:div w:id="1813521345">
                      <w:marLeft w:val="0"/>
                      <w:marRight w:val="0"/>
                      <w:marTop w:val="0"/>
                      <w:marBottom w:val="0"/>
                      <w:divBdr>
                        <w:top w:val="none" w:sz="0" w:space="0" w:color="auto"/>
                        <w:left w:val="none" w:sz="0" w:space="0" w:color="auto"/>
                        <w:bottom w:val="none" w:sz="0" w:space="0" w:color="auto"/>
                        <w:right w:val="none" w:sz="0" w:space="0" w:color="auto"/>
                      </w:divBdr>
                    </w:div>
                    <w:div w:id="831216051">
                      <w:marLeft w:val="0"/>
                      <w:marRight w:val="0"/>
                      <w:marTop w:val="0"/>
                      <w:marBottom w:val="0"/>
                      <w:divBdr>
                        <w:top w:val="none" w:sz="0" w:space="0" w:color="auto"/>
                        <w:left w:val="none" w:sz="0" w:space="0" w:color="auto"/>
                        <w:bottom w:val="none" w:sz="0" w:space="0" w:color="auto"/>
                        <w:right w:val="none" w:sz="0" w:space="0" w:color="auto"/>
                      </w:divBdr>
                    </w:div>
                    <w:div w:id="1281182702">
                      <w:marLeft w:val="0"/>
                      <w:marRight w:val="0"/>
                      <w:marTop w:val="0"/>
                      <w:marBottom w:val="0"/>
                      <w:divBdr>
                        <w:top w:val="none" w:sz="0" w:space="0" w:color="auto"/>
                        <w:left w:val="none" w:sz="0" w:space="0" w:color="auto"/>
                        <w:bottom w:val="none" w:sz="0" w:space="0" w:color="auto"/>
                        <w:right w:val="none" w:sz="0" w:space="0" w:color="auto"/>
                      </w:divBdr>
                    </w:div>
                    <w:div w:id="238563878">
                      <w:marLeft w:val="0"/>
                      <w:marRight w:val="0"/>
                      <w:marTop w:val="0"/>
                      <w:marBottom w:val="0"/>
                      <w:divBdr>
                        <w:top w:val="none" w:sz="0" w:space="0" w:color="auto"/>
                        <w:left w:val="none" w:sz="0" w:space="0" w:color="auto"/>
                        <w:bottom w:val="none" w:sz="0" w:space="0" w:color="auto"/>
                        <w:right w:val="none" w:sz="0" w:space="0" w:color="auto"/>
                      </w:divBdr>
                    </w:div>
                    <w:div w:id="1975283250">
                      <w:marLeft w:val="0"/>
                      <w:marRight w:val="0"/>
                      <w:marTop w:val="0"/>
                      <w:marBottom w:val="0"/>
                      <w:divBdr>
                        <w:top w:val="none" w:sz="0" w:space="0" w:color="auto"/>
                        <w:left w:val="none" w:sz="0" w:space="0" w:color="auto"/>
                        <w:bottom w:val="none" w:sz="0" w:space="0" w:color="auto"/>
                        <w:right w:val="none" w:sz="0" w:space="0" w:color="auto"/>
                      </w:divBdr>
                    </w:div>
                    <w:div w:id="751202949">
                      <w:marLeft w:val="0"/>
                      <w:marRight w:val="0"/>
                      <w:marTop w:val="0"/>
                      <w:marBottom w:val="0"/>
                      <w:divBdr>
                        <w:top w:val="none" w:sz="0" w:space="0" w:color="auto"/>
                        <w:left w:val="none" w:sz="0" w:space="0" w:color="auto"/>
                        <w:bottom w:val="none" w:sz="0" w:space="0" w:color="auto"/>
                        <w:right w:val="none" w:sz="0" w:space="0" w:color="auto"/>
                      </w:divBdr>
                    </w:div>
                    <w:div w:id="2011255478">
                      <w:marLeft w:val="0"/>
                      <w:marRight w:val="0"/>
                      <w:marTop w:val="0"/>
                      <w:marBottom w:val="0"/>
                      <w:divBdr>
                        <w:top w:val="none" w:sz="0" w:space="0" w:color="auto"/>
                        <w:left w:val="none" w:sz="0" w:space="0" w:color="auto"/>
                        <w:bottom w:val="none" w:sz="0" w:space="0" w:color="auto"/>
                        <w:right w:val="none" w:sz="0" w:space="0" w:color="auto"/>
                      </w:divBdr>
                    </w:div>
                    <w:div w:id="9574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66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605</Words>
  <Characters>3452</Characters>
  <Application>Microsoft Office Word</Application>
  <DocSecurity>0</DocSecurity>
  <Lines>28</Lines>
  <Paragraphs>8</Paragraphs>
  <ScaleCrop>false</ScaleCrop>
  <Company> </Company>
  <LinksUpToDate>false</LinksUpToDate>
  <CharactersWithSpaces>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yueshiqiang</dc:creator>
  <cp:keywords/>
  <dc:description/>
  <cp:lastModifiedBy>yueshiqiang</cp:lastModifiedBy>
  <cp:revision>22</cp:revision>
  <dcterms:created xsi:type="dcterms:W3CDTF">2013-05-13T10:53:00Z</dcterms:created>
  <dcterms:modified xsi:type="dcterms:W3CDTF">2013-05-13T12:57:00Z</dcterms:modified>
</cp:coreProperties>
</file>