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14868" w:rsidRPr="00D3607F" w:rsidRDefault="00A66040" w:rsidP="00D3607F">
      <w:pPr>
        <w:autoSpaceDN w:val="0"/>
        <w:spacing w:before="141" w:after="141"/>
        <w:jc w:val="center"/>
        <w:rPr>
          <w:rFonts w:ascii="楷体" w:eastAsia="楷体" w:hAnsi="楷体"/>
          <w:b/>
          <w:sz w:val="48"/>
        </w:rPr>
      </w:pPr>
      <w:r w:rsidRPr="00D3607F">
        <w:rPr>
          <w:rFonts w:ascii="楷体" w:eastAsia="楷体" w:hAnsi="楷体"/>
          <w:b/>
          <w:sz w:val="36"/>
        </w:rPr>
        <w:t>医疗卫生行业政策及投向指引</w:t>
      </w:r>
    </w:p>
    <w:p w:rsidR="00F14868" w:rsidRPr="00D3607F" w:rsidRDefault="00A66040">
      <w:pPr>
        <w:autoSpaceDN w:val="0"/>
        <w:spacing w:afterAutospacing="1"/>
        <w:ind w:firstLine="420"/>
        <w:rPr>
          <w:rFonts w:ascii="楷体" w:eastAsia="楷体" w:hAnsi="楷体"/>
          <w:b/>
          <w:sz w:val="31"/>
        </w:rPr>
      </w:pPr>
      <w:r w:rsidRPr="00D3607F">
        <w:rPr>
          <w:rFonts w:ascii="楷体" w:eastAsia="楷体" w:hAnsi="楷体"/>
          <w:b/>
          <w:sz w:val="31"/>
        </w:rPr>
        <w:t>一、适用范围</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本指引所称“医疗卫生”行业包括医院、卫生院及社区医疗、妇幼保健、专科疾病防治和社会养老机构等，对应国家统计局《国民经济行业分类》（GB/T4754-2011）中的卫生（Q83，含8个中类）和提供住宿社会工作（Q841），对应</w:t>
      </w:r>
      <w:r w:rsidR="006725AD">
        <w:rPr>
          <w:rFonts w:ascii="楷体" w:eastAsia="楷体" w:hAnsi="楷体"/>
        </w:rPr>
        <w:t>金融机构</w:t>
      </w:r>
      <w:r w:rsidRPr="00D3607F">
        <w:rPr>
          <w:rFonts w:ascii="楷体" w:eastAsia="楷体" w:hAnsi="楷体"/>
        </w:rPr>
        <w:t>行业分类为卫生和社会工作。 由于该行业客户中，医院客户授信及余额占比超过99%，以下分析主要基于医院展开。</w:t>
      </w:r>
    </w:p>
    <w:p w:rsidR="00F14868" w:rsidRPr="00D3607F" w:rsidRDefault="00A66040">
      <w:pPr>
        <w:autoSpaceDN w:val="0"/>
        <w:spacing w:afterAutospacing="1"/>
        <w:ind w:firstLine="420"/>
        <w:rPr>
          <w:rFonts w:ascii="楷体" w:eastAsia="楷体" w:hAnsi="楷体"/>
          <w:b/>
          <w:sz w:val="31"/>
        </w:rPr>
      </w:pPr>
      <w:r w:rsidRPr="00D3607F">
        <w:rPr>
          <w:rFonts w:ascii="楷体" w:eastAsia="楷体" w:hAnsi="楷体"/>
          <w:b/>
          <w:sz w:val="31"/>
        </w:rPr>
        <w:t>二、近期行业运行特征及政策环境</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（一）行业运行情况</w:t>
      </w:r>
      <w:r w:rsidRPr="00D3607F">
        <w:rPr>
          <w:rFonts w:ascii="楷体" w:eastAsia="楷体" w:hAnsi="楷体"/>
          <w:b/>
          <w:sz w:val="24"/>
        </w:rPr>
        <w:tab/>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1、我国医疗卫生市场长期供给不足，增长潜力巨大，以公立</w:t>
      </w:r>
      <w:bookmarkStart w:id="0" w:name="_GoBack"/>
      <w:bookmarkEnd w:id="0"/>
      <w:r w:rsidRPr="00D3607F">
        <w:rPr>
          <w:rFonts w:ascii="楷体" w:eastAsia="楷体" w:hAnsi="楷体"/>
          <w:b/>
        </w:rPr>
        <w:t xml:space="preserve">医院为主的行业结构，运行效率有待进一步提高。 </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1978-2012年，我国医疗卫生总费用从110亿增长到2.89万亿，增长260倍，年均增速接近20%，其中人均卫生总费用增幅达116倍，远高于同期人均GDP增幅。尽管如此，我国2012年医疗卫生总费用仍仅占GDP的5.53%，与发达国家平均10%以上的比重相比，差距巨大；以此预计，未来几年国内医疗需求将继续保持高速增长。而供给方面，国内医疗机构数量14年间仅增长452%，其中承担主要诊疗任务的医院数量仅增长125%，医疗床位增长134%。相对于快速膨胀的医疗需求，供给增速远远落后，成为当前“看病难”的主要矛盾。</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究其原因在于，我国当前医疗行业公立机构数量占比超过60%，医疗服务供给量占比更是达90%。其中大多为提供公共服务的非营利性事业单位，集财政扶持、人才、医保等行业主要资源于一身，占据绝对主导地位，但因缺少市场化激励及竞争机制，并广泛存在管办不分、委托代理等问题，导致管理和服务效率低下。而民营医院受制于行业资源被公立机构基本垄断，长期以来发展十分有限。</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2、各级医院层次差异明显，并呈逐步扩大化趋势。</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2013年9月末，全国共有各类医院约2.42万家，按照设备及医疗管理水平大致分为三级、二级、一级及未评定四类，占比分别为7.11%、27.56%、25.89%、39.53%，其中二、三级医院合计诊疗人次、出院人数占比均超过85%，病床使用率也显著高于其他等级。增速方面，各级医院数量、诊疗人次、出院人数均持续保持增长，由快到慢依次为三级、未分级、一级、二级。</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民营医院数量占比虽已接近50%，但诊疗人数、出院人数均仅占10%，整体仍处于边缘地位。不过值得关注的是，2013年1-9月，其三项指标增速均显著高于公立医院，加速发展势头明显。</w:t>
      </w:r>
    </w:p>
    <w:p w:rsidR="00F14868" w:rsidRPr="00D3607F" w:rsidRDefault="00A66040">
      <w:pPr>
        <w:autoSpaceDN w:val="0"/>
        <w:spacing w:beforeAutospacing="1" w:afterAutospacing="1"/>
        <w:jc w:val="center"/>
        <w:rPr>
          <w:rFonts w:ascii="楷体" w:eastAsia="楷体" w:hAnsi="楷体"/>
          <w:sz w:val="24"/>
        </w:rPr>
      </w:pPr>
      <w:r w:rsidRPr="00D3607F">
        <w:rPr>
          <w:rFonts w:ascii="楷体" w:eastAsia="楷体" w:hAnsi="楷体"/>
        </w:rPr>
        <w:t>2013年1-9月国内医院主要指标情况</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412"/>
        <w:gridCol w:w="412"/>
        <w:gridCol w:w="680"/>
        <w:gridCol w:w="858"/>
        <w:gridCol w:w="769"/>
        <w:gridCol w:w="680"/>
        <w:gridCol w:w="858"/>
        <w:gridCol w:w="769"/>
        <w:gridCol w:w="769"/>
        <w:gridCol w:w="858"/>
        <w:gridCol w:w="769"/>
        <w:gridCol w:w="680"/>
      </w:tblGrid>
      <w:tr w:rsidR="00F14868" w:rsidRPr="00D3607F">
        <w:trPr>
          <w:trHeight w:val="580"/>
          <w:jc w:val="center"/>
        </w:trPr>
        <w:tc>
          <w:tcPr>
            <w:tcW w:w="82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autoSpaceDN w:val="0"/>
              <w:rPr>
                <w:rFonts w:ascii="楷体" w:eastAsia="楷体" w:hAnsi="楷体"/>
                <w:sz w:val="24"/>
              </w:rPr>
            </w:pP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数量(家)</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同比增长</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spacing w:afterAutospacing="1"/>
              <w:jc w:val="center"/>
              <w:rPr>
                <w:rFonts w:ascii="楷体" w:eastAsia="楷体" w:hAnsi="楷体"/>
                <w:sz w:val="24"/>
              </w:rPr>
            </w:pPr>
            <w:r w:rsidRPr="00D3607F">
              <w:rPr>
                <w:rFonts w:ascii="楷体" w:eastAsia="楷体" w:hAnsi="楷体"/>
                <w:color w:val="000000"/>
                <w:sz w:val="18"/>
              </w:rPr>
              <w:t>诊疗</w:t>
            </w:r>
          </w:p>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(亿人次)</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同比增长</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spacing w:afterAutospacing="1"/>
              <w:jc w:val="center"/>
              <w:rPr>
                <w:rFonts w:ascii="楷体" w:eastAsia="楷体" w:hAnsi="楷体"/>
                <w:sz w:val="24"/>
              </w:rPr>
            </w:pPr>
            <w:r w:rsidRPr="00D3607F">
              <w:rPr>
                <w:rFonts w:ascii="楷体" w:eastAsia="楷体" w:hAnsi="楷体"/>
                <w:color w:val="000000"/>
                <w:sz w:val="18"/>
              </w:rPr>
              <w:t>出院人数</w:t>
            </w:r>
          </w:p>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(万人)</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同比增长</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病床使用率（%）</w:t>
            </w:r>
          </w:p>
        </w:tc>
      </w:tr>
      <w:tr w:rsidR="00F14868" w:rsidRPr="00D3607F">
        <w:trPr>
          <w:trHeight w:val="300"/>
          <w:jc w:val="center"/>
        </w:trPr>
        <w:tc>
          <w:tcPr>
            <w:tcW w:w="82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医院</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24222</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6.60%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19.63</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9.40%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9957</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12.80%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93.3</w:t>
            </w:r>
          </w:p>
        </w:tc>
      </w:tr>
      <w:tr w:rsidR="00F14868" w:rsidRPr="00D3607F">
        <w:trPr>
          <w:trHeight w:val="339"/>
          <w:jc w:val="center"/>
        </w:trPr>
        <w:tc>
          <w:tcPr>
            <w:tcW w:w="41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按等级划分</w:t>
            </w: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三级</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1721</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7.11%</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15.43%</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8.62</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43.91%</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18.70%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3779.4</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37.96%</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22.60%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106.3</w:t>
            </w:r>
          </w:p>
        </w:tc>
      </w:tr>
      <w:tr w:rsidR="00F14868" w:rsidRPr="00D3607F">
        <w:trPr>
          <w:trHeight w:val="300"/>
          <w:jc w:val="center"/>
        </w:trPr>
        <w:tc>
          <w:tcPr>
            <w:tcW w:w="4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二级</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6676</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27.56%</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1.26%</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8.09</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41.21%</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2.70%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4836.5</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48.57%</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5.90%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94.4</w:t>
            </w:r>
          </w:p>
        </w:tc>
      </w:tr>
      <w:tr w:rsidR="00F14868" w:rsidRPr="00D3607F">
        <w:trPr>
          <w:trHeight w:val="300"/>
          <w:jc w:val="center"/>
        </w:trPr>
        <w:tc>
          <w:tcPr>
            <w:tcW w:w="4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一级</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6272</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25.89%</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6.88%</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1.22</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6.21%</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3.10%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486.8</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4.89%</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13.00%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63.4</w:t>
            </w:r>
          </w:p>
        </w:tc>
      </w:tr>
      <w:tr w:rsidR="00F14868" w:rsidRPr="00D3607F">
        <w:trPr>
          <w:trHeight w:val="300"/>
          <w:jc w:val="center"/>
        </w:trPr>
        <w:tc>
          <w:tcPr>
            <w:tcW w:w="4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未分级</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9575</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39.53%</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9.18%</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1.7</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8.66%</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4.50%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854.8</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8.58%</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13.80%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57.8</w:t>
            </w:r>
          </w:p>
        </w:tc>
      </w:tr>
      <w:tr w:rsidR="00F14868" w:rsidRPr="00D3607F">
        <w:trPr>
          <w:trHeight w:val="300"/>
          <w:jc w:val="center"/>
        </w:trPr>
        <w:tc>
          <w:tcPr>
            <w:tcW w:w="41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按经济性质划分</w:t>
            </w: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公立</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13427</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55.43%</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0.00%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17.67</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90.02%</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8.70%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8846</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88.84%</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11.40%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w:t>
            </w:r>
          </w:p>
        </w:tc>
      </w:tr>
      <w:tr w:rsidR="00F14868" w:rsidRPr="00D3607F">
        <w:trPr>
          <w:trHeight w:val="300"/>
          <w:jc w:val="center"/>
        </w:trPr>
        <w:tc>
          <w:tcPr>
            <w:tcW w:w="4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民营</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10795</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44.57%</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16.14%</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1.97</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10.04%</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15.80%</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1111.3</w:t>
            </w:r>
          </w:p>
        </w:tc>
        <w:tc>
          <w:tcPr>
            <w:tcW w:w="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11.16%</w:t>
            </w:r>
          </w:p>
        </w:tc>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25.40%</w:t>
            </w:r>
          </w:p>
        </w:tc>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w:t>
            </w:r>
          </w:p>
        </w:tc>
      </w:tr>
    </w:tbl>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上述数据表明：一是受益于优质医疗服务稀缺，三级医院凭借较强的医疗综合实力及品牌在市场上优势地位愈加明显，发展持续向好；二是作为基本医疗服务的主要提供者，二级医院数量相对较多，业务量比重大且较为稳定；三是随着国家鼓励社会办医相关政策逐步出台及细化，民营医院发展逐渐提速。</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3、行业“以药养医”情况仍普遍存在。</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按是否营利划分，我国医院可分为非营利和营利两类，前者不以营利为目的，是为社会公众利益服务而设立，结余资金主要用于医院自身建设和发展；后者是以追求利润为目标，税后利润可作为投资者回报的医院。</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我国目前的非营利医院以政府投资兴办的公立医院为主，在行业中占有绝对主导地位。其在财务上并不以追求盈利为目的，而是主要通过医药费收入、财政补助来实现收支平衡，维持日常运转。由于政府财政补贴长期偏少，在收入结构中占比不到10%，非营利医院为弥补收支缺口，药品收入占比超过40%，“以药养医”情况普遍存在，导致“看病贵”问题在国内较为突出。至2013年9月末，虽然全国所有公立基层医疗机构（乡镇、社区卫生院）均已实施基本药物制度，基本药物价格平均降幅约25%，但对于大型公立医院（三、二级）却未有明确时间表，预计在短期内“以药养医”情况难有改观。</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营利性医院主要为社会资本、外资等投资的民营医院，虽然近年发展较快，但总体占比仍较小，尚难以改变“以药养医”的局面。</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4、行业整体财务状况呈低负债、低结余率特征。</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lastRenderedPageBreak/>
        <w:t>2012年末，国内医院总资产规模2.09万亿，负债率33.9%，其中：公立医院总资产1.93万亿，负债率32.76%；民营医院总资产0.15万亿，负债率48.58%。收入方面，行业总收入1.65万亿，结余率2.98%，其中：公立医院总收入1.52万亿，结余率3.6%；民营医院总收入0.12万亿，结余率8.73%。</w:t>
      </w:r>
    </w:p>
    <w:p w:rsidR="00F14868" w:rsidRPr="00D3607F" w:rsidRDefault="00A66040">
      <w:pPr>
        <w:autoSpaceDN w:val="0"/>
        <w:spacing w:beforeAutospacing="1" w:afterAutospacing="1"/>
        <w:jc w:val="center"/>
        <w:rPr>
          <w:rFonts w:ascii="楷体" w:eastAsia="楷体" w:hAnsi="楷体"/>
          <w:sz w:val="24"/>
        </w:rPr>
      </w:pPr>
      <w:r w:rsidRPr="00D3607F">
        <w:rPr>
          <w:rFonts w:ascii="楷体" w:eastAsia="楷体" w:hAnsi="楷体"/>
          <w:color w:val="000000"/>
        </w:rPr>
        <w:t>2012年医院行业主要财务特征(单位：亿元)</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762"/>
        <w:gridCol w:w="686"/>
        <w:gridCol w:w="866"/>
        <w:gridCol w:w="825"/>
        <w:gridCol w:w="866"/>
        <w:gridCol w:w="776"/>
        <w:gridCol w:w="686"/>
        <w:gridCol w:w="866"/>
        <w:gridCol w:w="682"/>
        <w:gridCol w:w="1506"/>
      </w:tblGrid>
      <w:tr w:rsidR="00F14868" w:rsidRPr="00D3607F">
        <w:trPr>
          <w:trHeight w:val="270"/>
          <w:jc w:val="center"/>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autoSpaceDN w:val="0"/>
              <w:rPr>
                <w:rFonts w:ascii="楷体" w:eastAsia="楷体" w:hAnsi="楷体"/>
                <w:sz w:val="24"/>
              </w:rPr>
            </w:pP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总资产</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总负债</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负债率</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总收入</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占比</w:t>
            </w:r>
          </w:p>
        </w:tc>
        <w:tc>
          <w:tcPr>
            <w:tcW w:w="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结余</w:t>
            </w:r>
          </w:p>
        </w:tc>
        <w:tc>
          <w:tcPr>
            <w:tcW w:w="1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结余率</w:t>
            </w:r>
          </w:p>
        </w:tc>
      </w:tr>
      <w:tr w:rsidR="00F14868" w:rsidRPr="00D3607F">
        <w:trPr>
          <w:trHeight w:val="270"/>
          <w:jc w:val="center"/>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医院</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20854</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7071</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33.91%</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16473</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100.00%</w:t>
            </w:r>
          </w:p>
        </w:tc>
        <w:tc>
          <w:tcPr>
            <w:tcW w:w="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656</w:t>
            </w:r>
          </w:p>
        </w:tc>
        <w:tc>
          <w:tcPr>
            <w:tcW w:w="1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3.98%</w:t>
            </w:r>
          </w:p>
        </w:tc>
      </w:tr>
      <w:tr w:rsidR="00F14868" w:rsidRPr="00D3607F">
        <w:trPr>
          <w:trHeight w:val="270"/>
          <w:jc w:val="center"/>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 公立</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19344</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92.76%</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6338</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89.63%</w:t>
            </w: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32.76%</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15248</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92.56%</w:t>
            </w:r>
          </w:p>
        </w:tc>
        <w:tc>
          <w:tcPr>
            <w:tcW w:w="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549</w:t>
            </w:r>
          </w:p>
        </w:tc>
        <w:tc>
          <w:tcPr>
            <w:tcW w:w="1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3.60%</w:t>
            </w:r>
          </w:p>
        </w:tc>
      </w:tr>
      <w:tr w:rsidR="00F14868" w:rsidRPr="00D3607F">
        <w:trPr>
          <w:trHeight w:val="270"/>
          <w:jc w:val="center"/>
        </w:trPr>
        <w:tc>
          <w:tcPr>
            <w:tcW w:w="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 xml:space="preserve">   民营</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1509</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7.24%</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733</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10.37%</w:t>
            </w:r>
          </w:p>
        </w:tc>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48.58%</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1225</w:t>
            </w:r>
          </w:p>
        </w:tc>
        <w:tc>
          <w:tcPr>
            <w:tcW w:w="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7.44%</w:t>
            </w:r>
          </w:p>
        </w:tc>
        <w:tc>
          <w:tcPr>
            <w:tcW w:w="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107</w:t>
            </w:r>
          </w:p>
        </w:tc>
        <w:tc>
          <w:tcPr>
            <w:tcW w:w="1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8.73%</w:t>
            </w:r>
          </w:p>
        </w:tc>
      </w:tr>
    </w:tbl>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从财务数据来看，行业呈现以下特征：一是公立医院总资产、总收入占比均超过90%；二是行业资产负债率较低，其中民营医院略高于公立医院；三是行业整体呈公益性特征，结余率较低，民营医院情况略好于公立医院。</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5、民营医疗机构有望迎来快速发展时期，并呈现出“专科”快速扩张，“综合”稳步渐进的特点。</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近期，随着国家鼓励社会办医配套政策逐步完善，民营医疗机构发展逐步提速，整体呈现以下特点：</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一是专科领域快速扩张。由于在医保覆盖、吸引人才、公众信任度等方面难以与综合性公立医院抗衡，部分民营医院采取差异化经营的发展策略，选择在公立医疗覆盖不足的细分领域持续做深做精，依靠高效的管理和灵活的经营逐步树立品牌，占领市场。目前，此类机构在各细分领域分布不一，其中口腔、眼科、整形美容机构较多，主要弥补公立医疗供应不足缺口，竞争较为充分；妇产科、体检、骨科等领域则直接与公立医院竞争，主要定位市场高端人群，提供差异化服务。在快速扩张过程中，由于集团连锁经营更有利于人才共享和树立品牌，成为此类机构主要发展模式，并已出现爱尔眼科、通策医疗等细分行业上市龙头。</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二是民营医院稳步渐进。近年来，为解决公立医院治理结构问题，国内以二级医院为主的一批中等规模公立医院率先被推向市场，私有化和公司化（国有民营）改制探索由下至上在各地纷纷展开。上海、无锡、苏州、北京等地现已成立按照公司化、市场化方式运作、代表政府行使公立医院管理职能的专业机构，以实现公立医院管办分离。同时，部分上市医药企业也依靠自身在特定治疗领域的专业优势开始向下游产业链延伸，通过收购、新建医院等方式迅速扩大规模。在此背景下，国内现已形成凤凰集团、开元投资等管理规范、综合实力能与大型公立医院媲美的综合性民营医疗集团，并出现了西安高新医院等多所民营三甲医院。据统计，全国目前由社会资本通过托管、收购等方式完成改制的公立医院已达21所。</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6、国内养老机构发展尚处于起步阶段，供需矛盾突出，市场化程度有待提高。</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近年来，随着我国逐步进入人口老龄化阶段，居民对机构养老的需求快速增长，但与之</w:t>
      </w:r>
      <w:r w:rsidRPr="00D3607F">
        <w:rPr>
          <w:rFonts w:ascii="楷体" w:eastAsia="楷体" w:hAnsi="楷体"/>
        </w:rPr>
        <w:lastRenderedPageBreak/>
        <w:t>形成鲜明对比的是国内养老机构长期发展滞后，造成供需矛盾日益突出。截至2012年末，我国老龄人口已达1.94亿，而全国共有各类养老机构4.2万个，床位381万张，床位总数仅占老年人口比例的1.96%。</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目前，国内养老机构名目繁多，按所有性质可划分为公办和民办两类，其中公办养老机构仍由民政部门依照计划体制下的财政供给体系管辖，基本垄断了各级财政补贴和社会捐赠资源，是我国社会保障体系的组成部分；而民办养老机构是为弥补公办机构供给不足，在政府的倡导下逐步发展起来的，但受限于现有客户多为低收入人群，大部分面临着只能按成本收费的基本国情，尚难以定位为完全的市场化产业。由于前期投入较多、回收周期长、利润低、周转慢，加之实际运营过程中难以获得政府实质性支持和补贴，民办养老机构当前整体经营情况不容乐观。据统计，现有民办养老机构中，能够略有盈余的仅占9%，基本收支平衡的占51%，亏损的占40%。同时，其因行业基础较为薄弱，本身还存在着管理参差不齐、人员及专业化护理水平先天不足、社会认可度不高、缺乏应对服务纠纷的机制和能力等问题，难以与受政府重点扶持的公办机构竞争，导致机构养老产业当前呈现出两极分化的特征，出现公立机构一床难求，部分民营机构却无人问津的局面。</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7、卫生信息化建设为“银卫”深度合作带来良好契机。</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十二五期间，国家将大力推动卫生信息化建设，重点以电子病历、健康卡为切入点，拟逐步实现居民全国范围内跨机构就医健康、病历数据的共享以及医保（农村合作医疗）、银行等账户直接结算等功能。目前，国家卫生和计划生育委员会已会同财政部确定在北京、上海等13个地区开展卫生信息化建设试点工程。</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要实现健康卡的金融功能，就需借助银行的专业系统，这为银行深度介入医疗资金结算提供了历史性的发展机遇。由于与银行合作开发系统，可在大幅降低信息化投入的情况下有效提高医疗资金结算效率，大型公立医院目前对此态度也较为积极。考虑到全国范围内实现信息共享与结算尚存在较多障碍，目前各行主要通过以下两种方式介入：一是与实力较强的大型公立医院单独签订自助医院等全面金融合作协议，以医保卡、联名卡、诊疗卡等形式将自身系统与医院挂号、缴费、结算系统绑定；二是通过搭建“银政卫”合作平台，与地方卫生主管部门合作，推行银行健康卡，率先实现区域内的缴费结算与信息共享。</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（二）相关政策要求</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1、切实落实政府办医责任，限制公立医院举债建设。</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国务院2012年3月下发《“十二五”期间深化医药卫生体制改革规划暨实施方案》，要求落实政府办医责任，切实加大财政投入，合理确定公立医院数量和布局，严控建设标准、规模和设备配备，禁止公立医院举债建设；推进补偿机制改革，公立医院贷款或集资购买的大型设备原则上由政府回购。2012年6月《国务院关于县级公立医院综合改革试点的意见》明确，县级政府应对所办医院履行出资责任，禁止县级公立医院举债建设。2012年7月《卫生部关于做好区域卫生规划和医疗机构设置规划，促进非公立医疗机构发展的通知》要求，所有新增卫生资源，特别是城市医院的设置和改扩建、病床规模的扩大、大型医疗设备的购置，无论何种资金渠道，必须按照区域卫生规划和医疗机构设置规划的要求与管理程序严格审批，不符合规划的项目一律不予审批建设。2013年10月，国务院下发《关于促进健康产业发展的意见》提出，要合理制定区域卫生规划和医疗机构设置规划，明确公立医疗机构的数量、</w:t>
      </w:r>
      <w:r w:rsidRPr="00D3607F">
        <w:rPr>
          <w:rFonts w:ascii="楷体" w:eastAsia="楷体" w:hAnsi="楷体"/>
        </w:rPr>
        <w:lastRenderedPageBreak/>
        <w:t>规模和布局，坚持公立医疗机构面向城乡居民提供基本医疗服务的主导地位。</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2、积极促进非公医疗机构发展，加快形成多元化办医格局。</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2010年12月，国务院下发《关于进一步鼓励和引导社会资本举办医疗机构意见的通知》，从准入范围、落实优惠政策、加强监管等方面促进非公医疗机构发展。2012年3月《“十二五”期间深化医药卫生体制改革规划暨实施方案》提出大力发展非公医疗机构，要求至2015年非公医疗机构的床位数、服务量应达到总量的20%左右，均较目前增长一倍。2013年10月，国务院下发《关于促进健康产业发展的意见》提出：一是鼓励社会资本以出资新建、参与改制、托管、公办民营等多种形式投资医疗服务业；二是进一步放宽中外合资、合作办医条件，逐步扩大具备条件的境外资本设立独资医疗机构试点；三是各地要清理取消不合理的规定，加快落实对非公医疗机构和公立医疗机构在市场准入、社会保险定点、重点专科建设、职称评定、学术地位、等级评审、技术准入等方面同等对待的政策；四是对出资举办非营利性医疗机构的非公经济主体的上下游产业链项目，优先按相关产业政策给予扶持；五是鼓励地方加大改革创新力度，在社会办医方面先行先试，国家选择有条件的地区和重点项目作为推进社会办医联系点。</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3、大力推进养老机构建设，加快发展健康养老服务。</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rPr>
        <w:t>2013年9月，国务院下发《关于加快养老服务业发展的若干意见》明确提出：各地要根据城乡规划布局要求，统筹考虑建设各类养老机构；在资本金、场地、人员等方面，进一步降低民办养老机构的门槛，简化手续、规范程序、公开信息，提供便捷服务。鼓励境外资本投资养老服务业以及社会资本举办规模化、连锁化的养老机构。鼓励民间资本对企业厂房、商业设施及其他可利用的社会资源进行整合和改造，用于养老服务。</w:t>
      </w:r>
    </w:p>
    <w:p w:rsidR="00F14868" w:rsidRPr="00D3607F" w:rsidRDefault="00A66040">
      <w:pPr>
        <w:autoSpaceDN w:val="0"/>
        <w:spacing w:afterAutospacing="1"/>
        <w:ind w:firstLine="420"/>
        <w:rPr>
          <w:rFonts w:ascii="楷体" w:eastAsia="楷体" w:hAnsi="楷体"/>
          <w:b/>
          <w:sz w:val="31"/>
        </w:rPr>
      </w:pPr>
      <w:r w:rsidRPr="00D3607F">
        <w:rPr>
          <w:rFonts w:ascii="楷体" w:eastAsia="楷体" w:hAnsi="楷体"/>
          <w:b/>
          <w:sz w:val="31"/>
        </w:rPr>
        <w:t>三、存量业务结构及风险收益表现</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（一）存量授信业务运行概况</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b/>
        </w:rPr>
        <w:t>略</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（二）2013年行业风险收益表现</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略</w:t>
      </w:r>
    </w:p>
    <w:p w:rsidR="00F14868" w:rsidRPr="00D3607F" w:rsidRDefault="00A66040">
      <w:pPr>
        <w:autoSpaceDN w:val="0"/>
        <w:spacing w:afterAutospacing="1"/>
        <w:ind w:firstLine="420"/>
        <w:rPr>
          <w:rFonts w:ascii="楷体" w:eastAsia="楷体" w:hAnsi="楷体"/>
          <w:b/>
          <w:sz w:val="31"/>
        </w:rPr>
      </w:pPr>
      <w:r w:rsidRPr="00D3607F">
        <w:rPr>
          <w:rFonts w:ascii="楷体" w:eastAsia="楷体" w:hAnsi="楷体"/>
          <w:b/>
          <w:sz w:val="31"/>
        </w:rPr>
        <w:t>四、行业投向指引</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（一）总体目标与原则</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医疗卫生是关系国计民生的基础性行业 ，具有需求刚性、现金流稳定的特点。近年来，随着人口老龄化加剧、国民收入水平及健康意识不断提高，国内医疗需求快速增长。政策层面，新医改不断推进，国家财政投入逐年加大，行业市</w:t>
      </w:r>
      <w:r w:rsidRPr="00D3607F">
        <w:rPr>
          <w:rFonts w:ascii="楷体" w:eastAsia="楷体" w:hAnsi="楷体"/>
          <w:sz w:val="24"/>
        </w:rPr>
        <w:lastRenderedPageBreak/>
        <w:t>场环境持续改善。整体来看，行业当期发展面临诸多利好因素，稳步向上趋势明显。同时，其正处于信息化建设关键阶段，为银行深度介入医疗资金结算提供良好契机，同业对此市场争夺十分激烈。</w:t>
      </w:r>
    </w:p>
    <w:p w:rsidR="00F14868" w:rsidRPr="00D3607F" w:rsidRDefault="006725AD">
      <w:pPr>
        <w:autoSpaceDN w:val="0"/>
        <w:snapToGrid w:val="0"/>
        <w:spacing w:beforeAutospacing="1" w:afterAutospacing="1" w:line="312" w:lineRule="auto"/>
        <w:ind w:firstLine="420"/>
        <w:rPr>
          <w:rFonts w:ascii="楷体" w:eastAsia="楷体" w:hAnsi="楷体"/>
          <w:sz w:val="24"/>
        </w:rPr>
      </w:pPr>
      <w:r>
        <w:rPr>
          <w:rFonts w:ascii="楷体" w:eastAsia="楷体" w:hAnsi="楷体"/>
          <w:sz w:val="24"/>
        </w:rPr>
        <w:t>金融机构</w:t>
      </w:r>
      <w:r w:rsidR="00A66040" w:rsidRPr="00D3607F">
        <w:rPr>
          <w:rFonts w:ascii="楷体" w:eastAsia="楷体" w:hAnsi="楷体"/>
          <w:sz w:val="24"/>
        </w:rPr>
        <w:t>目前对医疗卫生行业投入授信总量占比偏少，风险分散且不良率较低，但受客户多为事业单位影响，行业抵质押率偏低，PD、LGD评级普遍不高，RAROC'也显著低于全行平均水平。因此，2014年</w:t>
      </w:r>
      <w:r>
        <w:rPr>
          <w:rFonts w:ascii="楷体" w:eastAsia="楷体" w:hAnsi="楷体"/>
          <w:sz w:val="24"/>
        </w:rPr>
        <w:t>金融机构</w:t>
      </w:r>
      <w:r w:rsidR="00A66040" w:rsidRPr="00D3607F">
        <w:rPr>
          <w:rFonts w:ascii="楷体" w:eastAsia="楷体" w:hAnsi="楷体"/>
          <w:sz w:val="24"/>
        </w:rPr>
        <w:t>对医疗卫生行业采取积极支持策略，总体目标和原则是：优选客户，加大投入；综合服务，提升收益；关注风险，保持质量。具体为：一是大力拓展各地排名前列、诊疗优势明显的公立医院客户；择优支持差异化竞争实力突出以及具有“民办公助”背景的营利性医疗机构龙头及集团；继续关注社会老龄化背景下养老产业市场化发展态势，逐步尝试介入公办优质养老机构。二是融资支持应主要配合自助医院等特色产品营销，立足密切银卫关系，提高结算占比及业务绑定度，围绕医院信息化建设、供应链融资等提供全面金融服务。三是密切跟踪医改对各类医院收入总量及结构的影响，加强对存量客户收入与债务匹配度的测算，对潜在风险客户及时调整业务策略，减退加固，防范风险。</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（二）准入标准及分类策略</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 xml:space="preserve"> 1、客户准入标准</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（1）医院</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非营利性医院须符合以下条件：①已取得二级乙等及以上评级，未评级医院应至少在地级市区域内已具有较强的品牌和经营优势，且比照卫生主管部门医院评定标准，达到二级甲等及以上条件。②综合性医院2013年收入总额原则上大于7000万，专科医院、中医医院、中西医结合医院及民族医院2013年收入总额原则上大于5000万。③具有良好品牌，医疗技术、设备实力强，诊疗优势明显。④医院废水、废气、危险废弃物处理等设施健全，处理结果符合国家相关标准，近3年无重大医疗事故。⑤地方财政补贴支持稳定。</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营利性医院在符合上述①—④项标准的前提下，需为融资业务提供医疗卫生设施以外、合法有效的足值资产抵押或第三方担保。</w:t>
      </w:r>
    </w:p>
    <w:p w:rsidR="00F14868" w:rsidRPr="00D3607F" w:rsidRDefault="00A66040">
      <w:pPr>
        <w:autoSpaceDN w:val="0"/>
        <w:snapToGrid w:val="0"/>
        <w:spacing w:beforeAutospacing="1" w:afterAutospacing="1" w:line="312" w:lineRule="auto"/>
        <w:ind w:firstLine="414"/>
        <w:rPr>
          <w:rFonts w:ascii="楷体" w:eastAsia="楷体" w:hAnsi="楷体"/>
          <w:sz w:val="24"/>
        </w:rPr>
      </w:pPr>
      <w:r w:rsidRPr="00D3607F">
        <w:rPr>
          <w:rFonts w:ascii="楷体" w:eastAsia="楷体" w:hAnsi="楷体"/>
          <w:sz w:val="24"/>
        </w:rPr>
        <w:t>（2）连锁型营利性医疗机构</w:t>
      </w:r>
    </w:p>
    <w:p w:rsidR="00F14868" w:rsidRPr="00D3607F" w:rsidRDefault="00A66040">
      <w:pPr>
        <w:autoSpaceDN w:val="0"/>
        <w:snapToGrid w:val="0"/>
        <w:spacing w:beforeAutospacing="1" w:afterAutospacing="1" w:line="312" w:lineRule="auto"/>
        <w:ind w:firstLine="414"/>
        <w:rPr>
          <w:rFonts w:ascii="楷体" w:eastAsia="楷体" w:hAnsi="楷体"/>
          <w:sz w:val="24"/>
        </w:rPr>
      </w:pPr>
      <w:r w:rsidRPr="00D3607F">
        <w:rPr>
          <w:rFonts w:ascii="楷体" w:eastAsia="楷体" w:hAnsi="楷体"/>
          <w:sz w:val="24"/>
        </w:rPr>
        <w:t>优先选择已上市的细分行业龙头下属骨干经营实体,且所属医疗企业集团符</w:t>
      </w:r>
      <w:r w:rsidRPr="00D3607F">
        <w:rPr>
          <w:rFonts w:ascii="楷体" w:eastAsia="楷体" w:hAnsi="楷体"/>
          <w:sz w:val="24"/>
        </w:rPr>
        <w:lastRenderedPageBreak/>
        <w:t>合以下条件：属细分行业龙头企业集团，形成完善的规模化经营格局，持续经营时间不短于5年，年收入合计大于2亿，集团负债率不超过50%，连续三年净利润率不低于10%。</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已购买医疗事故责任险，能够为融资业务提供医疗卫生设施以外、合法有效的足值资产抵押或具充分代偿能力的保证、担保。</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（3）养老服务机构</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直辖市、省会城市或计划单列市公办养老机构，政府已给予长期、稳定补贴；达到所在省、自治区、直辖市最高级别养老机构硬件标准；近3年平均床位使用率75%以上，并依靠自身收入及政府补贴连续实现收支平衡。</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2、项目准入条件</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1）合规性条件齐备。对公立医院建设项目，当地已建立公立医院贷款审批制度的，融资方案应经主管部门（发改委、财政或卫生等）审批同意；尚未建立相关审批制度的，应通过报卫生主管部门或银监部门备案等方式，确保合法合规。对县级公立医院，暂停办理新的项目贷款。</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（2）资本金占比不低于30%，基建项目贷款期限不超过10年、新增或设备更新项目贷款期限不超过7年。</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（3）原则上不介入养老服务机构项目贷款。</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3、省辖行策略</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各省辖行可按照以上标准重点拓展所在地级市城区具有良好品牌、日均诊疗人次排名前列、近年来财务及收支情况稳定的综合性公立医院；对已列入政府标准化建设名单、明确具体财政投入扶持计划的县级医院可适度予以流贷支持。</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产品方面，可以短期融资品种为主， 融资额度一般不超过其存货与应收医疗款合计金额，最高不超过上年营业收入；对其新增、更新设备及基建项目择优介入。同时，在客户准入时，应充分运用RAROC'工具权衡融资收益与风险成本，把控定价水平，拓展存款及中间业务，全面提升客户综合回报。</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4、客户分层策略及产品组合</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lastRenderedPageBreak/>
        <w:t>（1）重点支持类</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该层级客户主要为区域内具有较强医疗综合实力，品牌及竞争优势明显、就诊人数排名前列、财务及收支情况良好的三甲医院。</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对此类客户</w:t>
      </w:r>
      <w:r w:rsidR="006725AD">
        <w:rPr>
          <w:rFonts w:ascii="楷体" w:eastAsia="楷体" w:hAnsi="楷体"/>
          <w:sz w:val="24"/>
        </w:rPr>
        <w:t>金融机构</w:t>
      </w:r>
      <w:r w:rsidRPr="00D3607F">
        <w:rPr>
          <w:rFonts w:ascii="楷体" w:eastAsia="楷体" w:hAnsi="楷体"/>
          <w:sz w:val="24"/>
        </w:rPr>
        <w:t>应多渠道积极扩大合作范围：一是在确保合规的前提下，积极支持其医疗场所改扩建等基建项目以及符合当地经济发展水平和国家政策导向的设备采购等融资需求；充分发挥集团综合化经营优势，加强与交银租赁的联动，合作开展设备租赁融资、应收租赁款保理等业务，并对医院需国外进口的医疗设备叙做贸易融资。二是可大力拓展此类医院在集团化发展过程中产生的并购贷款需求。三是在针对日常运行需求提供短期融资支持的同时，应积极探索以此类医院为核心的供应链融资，以上游医疗设备、医药供应商对医院的应收款为标的，分别给予应收账款池融资、买方为此类医院的国内保理等业务支持。</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通过融资合作，努力争取扩大</w:t>
      </w:r>
      <w:r w:rsidR="006725AD">
        <w:rPr>
          <w:rFonts w:ascii="楷体" w:eastAsia="楷体" w:hAnsi="楷体"/>
          <w:sz w:val="24"/>
        </w:rPr>
        <w:t>金融机构</w:t>
      </w:r>
      <w:r w:rsidRPr="00D3607F">
        <w:rPr>
          <w:rFonts w:ascii="楷体" w:eastAsia="楷体" w:hAnsi="楷体"/>
          <w:sz w:val="24"/>
        </w:rPr>
        <w:t>在此类客户中的各项业务份额：一是充分把握客户在打造银医一体化结算系统中的业务机遇，利用自助医院等产品组合，积极争取主要结算行地位。二是联动争取对公理财、现金管理、年金管理、工资代发等各类业务机会，并带动医务从业人员个人理财、信用卡、个贷等产品销售；三是经济发达的大型城市，可尝试扩大与医院合作范围，借用医院渠道拓展</w:t>
      </w:r>
      <w:r w:rsidR="006725AD">
        <w:rPr>
          <w:rFonts w:ascii="楷体" w:eastAsia="楷体" w:hAnsi="楷体"/>
          <w:sz w:val="24"/>
        </w:rPr>
        <w:t>金融机构</w:t>
      </w:r>
      <w:r w:rsidRPr="00D3607F">
        <w:rPr>
          <w:rFonts w:ascii="楷体" w:eastAsia="楷体" w:hAnsi="楷体"/>
          <w:sz w:val="24"/>
        </w:rPr>
        <w:t>私人银行及沃德客户，并为</w:t>
      </w:r>
      <w:r w:rsidR="006725AD">
        <w:rPr>
          <w:rFonts w:ascii="楷体" w:eastAsia="楷体" w:hAnsi="楷体"/>
          <w:sz w:val="24"/>
        </w:rPr>
        <w:t>金融机构</w:t>
      </w:r>
      <w:r w:rsidRPr="00D3607F">
        <w:rPr>
          <w:rFonts w:ascii="楷体" w:eastAsia="楷体" w:hAnsi="楷体"/>
          <w:sz w:val="24"/>
        </w:rPr>
        <w:t>高端客户提供专属候诊区、VIP挂号渠道和贵宾体验服务等。</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（2）积极拓展类</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该层级客户主要包括两类：一是各地区具有良好品牌、就诊人数或综合实力居前、财务及收支状况正常，地方财政补贴力度较大的优质二甲（含）等以上公立医院；二是在细分专科居稳定龙头地位或已纳入医保范围的营利性医疗机构。</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此类客户为</w:t>
      </w:r>
      <w:r w:rsidR="006725AD">
        <w:rPr>
          <w:rFonts w:ascii="楷体" w:eastAsia="楷体" w:hAnsi="楷体"/>
          <w:sz w:val="24"/>
        </w:rPr>
        <w:t>金融机构</w:t>
      </w:r>
      <w:r w:rsidRPr="00D3607F">
        <w:rPr>
          <w:rFonts w:ascii="楷体" w:eastAsia="楷体" w:hAnsi="楷体"/>
          <w:sz w:val="24"/>
        </w:rPr>
        <w:t>争取主办行地位、推进中型客户战略、扩大自助医院等综合结算产品市场份额、提高综合回报的重点发展目标。业务合作方面：一是可根据其营运资金周转所需主要给予配套的短期融资支持；对其新增、更新设备及基建项目择优介入。二是在充分把握客户基本财务运行状况的基础上，探索推进以其为核心的上下游供应链融资业务，充分利用商票保贴、商票质押融资、国内保理等产品组合与上游供应商开展合作，并针对其与当地医保机构清算前的阶段性应收款盘活需求，在条件成熟地区尝试开展医保保理业务。</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color w:val="000000"/>
        </w:rPr>
        <w:lastRenderedPageBreak/>
        <w:t>考虑到此类存量客户当前RAROC'水平与行业平均差距较大，本年应将其作为盘活存量的重点，在开展业务合作时，高度关注综合收益落实情况，加强上下游的营销渗透：一是力争其大部分结算（包括财政拨付、医保结算、药品购销等）、现金管理、代发工资等业务通过</w:t>
      </w:r>
      <w:r w:rsidR="006725AD">
        <w:rPr>
          <w:rFonts w:ascii="楷体" w:eastAsia="楷体" w:hAnsi="楷体"/>
          <w:color w:val="000000"/>
        </w:rPr>
        <w:t>金融机构</w:t>
      </w:r>
      <w:r w:rsidRPr="00D3607F">
        <w:rPr>
          <w:rFonts w:ascii="楷体" w:eastAsia="楷体" w:hAnsi="楷体"/>
          <w:color w:val="000000"/>
        </w:rPr>
        <w:t>办理；二是对于已开始信息化建设客户，应大力推介</w:t>
      </w:r>
      <w:r w:rsidR="006725AD">
        <w:rPr>
          <w:rFonts w:ascii="楷体" w:eastAsia="楷体" w:hAnsi="楷体"/>
          <w:color w:val="000000"/>
        </w:rPr>
        <w:t>金融机构</w:t>
      </w:r>
      <w:r w:rsidRPr="00D3607F">
        <w:rPr>
          <w:rFonts w:ascii="楷体" w:eastAsia="楷体" w:hAnsi="楷体"/>
          <w:color w:val="000000"/>
        </w:rPr>
        <w:t>系统建设自助医院；三是加大交叉销售，多样化满足医院及医疗职工贷款、财富管理等金融需求；四是以医院为切入点，积极营销当地医疗卫生相关部门、上游供应商在</w:t>
      </w:r>
      <w:r w:rsidR="006725AD">
        <w:rPr>
          <w:rFonts w:ascii="楷体" w:eastAsia="楷体" w:hAnsi="楷体"/>
          <w:color w:val="000000"/>
        </w:rPr>
        <w:t>金融机构</w:t>
      </w:r>
      <w:r w:rsidRPr="00D3607F">
        <w:rPr>
          <w:rFonts w:ascii="楷体" w:eastAsia="楷体" w:hAnsi="楷体"/>
          <w:color w:val="000000"/>
        </w:rPr>
        <w:t>开立结算账户，提高资金体内循环比例。</w:t>
      </w:r>
    </w:p>
    <w:p w:rsidR="00F14868" w:rsidRPr="00D3607F" w:rsidRDefault="00A66040">
      <w:pPr>
        <w:autoSpaceDN w:val="0"/>
        <w:spacing w:beforeAutospacing="1" w:afterAutospacing="1"/>
        <w:ind w:firstLine="420"/>
        <w:rPr>
          <w:rFonts w:ascii="楷体" w:eastAsia="楷体" w:hAnsi="楷体"/>
          <w:sz w:val="24"/>
        </w:rPr>
      </w:pPr>
      <w:r w:rsidRPr="00D3607F">
        <w:rPr>
          <w:rFonts w:ascii="楷体" w:eastAsia="楷体" w:hAnsi="楷体"/>
          <w:color w:val="000000"/>
        </w:rPr>
        <w:t>若存量客户通过收益提升计划或综合评估，难以落实以上相关业务合作，有效提高RAROC'水平，则应及时调整业务策略，逐步退出，将有限的业务资源腾挪用于拓展高价值客户。</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（3）维持关注类</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对该层级客户，</w:t>
      </w:r>
      <w:r w:rsidR="006725AD">
        <w:rPr>
          <w:rFonts w:ascii="楷体" w:eastAsia="楷体" w:hAnsi="楷体"/>
          <w:sz w:val="24"/>
        </w:rPr>
        <w:t>金融机构</w:t>
      </w:r>
      <w:r w:rsidRPr="00D3607F">
        <w:rPr>
          <w:rFonts w:ascii="楷体" w:eastAsia="楷体" w:hAnsi="楷体"/>
          <w:sz w:val="24"/>
        </w:rPr>
        <w:t>应审慎支持：一是客户仅限于虽未达到积极拓展类客户标准，但在当地日均诊疗人次较多、近年来收支平衡、政府补贴稳定的二乙等（含）以上公立医院以及部分具一定的品牌和经营实力、成长性较好、盈利稳定，但尚未纳入医保范围的营利性医疗机构；二是立足负债、结算业务，针对正常经营中的周转需求给予短期融资支持，原则上不介入中长期融资。</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（4）减持退出类</w:t>
      </w:r>
    </w:p>
    <w:p w:rsidR="00F14868" w:rsidRPr="00D3607F" w:rsidRDefault="006725AD">
      <w:pPr>
        <w:autoSpaceDN w:val="0"/>
        <w:snapToGrid w:val="0"/>
        <w:spacing w:beforeAutospacing="1" w:afterAutospacing="1" w:line="312" w:lineRule="auto"/>
        <w:ind w:firstLine="420"/>
        <w:rPr>
          <w:rFonts w:ascii="楷体" w:eastAsia="楷体" w:hAnsi="楷体"/>
          <w:sz w:val="24"/>
        </w:rPr>
      </w:pPr>
      <w:r>
        <w:rPr>
          <w:rFonts w:ascii="楷体" w:eastAsia="楷体" w:hAnsi="楷体"/>
          <w:sz w:val="24"/>
        </w:rPr>
        <w:t>金融机构</w:t>
      </w:r>
      <w:r w:rsidR="00A66040" w:rsidRPr="00D3607F">
        <w:rPr>
          <w:rFonts w:ascii="楷体" w:eastAsia="楷体" w:hAnsi="楷体"/>
          <w:sz w:val="24"/>
        </w:rPr>
        <w:t>融资业务原则上不介入以下客户，存量业务应尽快减持退出：一是一级医院及以下小型医疗机构；二是病床使用率低于50%或银行借款超过上年度收入总额的医院；三是民营养老机构。</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5、非信贷业务策略</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对于重点支持类客户，</w:t>
      </w:r>
      <w:r w:rsidR="006725AD">
        <w:rPr>
          <w:rFonts w:ascii="楷体" w:eastAsia="楷体" w:hAnsi="楷体"/>
          <w:sz w:val="24"/>
        </w:rPr>
        <w:t>金融机构</w:t>
      </w:r>
      <w:r w:rsidRPr="00D3607F">
        <w:rPr>
          <w:rFonts w:ascii="楷体" w:eastAsia="楷体" w:hAnsi="楷体"/>
          <w:sz w:val="24"/>
        </w:rPr>
        <w:t>可充分利用各类非信贷业务产品，与其开展全方位合作。对于积极拓展类客户，也可以通过非信贷合作进一步深化银医关系、拓宽合作领域，但期限与产品选择上应以满足短期经营周转需求为主，防止出现期限错配的问题；暂不介入股权类融资。对于维持关注类和减持退出类客户，不开展非信贷业务。</w:t>
      </w:r>
    </w:p>
    <w:p w:rsidR="00F14868" w:rsidRPr="00D3607F" w:rsidRDefault="00A66040">
      <w:pPr>
        <w:autoSpaceDN w:val="0"/>
        <w:spacing w:before="210" w:after="210"/>
        <w:ind w:firstLine="420"/>
        <w:rPr>
          <w:rFonts w:ascii="楷体" w:eastAsia="楷体" w:hAnsi="楷体"/>
          <w:b/>
          <w:sz w:val="24"/>
        </w:rPr>
      </w:pPr>
      <w:r w:rsidRPr="00D3607F">
        <w:rPr>
          <w:rFonts w:ascii="楷体" w:eastAsia="楷体" w:hAnsi="楷体"/>
          <w:b/>
          <w:sz w:val="24"/>
        </w:rPr>
        <w:t>（三）风险管控及结构调整要求</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1、风险提示及管控要求</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（1）根据还款资金覆盖程度，合理确定医院客户融资总量。</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lastRenderedPageBreak/>
        <w:t>财政拨款是公立医院重要的还款来源之一，一旦出现金额、到位时点与还款安排不匹配，可能造成医院客户无法按期还款。因此，</w:t>
      </w:r>
      <w:r w:rsidR="006725AD">
        <w:rPr>
          <w:rFonts w:ascii="楷体" w:eastAsia="楷体" w:hAnsi="楷体"/>
          <w:sz w:val="24"/>
        </w:rPr>
        <w:t>金融机构</w:t>
      </w:r>
      <w:r w:rsidRPr="00D3607F">
        <w:rPr>
          <w:rFonts w:ascii="楷体" w:eastAsia="楷体" w:hAnsi="楷体"/>
          <w:sz w:val="24"/>
        </w:rPr>
        <w:t>对医院客户贷款总额，基本应按其上年度正常医疗收支形成的年度业务收支结余的5-8倍，累加财政补助等其他还款来源确定，并应按照现金流测算结果，合理安排各年还款金额。医院客户主要还款来源包括：一是年度收支结余，可根据其上年度收支结余及合理增长率预测；二是历史业务结余积累可按医院负债表中事业基金的20%-50%确定；三是项目财政专项补助。</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（2）针对非营利医院公益性质特点，积极争取落实其他风险缓释措施。</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对因公益性质无法提供有效担保的非营利医院，应积极争取落实收费账户监管等保障措施，与借款人签订账户管理协议，约定医院收入资金回笼比例，并授权</w:t>
      </w:r>
      <w:r w:rsidR="006725AD">
        <w:rPr>
          <w:rFonts w:ascii="楷体" w:eastAsia="楷体" w:hAnsi="楷体"/>
          <w:sz w:val="24"/>
        </w:rPr>
        <w:t>金融机构</w:t>
      </w:r>
      <w:r w:rsidRPr="00D3607F">
        <w:rPr>
          <w:rFonts w:ascii="楷体" w:eastAsia="楷体" w:hAnsi="楷体"/>
          <w:sz w:val="24"/>
        </w:rPr>
        <w:t>从收入归集账户中直接扣收贷款本息。对于以上还款资金不足以覆盖</w:t>
      </w:r>
      <w:r w:rsidR="006725AD">
        <w:rPr>
          <w:rFonts w:ascii="楷体" w:eastAsia="楷体" w:hAnsi="楷体"/>
          <w:sz w:val="24"/>
        </w:rPr>
        <w:t>金融机构</w:t>
      </w:r>
      <w:r w:rsidRPr="00D3607F">
        <w:rPr>
          <w:rFonts w:ascii="楷体" w:eastAsia="楷体" w:hAnsi="楷体"/>
          <w:sz w:val="24"/>
        </w:rPr>
        <w:t>贷款本息的，须明确其他补充来源。对营利性医院，</w:t>
      </w:r>
      <w:r w:rsidR="006725AD">
        <w:rPr>
          <w:rFonts w:ascii="楷体" w:eastAsia="楷体" w:hAnsi="楷体"/>
          <w:sz w:val="24"/>
        </w:rPr>
        <w:t>金融机构</w:t>
      </w:r>
      <w:r w:rsidRPr="00D3607F">
        <w:rPr>
          <w:rFonts w:ascii="楷体" w:eastAsia="楷体" w:hAnsi="楷体"/>
          <w:sz w:val="24"/>
        </w:rPr>
        <w:t>融资业务须落实合法有效资产抵押。</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（3）持续跟踪国家限制公立医院举债建设项目的相关政策动态及在各地执行情况，及时调整业务准入，确保相关业务合法合规开展。</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为限制公立医院盲目扩张，国家已陆续出台一系列相关政策，造成医院项目贷款合规性风险加大。为此，</w:t>
      </w:r>
      <w:r w:rsidR="006725AD">
        <w:rPr>
          <w:rFonts w:ascii="楷体" w:eastAsia="楷体" w:hAnsi="楷体"/>
          <w:sz w:val="24"/>
        </w:rPr>
        <w:t>金融机构</w:t>
      </w:r>
      <w:r w:rsidRPr="00D3607F">
        <w:rPr>
          <w:rFonts w:ascii="楷体" w:eastAsia="楷体" w:hAnsi="楷体"/>
          <w:sz w:val="24"/>
        </w:rPr>
        <w:t>一方面应根据各地对相关政策的执行情况，积极做好存量项目后评估及还款管理工作，相应调整医院客户偿债来源评价，确保</w:t>
      </w:r>
      <w:r w:rsidR="006725AD">
        <w:rPr>
          <w:rFonts w:ascii="楷体" w:eastAsia="楷体" w:hAnsi="楷体"/>
          <w:sz w:val="24"/>
        </w:rPr>
        <w:t>金融机构</w:t>
      </w:r>
      <w:r w:rsidRPr="00D3607F">
        <w:rPr>
          <w:rFonts w:ascii="楷体" w:eastAsia="楷体" w:hAnsi="楷体"/>
          <w:sz w:val="24"/>
        </w:rPr>
        <w:t>支持项目还款来源不弱化；另一方面在受理公立医院新增项目融资时，应充分与当地主管部门沟通，在确保合法合规的前提下进行。</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2、结构调整要求</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认真落实全面风险排查和“盘活存量”管理要求，持续做好减退加固工作。</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一是重点加强对新增关注类及内评为9级-12级客户风险排查，认真分析评级下调及偏低原因，定期进行未来现金流对债务覆盖程度的评估，对银行借款与其实际收入水平不匹配、内部管理不规范、出现重大医疗事故的医院客户，应及时通过敞口压降、产品及期限结构调整、优化风险缓释条件等方式降解风险。二是对已出现违约以及列入全行“盘活存量、减退加固”指令性名单的行业客户应制定严格的加固担保及减退计划，并按期执行。三是各行特别是RAROC'行业最低的东北地区分行应加大对低收益客户调整力度，逐户制定明确的收益提升计划，</w:t>
      </w:r>
      <w:r w:rsidRPr="00D3607F">
        <w:rPr>
          <w:rFonts w:ascii="楷体" w:eastAsia="楷体" w:hAnsi="楷体"/>
          <w:sz w:val="24"/>
        </w:rPr>
        <w:lastRenderedPageBreak/>
        <w:t>并将其执行情况作为叙做业务的重要条件。四是存款带动明显不足的各辖行应有针对性加大存款、个金等业务营销力度，积极提高客户综合回报。</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b/>
          <w:sz w:val="24"/>
        </w:rPr>
        <w:t>3、收益提升要求</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1）密切关注“十二五”期间国内的卫生信息化建设，尤其是经济发达地区及13个开展卫生信息化建设试点城市分行，应加强产品整体方案设计与创新，积极探索相关主管部门、各地区药品采购中心，研究药品集中采购流程与</w:t>
      </w:r>
      <w:r w:rsidR="006725AD">
        <w:rPr>
          <w:rFonts w:ascii="楷体" w:eastAsia="楷体" w:hAnsi="楷体"/>
          <w:sz w:val="24"/>
        </w:rPr>
        <w:t>金融机构</w:t>
      </w:r>
      <w:r w:rsidRPr="00D3607F">
        <w:rPr>
          <w:rFonts w:ascii="楷体" w:eastAsia="楷体" w:hAnsi="楷体"/>
          <w:sz w:val="24"/>
        </w:rPr>
        <w:t>系统、电子供应链对接可能性，力争以“银政卫”合作形式，全面介入全国及地区医保、医疗资金结算。</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（2）</w:t>
      </w:r>
      <w:r w:rsidR="006725AD">
        <w:rPr>
          <w:rFonts w:ascii="楷体" w:eastAsia="楷体" w:hAnsi="楷体"/>
          <w:sz w:val="24"/>
        </w:rPr>
        <w:t>金融机构</w:t>
      </w:r>
      <w:r w:rsidRPr="00D3607F">
        <w:rPr>
          <w:rFonts w:ascii="楷体" w:eastAsia="楷体" w:hAnsi="楷体"/>
          <w:sz w:val="24"/>
        </w:rPr>
        <w:t>融资业务应优先支持已与</w:t>
      </w:r>
      <w:r w:rsidR="006725AD">
        <w:rPr>
          <w:rFonts w:ascii="楷体" w:eastAsia="楷体" w:hAnsi="楷体"/>
          <w:sz w:val="24"/>
        </w:rPr>
        <w:t>金融机构</w:t>
      </w:r>
      <w:r w:rsidRPr="00D3607F">
        <w:rPr>
          <w:rFonts w:ascii="楷体" w:eastAsia="楷体" w:hAnsi="楷体"/>
          <w:sz w:val="24"/>
        </w:rPr>
        <w:t>签订自助医院等全面合作协议客户，按其在</w:t>
      </w:r>
      <w:r w:rsidR="006725AD">
        <w:rPr>
          <w:rFonts w:ascii="楷体" w:eastAsia="楷体" w:hAnsi="楷体"/>
          <w:sz w:val="24"/>
        </w:rPr>
        <w:t>金融机构</w:t>
      </w:r>
      <w:r w:rsidRPr="00D3607F">
        <w:rPr>
          <w:rFonts w:ascii="楷体" w:eastAsia="楷体" w:hAnsi="楷体"/>
          <w:sz w:val="24"/>
        </w:rPr>
        <w:t>结算资金沉淀量，核定相应额度及条件；并积极发挥集团综合经营优势，加强与交银租赁的联动，合作开展设备租赁融资及应收租赁款保理业务，协助医院增加融资渠道、优化负债结构。</w:t>
      </w:r>
    </w:p>
    <w:p w:rsidR="00F14868" w:rsidRPr="00D3607F" w:rsidRDefault="00A66040">
      <w:pPr>
        <w:autoSpaceDN w:val="0"/>
        <w:snapToGrid w:val="0"/>
        <w:spacing w:beforeAutospacing="1" w:afterAutospacing="1" w:line="312" w:lineRule="auto"/>
        <w:rPr>
          <w:rFonts w:ascii="楷体" w:eastAsia="楷体" w:hAnsi="楷体"/>
          <w:sz w:val="24"/>
        </w:rPr>
      </w:pPr>
      <w:r w:rsidRPr="00D3607F">
        <w:rPr>
          <w:rFonts w:ascii="楷体" w:eastAsia="楷体" w:hAnsi="楷体"/>
          <w:sz w:val="24"/>
        </w:rPr>
        <w:t>附件：</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1.旗下拥有医院资产的A股上市公司清单</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2.2012年中国医院百强榜</w:t>
      </w:r>
    </w:p>
    <w:p w:rsidR="00F14868" w:rsidRPr="00D3607F" w:rsidRDefault="00A66040">
      <w:pPr>
        <w:autoSpaceDN w:val="0"/>
        <w:snapToGrid w:val="0"/>
        <w:spacing w:beforeAutospacing="1" w:afterAutospacing="1" w:line="312" w:lineRule="auto"/>
        <w:ind w:firstLine="420"/>
        <w:rPr>
          <w:rFonts w:ascii="楷体" w:eastAsia="楷体" w:hAnsi="楷体"/>
          <w:sz w:val="24"/>
        </w:rPr>
      </w:pPr>
      <w:r w:rsidRPr="00D3607F">
        <w:rPr>
          <w:rFonts w:ascii="楷体" w:eastAsia="楷体" w:hAnsi="楷体"/>
          <w:sz w:val="24"/>
        </w:rPr>
        <w:t>3.行业财务标准值</w:t>
      </w:r>
    </w:p>
    <w:p w:rsidR="00F14868" w:rsidRPr="00D3607F" w:rsidRDefault="00A66040">
      <w:pPr>
        <w:autoSpaceDN w:val="0"/>
        <w:snapToGrid w:val="0"/>
        <w:spacing w:beforeAutospacing="1" w:afterAutospacing="1" w:line="312" w:lineRule="auto"/>
        <w:rPr>
          <w:rFonts w:ascii="楷体" w:eastAsia="楷体" w:hAnsi="楷体"/>
          <w:sz w:val="24"/>
        </w:rPr>
      </w:pPr>
      <w:r w:rsidRPr="00D3607F">
        <w:rPr>
          <w:rFonts w:ascii="楷体" w:eastAsia="楷体" w:hAnsi="楷体"/>
          <w:sz w:val="24"/>
        </w:rPr>
        <w:t>附件1：</w:t>
      </w:r>
    </w:p>
    <w:p w:rsidR="00F14868" w:rsidRPr="00D3607F" w:rsidRDefault="00A66040">
      <w:pPr>
        <w:autoSpaceDN w:val="0"/>
        <w:snapToGrid w:val="0"/>
        <w:spacing w:beforeAutospacing="1" w:afterAutospacing="1" w:line="312" w:lineRule="auto"/>
        <w:jc w:val="center"/>
        <w:rPr>
          <w:rFonts w:ascii="楷体" w:eastAsia="楷体" w:hAnsi="楷体"/>
          <w:sz w:val="24"/>
        </w:rPr>
      </w:pPr>
      <w:r w:rsidRPr="00D3607F">
        <w:rPr>
          <w:rFonts w:ascii="楷体" w:eastAsia="楷体" w:hAnsi="楷体"/>
          <w:b/>
          <w:sz w:val="24"/>
        </w:rPr>
        <w:t>旗下拥有医院资产的A股上市公司清单</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10"/>
        <w:gridCol w:w="810"/>
        <w:gridCol w:w="2024"/>
        <w:gridCol w:w="508"/>
        <w:gridCol w:w="1269"/>
        <w:gridCol w:w="810"/>
        <w:gridCol w:w="813"/>
        <w:gridCol w:w="813"/>
        <w:gridCol w:w="662"/>
      </w:tblGrid>
      <w:tr w:rsidR="00F14868" w:rsidRPr="00D3607F">
        <w:trPr>
          <w:trHeight w:val="285"/>
          <w:jc w:val="center"/>
        </w:trPr>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分类</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上市公司</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医院名称</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级别</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注册资本</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经营范围</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持股比例</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性质</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床位数</w:t>
            </w:r>
          </w:p>
        </w:tc>
      </w:tr>
      <w:tr w:rsidR="00F14868" w:rsidRPr="00D3607F">
        <w:trPr>
          <w:trHeight w:val="285"/>
          <w:jc w:val="center"/>
        </w:trPr>
        <w:tc>
          <w:tcPr>
            <w:tcW w:w="8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综合医院</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开元投资</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西安高新医院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3亿</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760张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金陵药业</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宿迁市人民医院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三乙</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8000 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63%</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非营利性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益佰制药</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灌南县人民医院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二甲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5000万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非营利性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诚志股份</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丹东市人民医院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三级</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4251万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非营利性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510张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双鹭药业</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新乡市中心医院(东区)</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公司投资1.6亿</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综合</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1500张</w:t>
            </w:r>
          </w:p>
        </w:tc>
      </w:tr>
      <w:tr w:rsidR="00F14868" w:rsidRPr="00D3607F">
        <w:trPr>
          <w:trHeight w:val="285"/>
          <w:jc w:val="center"/>
        </w:trPr>
        <w:tc>
          <w:tcPr>
            <w:tcW w:w="8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lastRenderedPageBreak/>
              <w:t>专科医院</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康美药业</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普宁康美中医院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2.21亿</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中医</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450张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马应龙</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武汉马应龙肛肠医院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三级</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3000万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肛肠科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105张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autoSpaceDN w:val="0"/>
              <w:rPr>
                <w:rFonts w:ascii="楷体" w:eastAsia="楷体" w:hAnsi="楷体"/>
                <w:sz w:val="24"/>
              </w:rPr>
            </w:pP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北京长青肛肠医院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一甲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公司投资1000万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肛肠科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autoSpaceDN w:val="0"/>
              <w:rPr>
                <w:rFonts w:ascii="楷体" w:eastAsia="楷体" w:hAnsi="楷体"/>
                <w:sz w:val="24"/>
              </w:rPr>
            </w:pP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西安马应龙医院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二甲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公司投资1000万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肛肠科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75%</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三精制药</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哈尔滨三精女子医院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无</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4900万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妇科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非营利性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autoSpaceDN w:val="0"/>
              <w:rPr>
                <w:rFonts w:ascii="楷体" w:eastAsia="楷体" w:hAnsi="楷体"/>
                <w:sz w:val="24"/>
              </w:rPr>
            </w:pP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哈尔滨三精肾脏病专科医院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无</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7111万</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肾科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华润三九</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三九脑科医院</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三甲</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500万美元</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脑科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非营利性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800张</w:t>
            </w:r>
          </w:p>
        </w:tc>
      </w:tr>
      <w:tr w:rsidR="00F14868" w:rsidRPr="00D3607F">
        <w:trPr>
          <w:trHeight w:val="285"/>
          <w:jc w:val="center"/>
        </w:trPr>
        <w:tc>
          <w:tcPr>
            <w:tcW w:w="8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F14868">
            <w:pPr>
              <w:rPr>
                <w:rFonts w:ascii="楷体" w:eastAsia="楷体" w:hAnsi="楷体"/>
                <w:sz w:val="24"/>
              </w:rPr>
            </w:pP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复星医药</w:t>
            </w:r>
          </w:p>
        </w:tc>
        <w:tc>
          <w:tcPr>
            <w:tcW w:w="2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和睦家（中美互利旗下）</w:t>
            </w:r>
          </w:p>
        </w:tc>
        <w:tc>
          <w:tcPr>
            <w:tcW w:w="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无</w:t>
            </w:r>
          </w:p>
        </w:tc>
        <w:tc>
          <w:tcPr>
            <w:tcW w:w="1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公司投资2.86亿</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妇产科</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19%</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营利性</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w:t>
            </w:r>
          </w:p>
        </w:tc>
      </w:tr>
    </w:tbl>
    <w:p w:rsidR="00F14868" w:rsidRPr="00D3607F" w:rsidRDefault="00A66040">
      <w:pPr>
        <w:autoSpaceDN w:val="0"/>
        <w:snapToGrid w:val="0"/>
        <w:spacing w:beforeAutospacing="1" w:afterAutospacing="1" w:line="312" w:lineRule="auto"/>
        <w:rPr>
          <w:rFonts w:ascii="楷体" w:eastAsia="楷体" w:hAnsi="楷体"/>
          <w:sz w:val="24"/>
        </w:rPr>
      </w:pPr>
      <w:r w:rsidRPr="00D3607F">
        <w:rPr>
          <w:rFonts w:ascii="楷体" w:eastAsia="楷体" w:hAnsi="楷体"/>
          <w:sz w:val="24"/>
        </w:rPr>
        <w:t>附件2：</w:t>
      </w:r>
    </w:p>
    <w:p w:rsidR="00F14868" w:rsidRPr="00D3607F" w:rsidRDefault="00A66040">
      <w:pPr>
        <w:autoSpaceDN w:val="0"/>
        <w:snapToGrid w:val="0"/>
        <w:spacing w:beforeAutospacing="1" w:afterAutospacing="1" w:line="312" w:lineRule="auto"/>
        <w:jc w:val="center"/>
        <w:rPr>
          <w:rFonts w:ascii="楷体" w:eastAsia="楷体" w:hAnsi="楷体"/>
          <w:sz w:val="24"/>
        </w:rPr>
      </w:pPr>
      <w:r w:rsidRPr="00D3607F">
        <w:rPr>
          <w:rFonts w:ascii="楷体" w:eastAsia="楷体" w:hAnsi="楷体"/>
          <w:b/>
          <w:sz w:val="24"/>
        </w:rPr>
        <w:t>2012年中国医院百强榜（复旦大学医院管理研究所2013年11月发布）</w:t>
      </w:r>
    </w:p>
    <w:tbl>
      <w:tblPr>
        <w:tblW w:w="0" w:type="auto"/>
        <w:tblInd w:w="10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1"/>
        <w:gridCol w:w="2827"/>
        <w:gridCol w:w="511"/>
        <w:gridCol w:w="4672"/>
      </w:tblGrid>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排名</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排名</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北京协和医院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51</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北京大学肿瘤医院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四川大学华西医院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52</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重庆医科大学附属儿童医院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中国人民解放军总医院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53</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上海市胸科医院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上海交通大学医学院附属瑞金医院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54</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中国医学科学院血液学研究所</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第四军医大学西京医院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55</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四川大学华西第二医院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复旦大学附属华山医院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56</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南京军区南京总医院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复旦大学附属中山医院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57</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中国人民解放军第三零二医院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中山大学附属第一医院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58</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同济大学附属上海市肺科医院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59</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第四军医大学唐都医院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华中科技大学同济医学院附属同济医院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60</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北京大学口腔医院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11</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北京大学人民医院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61</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武汉大学人民医院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12</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北京大学第三医院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62</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上海市精神卫生中心</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13</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浙江大学医学院附属第一医院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63</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上海交通大学医学院附属上海儿童医学中心</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14</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第二军医大学长海医院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64</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第三军医大学新桥医院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15</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中国医科大学附属第一医院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65</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山东省肿瘤医院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16</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华中科技大学同济医学院附属协和医院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66</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首都医科大学附属北京友谊医院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lastRenderedPageBreak/>
              <w:t>17</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中南大学湘雅二医院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67</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中日友好医院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18</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南方医科大学南方医院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68</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中国医学科学院整形外科医院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19</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上海交通大学医学院附属仁济医院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69</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西安交通大学医学院第二附属医院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20</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江苏省人民医院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70</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上海交通大学医学院附属第一人民医院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21</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中南大学湘雅医院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71</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重庆医科大学附属第一医院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22</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中山大学肿瘤防治中心</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72</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第四军医大学口腔医院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23</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中国医学科学院阜外心血管病医院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73</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首都医科大学附属北京朝阳医院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24</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首都医科大学附属北京安贞医院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74</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西安交通大学医学院第一附属医院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25</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上海交通大学医学院附属第九人民医院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75</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四川大学华西口腔医院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26</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广东省人民医院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76</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浙江大学医学院附属儿童医院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27</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山东大学齐鲁医院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77</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浙江大学医学院附属妇产科医院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28</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第三军医大学西南医院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78</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安徽医科大学第一附属医院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29</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中国医学科学院肿瘤医院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79</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30</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首都医科大学北京宣武医院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80</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北京积水潭医院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31</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中国医科大学附属盛京医院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81</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复旦大学附属华东医院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32</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中山大学附属第三医院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82</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郑州大学第一附属医院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33</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第二军医大学长征医院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83</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浙江省肿瘤医院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34</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首都医科大学附属北京同仁医院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84</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武汉大学口腔医院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35</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上海市第六人民医院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85</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重庆医科大学附属第二医院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36</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复旦大学附属肿瘤医院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86</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复旦大学附属妇产科医院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37</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首都医科大学附属北京天坛医院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87</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温州医学院附属眼视光医院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38</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浙江医科大学附属第二医院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88</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首都儿科研究所</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39</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上海交通大学医学院附属新华医院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89</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东南大学附属中大医院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40</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复旦大学附属儿科医院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90</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哈尔滨医科大学附属第一医院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41</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中山大学孙逸仙纪念医院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91</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中山大学光华口腔医学院附属口腔医院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42</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首都医科大学附属北京儿童医院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92</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东方肝胆外科医院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43</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南京大学医学院附属鼓楼医院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93</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中国医学科学院皮肤病医院（研究所）</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44</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复旦大学附属眼耳鼻喉科医院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94</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首都医科大学附属北京地坛医院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45</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天津医科大学附属肿瘤医院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95</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广州市妇女儿童医疗中心</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46</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中山大学中山眼科中心</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96</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首都医科大学附属北京佑安医院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47</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吉林大学第一医院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97</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首都医科大学附属北京安定医院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48</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广州医学院第一附属医院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98</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北京大学第六医院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49</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天津医科大学总医院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99</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哈尔滨医科大学附属第二医院</w:t>
            </w:r>
          </w:p>
        </w:tc>
      </w:tr>
      <w:tr w:rsidR="00F14868" w:rsidRPr="00D3607F">
        <w:trPr>
          <w:trHeight w:val="301"/>
        </w:trPr>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50</w:t>
            </w:r>
          </w:p>
        </w:tc>
        <w:tc>
          <w:tcPr>
            <w:tcW w:w="28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苏州大学附属第一医院</w:t>
            </w:r>
          </w:p>
        </w:tc>
        <w:tc>
          <w:tcPr>
            <w:tcW w:w="5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100</w:t>
            </w:r>
          </w:p>
        </w:tc>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14868" w:rsidRPr="00D3607F" w:rsidRDefault="00A66040">
            <w:pPr>
              <w:autoSpaceDN w:val="0"/>
              <w:jc w:val="center"/>
              <w:rPr>
                <w:rFonts w:ascii="楷体" w:eastAsia="楷体" w:hAnsi="楷体"/>
                <w:sz w:val="24"/>
              </w:rPr>
            </w:pPr>
            <w:r w:rsidRPr="00D3607F">
              <w:rPr>
                <w:rFonts w:ascii="楷体" w:eastAsia="楷体" w:hAnsi="楷体"/>
                <w:color w:val="000000"/>
                <w:sz w:val="18"/>
              </w:rPr>
              <w:t>上海市儿童医院</w:t>
            </w:r>
          </w:p>
        </w:tc>
      </w:tr>
    </w:tbl>
    <w:p w:rsidR="00F14868" w:rsidRPr="00D3607F" w:rsidRDefault="00A66040">
      <w:pPr>
        <w:autoSpaceDN w:val="0"/>
        <w:snapToGrid w:val="0"/>
        <w:spacing w:beforeAutospacing="1" w:afterAutospacing="1" w:line="312" w:lineRule="auto"/>
        <w:rPr>
          <w:rFonts w:ascii="楷体" w:eastAsia="楷体" w:hAnsi="楷体"/>
          <w:sz w:val="24"/>
        </w:rPr>
      </w:pPr>
      <w:r w:rsidRPr="00D3607F">
        <w:rPr>
          <w:rFonts w:ascii="楷体" w:eastAsia="楷体" w:hAnsi="楷体"/>
          <w:sz w:val="24"/>
        </w:rPr>
        <w:t xml:space="preserve">附件3： </w:t>
      </w:r>
    </w:p>
    <w:p w:rsidR="00F14868" w:rsidRPr="00D3607F" w:rsidRDefault="00A66040">
      <w:pPr>
        <w:autoSpaceDN w:val="0"/>
        <w:snapToGrid w:val="0"/>
        <w:spacing w:beforeAutospacing="1" w:afterAutospacing="1" w:line="312" w:lineRule="auto"/>
        <w:jc w:val="center"/>
        <w:rPr>
          <w:rFonts w:ascii="楷体" w:eastAsia="楷体" w:hAnsi="楷体"/>
          <w:sz w:val="24"/>
        </w:rPr>
      </w:pPr>
      <w:r w:rsidRPr="00D3607F">
        <w:rPr>
          <w:rFonts w:ascii="楷体" w:eastAsia="楷体" w:hAnsi="楷体"/>
          <w:b/>
          <w:sz w:val="24"/>
        </w:rPr>
        <w:t>医疗卫生行业财务评价标准值</w:t>
      </w:r>
    </w:p>
    <w:p w:rsidR="00F14868" w:rsidRPr="00D3607F" w:rsidRDefault="00A66040">
      <w:pPr>
        <w:autoSpaceDN w:val="0"/>
        <w:snapToGrid w:val="0"/>
        <w:spacing w:beforeAutospacing="1" w:afterAutospacing="1" w:line="312" w:lineRule="auto"/>
        <w:rPr>
          <w:rFonts w:ascii="楷体" w:eastAsia="楷体" w:hAnsi="楷体"/>
          <w:sz w:val="24"/>
        </w:rPr>
      </w:pPr>
      <w:r w:rsidRPr="00D3607F">
        <w:rPr>
          <w:rFonts w:ascii="楷体" w:eastAsia="楷体" w:hAnsi="楷体"/>
          <w:sz w:val="18"/>
        </w:rPr>
        <w:lastRenderedPageBreak/>
        <w:t>全行业</w:t>
      </w:r>
    </w:p>
    <w:tbl>
      <w:tblPr>
        <w:tblW w:w="0" w:type="auto"/>
        <w:jc w:val="center"/>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260"/>
        <w:gridCol w:w="2002"/>
        <w:gridCol w:w="530"/>
        <w:gridCol w:w="530"/>
        <w:gridCol w:w="530"/>
        <w:gridCol w:w="4513"/>
      </w:tblGrid>
      <w:tr w:rsidR="00F14868" w:rsidRPr="00D3607F">
        <w:trPr>
          <w:trHeight w:val="284"/>
          <w:jc w:val="center"/>
        </w:trPr>
        <w:tc>
          <w:tcPr>
            <w:tcW w:w="260"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2002"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指  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较好</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平均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警戒线</w:t>
            </w:r>
          </w:p>
        </w:tc>
        <w:tc>
          <w:tcPr>
            <w:tcW w:w="4513"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较差</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一</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b/>
                <w:kern w:val="0"/>
                <w:sz w:val="18"/>
              </w:rPr>
              <w:t>增长率指标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营业收入增长率（%）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29.99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23.20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19.80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16.38</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总资产增长率（%）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27.48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19.01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16.10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13.12</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二</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b/>
                <w:kern w:val="0"/>
                <w:sz w:val="18"/>
              </w:rPr>
              <w:t>盈利能力指标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3</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股本收益率（%）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12.64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5.99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4.20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2.48</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毛利率（%）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12.36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4.92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2.90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0.90</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5</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总资产收益率（%）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7.87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4.36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3.30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2.22</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三</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b/>
                <w:kern w:val="0"/>
                <w:sz w:val="18"/>
              </w:rPr>
              <w:t>债务风险指标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6</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资产负债率（%）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42.59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49.16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54.20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59.29</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7</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流动比率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1.55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0.90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0.72</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8</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息税前利润保障比率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0.56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0.05</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-0.10</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9</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速动比率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0.98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0.59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0.50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0.32</w:t>
            </w: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b/>
                <w:kern w:val="0"/>
                <w:sz w:val="18"/>
              </w:rPr>
              <w:t>四</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b/>
                <w:kern w:val="0"/>
                <w:sz w:val="18"/>
              </w:rPr>
              <w:t>周转率指标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F14868">
            <w:pPr>
              <w:autoSpaceDN w:val="0"/>
              <w:textAlignment w:val="top"/>
              <w:rPr>
                <w:rFonts w:ascii="楷体" w:eastAsia="楷体" w:hAnsi="楷体"/>
                <w:sz w:val="24"/>
              </w:rPr>
            </w:pPr>
          </w:p>
        </w:tc>
      </w:tr>
      <w:tr w:rsidR="00F14868" w:rsidRPr="00D3607F">
        <w:trPr>
          <w:trHeight w:val="284"/>
          <w:jc w:val="center"/>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10</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总资产周转率（次）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0.85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0.71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0.60</w:t>
            </w:r>
          </w:p>
        </w:tc>
        <w:tc>
          <w:tcPr>
            <w:tcW w:w="4513"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0.51</w:t>
            </w:r>
          </w:p>
        </w:tc>
      </w:tr>
      <w:tr w:rsidR="00F14868" w:rsidRPr="00D3607F">
        <w:trPr>
          <w:trHeight w:val="284"/>
          <w:jc w:val="center"/>
        </w:trPr>
        <w:tc>
          <w:tcPr>
            <w:tcW w:w="260"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11</w:t>
            </w:r>
          </w:p>
        </w:tc>
        <w:tc>
          <w:tcPr>
            <w:tcW w:w="2002"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rPr>
                <w:rFonts w:ascii="楷体" w:eastAsia="楷体" w:hAnsi="楷体"/>
                <w:sz w:val="24"/>
              </w:rPr>
            </w:pPr>
            <w:r w:rsidRPr="00D3607F">
              <w:rPr>
                <w:rFonts w:ascii="楷体" w:eastAsia="楷体" w:hAnsi="楷体"/>
                <w:kern w:val="0"/>
                <w:sz w:val="18"/>
              </w:rPr>
              <w:t>有形净资产周转率（次）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1.18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1.00</w:t>
            </w:r>
          </w:p>
        </w:tc>
        <w:tc>
          <w:tcPr>
            <w:tcW w:w="4513"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F14868" w:rsidRPr="00D3607F" w:rsidRDefault="00A66040">
            <w:pPr>
              <w:autoSpaceDN w:val="0"/>
              <w:jc w:val="center"/>
              <w:rPr>
                <w:rFonts w:ascii="楷体" w:eastAsia="楷体" w:hAnsi="楷体"/>
                <w:sz w:val="24"/>
              </w:rPr>
            </w:pPr>
            <w:r w:rsidRPr="00D3607F">
              <w:rPr>
                <w:rFonts w:ascii="楷体" w:eastAsia="楷体" w:hAnsi="楷体"/>
                <w:kern w:val="0"/>
                <w:sz w:val="18"/>
              </w:rPr>
              <w:t>0.82</w:t>
            </w:r>
          </w:p>
        </w:tc>
      </w:tr>
    </w:tbl>
    <w:p w:rsidR="00A66040" w:rsidRPr="00D3607F" w:rsidRDefault="00A66040">
      <w:pPr>
        <w:rPr>
          <w:rFonts w:ascii="楷体" w:eastAsia="楷体" w:hAnsi="楷体"/>
        </w:rPr>
      </w:pPr>
    </w:p>
    <w:sectPr w:rsidR="00A66040" w:rsidRPr="00D3607F">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Carlito"/>
    <w:panose1 w:val="020F0302020204030204"/>
    <w:charset w:val="00"/>
    <w:family w:val="roman"/>
    <w:notTrueType/>
    <w:pitch w:val="default"/>
  </w:font>
  <w:font w:name="Calibri">
    <w:panose1 w:val="020F0502020204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6725AD"/>
    <w:rsid w:val="007547FF"/>
    <w:rsid w:val="008D42EC"/>
    <w:rsid w:val="00A66040"/>
    <w:rsid w:val="00D3607F"/>
    <w:rsid w:val="00F14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02095576-16F4-4050-B666-BEA0CCAC1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4">
    <w:name w:val="footer"/>
    <w:basedOn w:val="a"/>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1948</Words>
  <Characters>11110</Characters>
  <Application>Microsoft Office Word</Application>
  <DocSecurity>0</DocSecurity>
  <PresentationFormat/>
  <Lines>92</Lines>
  <Paragraphs>26</Paragraphs>
  <Slides>0</Slides>
  <Notes>0</Notes>
  <HiddenSlides>0</HiddenSlides>
  <MMClips>0</MMClips>
  <ScaleCrop>false</ScaleCrop>
  <Manager/>
  <Company/>
  <LinksUpToDate>false</LinksUpToDate>
  <CharactersWithSpaces>13032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48.医疗卫生行业2014年政策及投向指引</dc:title>
  <dc:subject/>
  <dc:creator>1</dc:creator>
  <cp:keywords/>
  <dc:description/>
  <cp:lastModifiedBy>NTKO</cp:lastModifiedBy>
  <cp:revision>5</cp:revision>
  <dcterms:created xsi:type="dcterms:W3CDTF">2015-05-18T16:49:00Z</dcterms:created>
  <dcterms:modified xsi:type="dcterms:W3CDTF">2015-05-18T16:55:00Z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